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822DC">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PYDR-20</w:t>
      </w:r>
      <w:r>
        <w:rPr>
          <w:rFonts w:hint="eastAsia" w:ascii="黑体" w:hAnsi="黑体" w:eastAsia="黑体" w:cs="黑体"/>
          <w:color w:val="auto"/>
          <w:sz w:val="32"/>
          <w:szCs w:val="32"/>
          <w:lang w:val="en-US" w:eastAsia="zh-CN"/>
        </w:rPr>
        <w:t>26</w:t>
      </w:r>
      <w:r>
        <w:rPr>
          <w:rFonts w:hint="eastAsia" w:ascii="黑体" w:hAnsi="黑体" w:eastAsia="黑体" w:cs="黑体"/>
          <w:color w:val="auto"/>
          <w:sz w:val="32"/>
          <w:szCs w:val="32"/>
        </w:rPr>
        <w:t>-00</w:t>
      </w:r>
      <w:r>
        <w:rPr>
          <w:rFonts w:hint="eastAsia" w:ascii="黑体" w:hAnsi="黑体" w:eastAsia="黑体" w:cs="黑体"/>
          <w:color w:val="auto"/>
          <w:sz w:val="32"/>
          <w:szCs w:val="32"/>
          <w:lang w:val="en-US" w:eastAsia="zh-CN"/>
        </w:rPr>
        <w:t>1</w:t>
      </w:r>
      <w:r>
        <w:rPr>
          <w:rFonts w:hint="eastAsia" w:ascii="黑体" w:hAnsi="黑体" w:eastAsia="黑体" w:cs="黑体"/>
          <w:color w:val="auto"/>
          <w:sz w:val="32"/>
          <w:szCs w:val="32"/>
        </w:rPr>
        <w:t>00</w:t>
      </w:r>
      <w:r>
        <w:rPr>
          <w:rFonts w:hint="eastAsia" w:ascii="黑体" w:hAnsi="黑体" w:eastAsia="黑体" w:cs="黑体"/>
          <w:color w:val="auto"/>
          <w:sz w:val="32"/>
          <w:szCs w:val="32"/>
          <w:lang w:val="en-US" w:eastAsia="zh-CN"/>
        </w:rPr>
        <w:t>02</w:t>
      </w:r>
    </w:p>
    <w:p w14:paraId="47979D31">
      <w:pPr>
        <w:keepNext w:val="0"/>
        <w:keepLines w:val="0"/>
        <w:pageBreakBefore w:val="0"/>
        <w:widowControl w:val="0"/>
        <w:kinsoku/>
        <w:wordWrap/>
        <w:overflowPunct/>
        <w:topLinePunct w:val="0"/>
        <w:autoSpaceDE/>
        <w:autoSpaceDN/>
        <w:bidi w:val="0"/>
        <w:adjustRightInd/>
        <w:snapToGrid/>
        <w:spacing w:line="630" w:lineRule="exact"/>
        <w:ind w:firstLine="0" w:firstLineChars="0"/>
        <w:jc w:val="both"/>
        <w:textAlignment w:val="auto"/>
        <w:rPr>
          <w:rFonts w:hint="eastAsia" w:ascii="方正小标宋简体" w:hAnsi="方正小标宋简体" w:eastAsia="方正小标宋简体" w:cs="方正小标宋简体"/>
          <w:b w:val="0"/>
          <w:bCs/>
          <w:color w:val="auto"/>
          <w:sz w:val="44"/>
          <w:szCs w:val="44"/>
        </w:rPr>
      </w:pPr>
    </w:p>
    <w:p w14:paraId="02E8777A">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方正小标宋简体" w:hAnsi="方正小标宋简体" w:eastAsia="方正小标宋简体" w:cs="方正小标宋简体"/>
          <w:b w:val="0"/>
          <w:bCs/>
          <w:color w:val="auto"/>
          <w:sz w:val="52"/>
          <w:szCs w:val="52"/>
        </w:rPr>
      </w:pPr>
      <w:r>
        <w:rPr>
          <w:rFonts w:hint="eastAsia" w:ascii="方正小标宋简体" w:hAnsi="方正小标宋简体" w:eastAsia="方正小标宋简体" w:cs="方正小标宋简体"/>
          <w:b w:val="0"/>
          <w:bCs/>
          <w:color w:val="auto"/>
          <w:sz w:val="52"/>
          <w:szCs w:val="52"/>
        </w:rPr>
        <w:t>平阴县人民政府</w:t>
      </w:r>
    </w:p>
    <w:p w14:paraId="57394B81">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黑体" w:hAnsi="黑体" w:eastAsia="黑体"/>
          <w:b/>
          <w:color w:val="auto"/>
          <w:sz w:val="52"/>
          <w:szCs w:val="52"/>
        </w:rPr>
      </w:pPr>
      <w:r>
        <w:rPr>
          <w:rFonts w:hint="eastAsia" w:ascii="方正小标宋简体" w:hAnsi="方正小标宋简体" w:eastAsia="方正小标宋简体" w:cs="方正小标宋简体"/>
          <w:b w:val="0"/>
          <w:bCs/>
          <w:color w:val="auto"/>
          <w:sz w:val="52"/>
          <w:szCs w:val="52"/>
        </w:rPr>
        <w:t>关于禁猎</w:t>
      </w:r>
      <w:r>
        <w:rPr>
          <w:rFonts w:hint="eastAsia" w:ascii="方正小标宋简体" w:hAnsi="方正小标宋简体" w:eastAsia="方正小标宋简体" w:cs="方正小标宋简体"/>
          <w:b w:val="0"/>
          <w:bCs/>
          <w:color w:val="auto"/>
          <w:sz w:val="52"/>
          <w:szCs w:val="52"/>
          <w:lang w:val="en-US" w:eastAsia="zh-CN"/>
        </w:rPr>
        <w:t>陆生</w:t>
      </w:r>
      <w:r>
        <w:rPr>
          <w:rFonts w:hint="eastAsia" w:ascii="方正小标宋简体" w:hAnsi="方正小标宋简体" w:eastAsia="方正小标宋简体" w:cs="方正小标宋简体"/>
          <w:b w:val="0"/>
          <w:bCs/>
          <w:color w:val="auto"/>
          <w:sz w:val="52"/>
          <w:szCs w:val="52"/>
        </w:rPr>
        <w:t>野生动物的通告</w:t>
      </w:r>
    </w:p>
    <w:p w14:paraId="55B4E3FF">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6"/>
          <w:szCs w:val="36"/>
        </w:rPr>
      </w:pPr>
    </w:p>
    <w:p w14:paraId="5D7DD134">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为有效保护我县</w:t>
      </w:r>
      <w:r>
        <w:rPr>
          <w:rFonts w:hint="eastAsia" w:ascii="仿宋_GB2312" w:hAnsi="仿宋_GB2312" w:eastAsia="仿宋_GB2312" w:cs="仿宋_GB2312"/>
          <w:color w:val="auto"/>
          <w:sz w:val="36"/>
          <w:szCs w:val="36"/>
          <w:lang w:val="en-US" w:eastAsia="zh-CN"/>
        </w:rPr>
        <w:t>陆生</w:t>
      </w:r>
      <w:r>
        <w:rPr>
          <w:rFonts w:hint="eastAsia" w:ascii="仿宋_GB2312" w:hAnsi="仿宋_GB2312" w:eastAsia="仿宋_GB2312" w:cs="仿宋_GB2312"/>
          <w:color w:val="auto"/>
          <w:sz w:val="36"/>
          <w:szCs w:val="36"/>
        </w:rPr>
        <w:t>野生动物资源，遏制乱捕滥猎行为，有效保护</w:t>
      </w:r>
      <w:r>
        <w:rPr>
          <w:rFonts w:hint="eastAsia" w:ascii="仿宋_GB2312" w:hAnsi="仿宋_GB2312" w:eastAsia="仿宋_GB2312" w:cs="仿宋_GB2312"/>
          <w:color w:val="auto"/>
          <w:sz w:val="36"/>
          <w:szCs w:val="36"/>
          <w:lang w:val="en-US" w:eastAsia="zh-CN"/>
        </w:rPr>
        <w:t>陆生</w:t>
      </w:r>
      <w:r>
        <w:rPr>
          <w:rFonts w:hint="eastAsia" w:ascii="仿宋_GB2312" w:hAnsi="仿宋_GB2312" w:eastAsia="仿宋_GB2312" w:cs="仿宋_GB2312"/>
          <w:color w:val="auto"/>
          <w:sz w:val="36"/>
          <w:szCs w:val="36"/>
        </w:rPr>
        <w:t>野生动物及其栖息地，</w:t>
      </w:r>
      <w:r>
        <w:rPr>
          <w:rFonts w:hint="eastAsia" w:ascii="仿宋_GB2312" w:hAnsi="仿宋_GB2312" w:eastAsia="仿宋_GB2312" w:cs="仿宋_GB2312"/>
          <w:color w:val="auto"/>
          <w:sz w:val="36"/>
          <w:szCs w:val="36"/>
          <w:lang w:val="en-US" w:eastAsia="zh-CN"/>
        </w:rPr>
        <w:t>维护生物多样性和生态平衡</w:t>
      </w:r>
      <w:r>
        <w:rPr>
          <w:rFonts w:hint="eastAsia" w:ascii="仿宋_GB2312" w:hAnsi="仿宋_GB2312" w:eastAsia="仿宋_GB2312" w:cs="仿宋_GB2312"/>
          <w:color w:val="auto"/>
          <w:sz w:val="36"/>
          <w:szCs w:val="36"/>
        </w:rPr>
        <w:t>，根据《中华人民共和国野生动物保护法》和</w:t>
      </w:r>
      <w:r>
        <w:rPr>
          <w:rFonts w:hint="eastAsia" w:ascii="仿宋_GB2312" w:hAnsi="仿宋_GB2312" w:eastAsia="仿宋_GB2312" w:cs="仿宋_GB2312"/>
          <w:color w:val="auto"/>
          <w:kern w:val="2"/>
          <w:sz w:val="36"/>
          <w:szCs w:val="36"/>
          <w:lang w:val="en-US" w:eastAsia="zh-CN" w:bidi="ar-SA"/>
        </w:rPr>
        <w:t>《山东省实施〈中华人民共和国野生动物保护法〉办法》</w:t>
      </w:r>
      <w:r>
        <w:rPr>
          <w:rFonts w:hint="eastAsia" w:ascii="仿宋_GB2312" w:hAnsi="仿宋_GB2312" w:eastAsia="仿宋_GB2312" w:cs="仿宋_GB2312"/>
          <w:color w:val="auto"/>
          <w:sz w:val="36"/>
          <w:szCs w:val="36"/>
        </w:rPr>
        <w:t>等</w:t>
      </w:r>
      <w:bookmarkStart w:id="0" w:name="_GoBack"/>
      <w:bookmarkEnd w:id="0"/>
      <w:r>
        <w:rPr>
          <w:rFonts w:hint="eastAsia" w:ascii="仿宋_GB2312" w:hAnsi="仿宋_GB2312" w:eastAsia="仿宋_GB2312" w:cs="仿宋_GB2312"/>
          <w:color w:val="auto"/>
          <w:sz w:val="36"/>
          <w:szCs w:val="36"/>
        </w:rPr>
        <w:t>法律法规的规定，决定在全县范围内全面禁猎</w:t>
      </w:r>
      <w:r>
        <w:rPr>
          <w:rFonts w:hint="eastAsia" w:ascii="仿宋_GB2312" w:hAnsi="仿宋_GB2312" w:eastAsia="仿宋_GB2312" w:cs="仿宋_GB2312"/>
          <w:color w:val="auto"/>
          <w:sz w:val="36"/>
          <w:szCs w:val="36"/>
          <w:lang w:val="en-US" w:eastAsia="zh-CN"/>
        </w:rPr>
        <w:t>陆生</w:t>
      </w:r>
      <w:r>
        <w:rPr>
          <w:rFonts w:hint="eastAsia" w:ascii="仿宋_GB2312" w:hAnsi="仿宋_GB2312" w:eastAsia="仿宋_GB2312" w:cs="仿宋_GB2312"/>
          <w:color w:val="auto"/>
          <w:sz w:val="36"/>
          <w:szCs w:val="36"/>
        </w:rPr>
        <w:t>野生动物。现将有关事项通告如下：</w:t>
      </w:r>
    </w:p>
    <w:p w14:paraId="7FB3B2DF">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一、禁猎区：平阴县行政区域。</w:t>
      </w:r>
    </w:p>
    <w:p w14:paraId="358AF650">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二、禁猎期：全年为禁猎期。在禁猎区、禁猎期内，禁止使用任何工具和方式猎捕、杀害陆生野生动物，禁止破坏、干扰</w:t>
      </w:r>
      <w:r>
        <w:rPr>
          <w:rFonts w:hint="eastAsia" w:ascii="仿宋_GB2312" w:hAnsi="仿宋_GB2312" w:eastAsia="仿宋_GB2312" w:cs="仿宋_GB2312"/>
          <w:color w:val="auto"/>
          <w:sz w:val="36"/>
          <w:szCs w:val="36"/>
          <w:lang w:val="en-US" w:eastAsia="zh-CN"/>
        </w:rPr>
        <w:t>陆生</w:t>
      </w:r>
      <w:r>
        <w:rPr>
          <w:rFonts w:hint="eastAsia" w:ascii="仿宋_GB2312" w:hAnsi="仿宋_GB2312" w:eastAsia="仿宋_GB2312" w:cs="仿宋_GB2312"/>
          <w:color w:val="auto"/>
          <w:sz w:val="36"/>
          <w:szCs w:val="36"/>
        </w:rPr>
        <w:t>野生动物生息繁衍及</w:t>
      </w:r>
      <w:r>
        <w:rPr>
          <w:rFonts w:hint="eastAsia" w:ascii="仿宋_GB2312" w:hAnsi="仿宋_GB2312" w:eastAsia="仿宋_GB2312" w:cs="仿宋_GB2312"/>
          <w:color w:val="auto"/>
          <w:sz w:val="36"/>
          <w:szCs w:val="36"/>
          <w:lang w:val="en-US" w:eastAsia="zh-CN"/>
        </w:rPr>
        <w:t>栖息地活动</w:t>
      </w:r>
      <w:r>
        <w:rPr>
          <w:rFonts w:hint="eastAsia" w:ascii="仿宋_GB2312" w:hAnsi="仿宋_GB2312" w:eastAsia="仿宋_GB2312" w:cs="仿宋_GB2312"/>
          <w:color w:val="auto"/>
          <w:sz w:val="36"/>
          <w:szCs w:val="36"/>
        </w:rPr>
        <w:t>。</w:t>
      </w:r>
    </w:p>
    <w:p w14:paraId="76B6160D">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三、禁猎对象：列入国家重点保护野生动物名录、山东省重点保护野生动物名录</w:t>
      </w:r>
      <w:r>
        <w:rPr>
          <w:rFonts w:hint="eastAsia" w:ascii="仿宋_GB2312" w:hAnsi="仿宋_GB2312" w:eastAsia="仿宋_GB2312" w:cs="仿宋_GB2312"/>
          <w:color w:val="auto"/>
          <w:sz w:val="36"/>
          <w:szCs w:val="36"/>
          <w:lang w:val="en-US" w:eastAsia="zh-CN"/>
        </w:rPr>
        <w:t>和</w:t>
      </w:r>
      <w:r>
        <w:rPr>
          <w:rFonts w:hint="eastAsia" w:ascii="仿宋_GB2312" w:hAnsi="仿宋_GB2312" w:eastAsia="仿宋_GB2312" w:cs="仿宋_GB2312"/>
          <w:color w:val="auto"/>
          <w:sz w:val="36"/>
          <w:szCs w:val="36"/>
        </w:rPr>
        <w:t>有重要生态、科学、社会价值的</w:t>
      </w:r>
      <w:r>
        <w:rPr>
          <w:rFonts w:hint="eastAsia" w:ascii="仿宋_GB2312" w:hAnsi="仿宋_GB2312" w:eastAsia="仿宋_GB2312" w:cs="仿宋_GB2312"/>
          <w:color w:val="auto"/>
          <w:sz w:val="36"/>
          <w:szCs w:val="36"/>
          <w:lang w:val="en-US" w:eastAsia="zh-CN"/>
        </w:rPr>
        <w:t>陆生</w:t>
      </w:r>
      <w:r>
        <w:rPr>
          <w:rFonts w:hint="eastAsia" w:ascii="仿宋_GB2312" w:hAnsi="仿宋_GB2312" w:eastAsia="仿宋_GB2312" w:cs="仿宋_GB2312"/>
          <w:color w:val="auto"/>
          <w:sz w:val="36"/>
          <w:szCs w:val="36"/>
        </w:rPr>
        <w:t>野生动物。</w:t>
      </w:r>
    </w:p>
    <w:p w14:paraId="2180A077">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四、禁猎工具：禁止使用军事武器（制式枪械）、体育运动枪支、气枪（气压弹射装置）、毒药、麻醉药（枪）、爆炸物、排铳（火药枪）、玻珠枪（电击枪）、铁夹、吊杠、滚笼、排刺、猎套、猎夹、电网（其他电击工具）、网套、地枪（地弓）、弓箭、弩、弹叉（弹力弹射式装置）、弹弓、标枪、粘网、高频声波装置和其他非人为直接操作并危害人畜安全的捕猎装置等工具猎捕</w:t>
      </w:r>
      <w:r>
        <w:rPr>
          <w:rFonts w:hint="eastAsia" w:ascii="仿宋_GB2312" w:hAnsi="仿宋_GB2312" w:eastAsia="仿宋_GB2312" w:cs="仿宋_GB2312"/>
          <w:color w:val="auto"/>
          <w:sz w:val="36"/>
          <w:szCs w:val="36"/>
          <w:lang w:val="en-US" w:eastAsia="zh-CN"/>
        </w:rPr>
        <w:t>陆生</w:t>
      </w:r>
      <w:r>
        <w:rPr>
          <w:rFonts w:hint="eastAsia" w:ascii="仿宋_GB2312" w:hAnsi="仿宋_GB2312" w:eastAsia="仿宋_GB2312" w:cs="仿宋_GB2312"/>
          <w:color w:val="auto"/>
          <w:sz w:val="36"/>
          <w:szCs w:val="36"/>
        </w:rPr>
        <w:t>野生动物。</w:t>
      </w:r>
    </w:p>
    <w:p w14:paraId="79530582">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五、禁猎方法：禁止采用夜间照明行猎、歼灭性围猎、猎狗追击行猎、枪击、投掷利器、火攻、烟熏、水淹、投毒、麻醉、犬捕、鹰抓、声音诱捕、电子诱捕、设置陷阱、网捕、捡蛋、捣巢、挖洞、电击装置和设置非人为直接操作并危害人畜安全的狩猎装置等方法进行猎捕</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但因科学研究确需网捕、电子诱捕的除外</w:t>
      </w:r>
      <w:r>
        <w:rPr>
          <w:rFonts w:hint="eastAsia" w:ascii="仿宋_GB2312" w:hAnsi="仿宋_GB2312" w:eastAsia="仿宋_GB2312" w:cs="仿宋_GB2312"/>
          <w:color w:val="auto"/>
          <w:sz w:val="36"/>
          <w:szCs w:val="36"/>
        </w:rPr>
        <w:t>。</w:t>
      </w:r>
    </w:p>
    <w:p w14:paraId="435EEBC1">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六、法律责任：违反《中华人民共和国野生动物保护法》等法律法规及本通告规定，非法猎捕陆生野生动物的，由县级以上人民政府野生动物保护主管部门依法给予行政处罚；涉嫌犯罪的，依法移送司法机关处理。因科学研究、疫病防控、航空安全保障等法定特殊情形确需猎捕的，应依法申办批准手续</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严格按照已审批的捕猎方式和捕猎工具进行捕猎</w:t>
      </w:r>
      <w:r>
        <w:rPr>
          <w:rFonts w:hint="eastAsia" w:ascii="仿宋_GB2312" w:hAnsi="仿宋_GB2312" w:eastAsia="仿宋_GB2312" w:cs="仿宋_GB2312"/>
          <w:color w:val="auto"/>
          <w:sz w:val="36"/>
          <w:szCs w:val="36"/>
        </w:rPr>
        <w:t>。</w:t>
      </w:r>
    </w:p>
    <w:p w14:paraId="6EE6C57B">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t>本通告自 2026年</w:t>
      </w:r>
      <w:r>
        <w:rPr>
          <w:rFonts w:hint="eastAsia" w:ascii="仿宋_GB2312" w:hAnsi="仿宋_GB2312" w:eastAsia="仿宋_GB2312" w:cs="仿宋_GB2312"/>
          <w:color w:val="auto"/>
          <w:sz w:val="36"/>
          <w:szCs w:val="36"/>
          <w:lang w:val="en-US" w:eastAsia="zh-CN"/>
        </w:rPr>
        <w:t>12</w:t>
      </w:r>
      <w:r>
        <w:rPr>
          <w:rFonts w:hint="eastAsia" w:ascii="仿宋_GB2312" w:hAnsi="仿宋_GB2312" w:eastAsia="仿宋_GB2312" w:cs="仿宋_GB2312"/>
          <w:color w:val="auto"/>
          <w:sz w:val="36"/>
          <w:szCs w:val="36"/>
        </w:rPr>
        <w:t>月</w:t>
      </w:r>
      <w:r>
        <w:rPr>
          <w:rFonts w:hint="eastAsia" w:ascii="仿宋_GB2312" w:hAnsi="仿宋_GB2312" w:eastAsia="仿宋_GB2312" w:cs="仿宋_GB2312"/>
          <w:color w:val="auto"/>
          <w:sz w:val="36"/>
          <w:szCs w:val="36"/>
          <w:lang w:val="en-US" w:eastAsia="zh-CN"/>
        </w:rPr>
        <w:t>1</w:t>
      </w:r>
      <w:r>
        <w:rPr>
          <w:rFonts w:hint="eastAsia" w:ascii="仿宋_GB2312" w:hAnsi="仿宋_GB2312" w:eastAsia="仿宋_GB2312" w:cs="仿宋_GB2312"/>
          <w:color w:val="auto"/>
          <w:sz w:val="36"/>
          <w:szCs w:val="36"/>
        </w:rPr>
        <w:t>日起施行，有效期至 2031 年</w:t>
      </w:r>
      <w:r>
        <w:rPr>
          <w:rFonts w:hint="eastAsia" w:ascii="仿宋_GB2312" w:hAnsi="仿宋_GB2312" w:eastAsia="仿宋_GB2312" w:cs="仿宋_GB2312"/>
          <w:color w:val="auto"/>
          <w:sz w:val="36"/>
          <w:szCs w:val="36"/>
          <w:lang w:val="en-US" w:eastAsia="zh-CN"/>
        </w:rPr>
        <w:t>11</w:t>
      </w:r>
      <w:r>
        <w:rPr>
          <w:rFonts w:hint="eastAsia" w:ascii="仿宋_GB2312" w:hAnsi="仿宋_GB2312" w:eastAsia="仿宋_GB2312" w:cs="仿宋_GB2312"/>
          <w:color w:val="auto"/>
          <w:sz w:val="36"/>
          <w:szCs w:val="36"/>
        </w:rPr>
        <w:t>月</w:t>
      </w:r>
      <w:r>
        <w:rPr>
          <w:rFonts w:hint="eastAsia" w:ascii="仿宋_GB2312" w:hAnsi="仿宋_GB2312" w:eastAsia="仿宋_GB2312" w:cs="仿宋_GB2312"/>
          <w:color w:val="auto"/>
          <w:sz w:val="36"/>
          <w:szCs w:val="36"/>
          <w:lang w:val="en-US" w:eastAsia="zh-CN"/>
        </w:rPr>
        <w:t>30</w:t>
      </w:r>
      <w:r>
        <w:rPr>
          <w:rFonts w:hint="eastAsia" w:ascii="仿宋_GB2312" w:hAnsi="仿宋_GB2312" w:eastAsia="仿宋_GB2312" w:cs="仿宋_GB2312"/>
          <w:color w:val="auto"/>
          <w:sz w:val="36"/>
          <w:szCs w:val="36"/>
        </w:rPr>
        <w:t>日。通告执行期间，遇有国家、省、市政策调整，按照新政策、新规定执行。</w:t>
      </w:r>
    </w:p>
    <w:p w14:paraId="7F1B3480">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6"/>
          <w:szCs w:val="36"/>
          <w:lang w:val="en-US" w:eastAsia="zh-CN"/>
        </w:rPr>
      </w:pPr>
      <w:r>
        <w:rPr>
          <w:rFonts w:hint="eastAsia" w:ascii="仿宋_GB2312" w:hAnsi="仿宋_GB2312" w:eastAsia="仿宋_GB2312" w:cs="仿宋_GB2312"/>
          <w:color w:val="auto"/>
          <w:sz w:val="36"/>
          <w:szCs w:val="36"/>
        </w:rPr>
        <w:t xml:space="preserve">                                 </w:t>
      </w:r>
      <w:r>
        <w:rPr>
          <w:rFonts w:hint="eastAsia" w:ascii="仿宋_GB2312" w:hAnsi="仿宋_GB2312" w:eastAsia="仿宋_GB2312" w:cs="仿宋_GB2312"/>
          <w:color w:val="auto"/>
          <w:sz w:val="36"/>
          <w:szCs w:val="36"/>
          <w:lang w:val="en-US" w:eastAsia="zh-CN"/>
        </w:rPr>
        <w:t xml:space="preserve">  </w:t>
      </w:r>
    </w:p>
    <w:p w14:paraId="74294C3C">
      <w:pPr>
        <w:pStyle w:val="2"/>
        <w:rPr>
          <w:rFonts w:hint="eastAsia"/>
          <w:color w:val="auto"/>
          <w:lang w:val="en-US" w:eastAsia="zh-CN"/>
        </w:rPr>
      </w:pPr>
    </w:p>
    <w:p w14:paraId="38C5D735">
      <w:pPr>
        <w:keepNext w:val="0"/>
        <w:keepLines w:val="0"/>
        <w:pageBreakBefore w:val="0"/>
        <w:widowControl w:val="0"/>
        <w:kinsoku/>
        <w:wordWrap/>
        <w:overflowPunct/>
        <w:topLinePunct w:val="0"/>
        <w:autoSpaceDE/>
        <w:autoSpaceDN/>
        <w:bidi w:val="0"/>
        <w:adjustRightInd/>
        <w:snapToGrid/>
        <w:spacing w:line="630" w:lineRule="exact"/>
        <w:ind w:firstLine="9720" w:firstLineChars="2700"/>
        <w:textAlignment w:val="auto"/>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平阴县人民政府</w:t>
      </w:r>
    </w:p>
    <w:p w14:paraId="727BA1E6">
      <w:pPr>
        <w:keepNext w:val="0"/>
        <w:keepLines w:val="0"/>
        <w:pageBreakBefore w:val="0"/>
        <w:widowControl w:val="0"/>
        <w:kinsoku/>
        <w:wordWrap/>
        <w:overflowPunct/>
        <w:topLinePunct w:val="0"/>
        <w:autoSpaceDE/>
        <w:autoSpaceDN/>
        <w:bidi w:val="0"/>
        <w:adjustRightInd/>
        <w:snapToGrid/>
        <w:spacing w:line="630" w:lineRule="exact"/>
        <w:ind w:firstLine="72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6"/>
          <w:szCs w:val="36"/>
        </w:rPr>
        <w:t xml:space="preserve">                                </w:t>
      </w:r>
      <w:r>
        <w:rPr>
          <w:rFonts w:hint="eastAsia" w:ascii="仿宋_GB2312" w:hAnsi="仿宋_GB2312" w:eastAsia="仿宋_GB2312" w:cs="仿宋_GB2312"/>
          <w:color w:val="auto"/>
          <w:sz w:val="36"/>
          <w:szCs w:val="36"/>
          <w:lang w:val="en-US" w:eastAsia="zh-CN"/>
        </w:rPr>
        <w:t xml:space="preserve">                   </w:t>
      </w:r>
      <w:r>
        <w:rPr>
          <w:rFonts w:hint="eastAsia" w:ascii="仿宋_GB2312" w:hAnsi="仿宋_GB2312" w:eastAsia="仿宋_GB2312" w:cs="仿宋_GB2312"/>
          <w:color w:val="auto"/>
          <w:sz w:val="36"/>
          <w:szCs w:val="36"/>
        </w:rPr>
        <w:t>2026年</w:t>
      </w:r>
      <w:r>
        <w:rPr>
          <w:rFonts w:hint="eastAsia" w:ascii="仿宋_GB2312" w:hAnsi="仿宋_GB2312" w:eastAsia="仿宋_GB2312" w:cs="仿宋_GB2312"/>
          <w:color w:val="auto"/>
          <w:sz w:val="36"/>
          <w:szCs w:val="36"/>
          <w:lang w:val="en-US" w:eastAsia="zh-CN"/>
        </w:rPr>
        <w:t>10</w:t>
      </w:r>
      <w:r>
        <w:rPr>
          <w:rFonts w:hint="eastAsia" w:ascii="仿宋_GB2312" w:hAnsi="仿宋_GB2312" w:eastAsia="仿宋_GB2312" w:cs="仿宋_GB2312"/>
          <w:color w:val="auto"/>
          <w:sz w:val="36"/>
          <w:szCs w:val="36"/>
        </w:rPr>
        <w:t>月</w:t>
      </w:r>
      <w:r>
        <w:rPr>
          <w:rFonts w:hint="eastAsia" w:ascii="仿宋_GB2312" w:hAnsi="仿宋_GB2312" w:eastAsia="仿宋_GB2312" w:cs="仿宋_GB2312"/>
          <w:color w:val="auto"/>
          <w:sz w:val="36"/>
          <w:szCs w:val="36"/>
          <w:lang w:val="en-US" w:eastAsia="zh-CN"/>
        </w:rPr>
        <w:t>12</w:t>
      </w:r>
      <w:r>
        <w:rPr>
          <w:rFonts w:hint="eastAsia" w:ascii="仿宋_GB2312" w:hAnsi="仿宋_GB2312" w:eastAsia="仿宋_GB2312" w:cs="仿宋_GB2312"/>
          <w:color w:val="auto"/>
          <w:sz w:val="36"/>
          <w:szCs w:val="36"/>
        </w:rPr>
        <w:t>日</w:t>
      </w:r>
    </w:p>
    <w:sectPr>
      <w:pgSz w:w="16838" w:h="23811"/>
      <w:pgMar w:top="1417" w:right="1417" w:bottom="1417" w:left="141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5ODY5MDI5YmMxMTA1NWFjMjA1M2MyZWUxMjAyYmQifQ=="/>
  </w:docVars>
  <w:rsids>
    <w:rsidRoot w:val="21A91578"/>
    <w:rsid w:val="00137949"/>
    <w:rsid w:val="00157475"/>
    <w:rsid w:val="0016463D"/>
    <w:rsid w:val="001B3EC2"/>
    <w:rsid w:val="001D299A"/>
    <w:rsid w:val="00262B79"/>
    <w:rsid w:val="002E783D"/>
    <w:rsid w:val="00435F0C"/>
    <w:rsid w:val="0052600D"/>
    <w:rsid w:val="00726C97"/>
    <w:rsid w:val="00737E9C"/>
    <w:rsid w:val="009B3B9A"/>
    <w:rsid w:val="00AF0BA0"/>
    <w:rsid w:val="00BC071C"/>
    <w:rsid w:val="00C54443"/>
    <w:rsid w:val="00E300C1"/>
    <w:rsid w:val="00E43254"/>
    <w:rsid w:val="00E71E35"/>
    <w:rsid w:val="00FE3ED2"/>
    <w:rsid w:val="0176597C"/>
    <w:rsid w:val="03874844"/>
    <w:rsid w:val="03CE7CF1"/>
    <w:rsid w:val="07FE1DA0"/>
    <w:rsid w:val="095865EE"/>
    <w:rsid w:val="0A7809B7"/>
    <w:rsid w:val="0B2A680A"/>
    <w:rsid w:val="0C595959"/>
    <w:rsid w:val="0E525AF8"/>
    <w:rsid w:val="0E6341D2"/>
    <w:rsid w:val="0F184516"/>
    <w:rsid w:val="102B64CB"/>
    <w:rsid w:val="11F12C11"/>
    <w:rsid w:val="12EA24F6"/>
    <w:rsid w:val="157B156C"/>
    <w:rsid w:val="164C01B3"/>
    <w:rsid w:val="1789621C"/>
    <w:rsid w:val="182E6B59"/>
    <w:rsid w:val="19882125"/>
    <w:rsid w:val="19D90D46"/>
    <w:rsid w:val="19EC0A79"/>
    <w:rsid w:val="1AFF2A2E"/>
    <w:rsid w:val="1BC548BA"/>
    <w:rsid w:val="1BD33D7E"/>
    <w:rsid w:val="1F900EE8"/>
    <w:rsid w:val="21A91578"/>
    <w:rsid w:val="229D6DB5"/>
    <w:rsid w:val="23225C7E"/>
    <w:rsid w:val="24172B97"/>
    <w:rsid w:val="25E5137D"/>
    <w:rsid w:val="26636A69"/>
    <w:rsid w:val="289447B6"/>
    <w:rsid w:val="2A8A2322"/>
    <w:rsid w:val="2ECF1B43"/>
    <w:rsid w:val="3017022E"/>
    <w:rsid w:val="30295408"/>
    <w:rsid w:val="34572B3B"/>
    <w:rsid w:val="35C737CC"/>
    <w:rsid w:val="37D2359A"/>
    <w:rsid w:val="3B3F3081"/>
    <w:rsid w:val="3EB968CD"/>
    <w:rsid w:val="3EEA2F2A"/>
    <w:rsid w:val="3F8A28B5"/>
    <w:rsid w:val="3F982986"/>
    <w:rsid w:val="3F9C75F9"/>
    <w:rsid w:val="3FA0183A"/>
    <w:rsid w:val="400A4B1A"/>
    <w:rsid w:val="43ED0DC6"/>
    <w:rsid w:val="456F4189"/>
    <w:rsid w:val="46B34549"/>
    <w:rsid w:val="471548BC"/>
    <w:rsid w:val="489225F5"/>
    <w:rsid w:val="4AC26B09"/>
    <w:rsid w:val="4B787F7B"/>
    <w:rsid w:val="4CBD3031"/>
    <w:rsid w:val="4F504137"/>
    <w:rsid w:val="53A94D0A"/>
    <w:rsid w:val="54C55B73"/>
    <w:rsid w:val="5557369E"/>
    <w:rsid w:val="556E7FB9"/>
    <w:rsid w:val="562A2635"/>
    <w:rsid w:val="58951D01"/>
    <w:rsid w:val="598C0585"/>
    <w:rsid w:val="5A2446BB"/>
    <w:rsid w:val="5BD623CE"/>
    <w:rsid w:val="5C3655A9"/>
    <w:rsid w:val="5C417E57"/>
    <w:rsid w:val="5D686580"/>
    <w:rsid w:val="5E4159AE"/>
    <w:rsid w:val="5EDC4665"/>
    <w:rsid w:val="5EE72B8A"/>
    <w:rsid w:val="63C4320F"/>
    <w:rsid w:val="63DD68D9"/>
    <w:rsid w:val="65801643"/>
    <w:rsid w:val="65CA2F3E"/>
    <w:rsid w:val="65DA0D53"/>
    <w:rsid w:val="682B272D"/>
    <w:rsid w:val="685A57DF"/>
    <w:rsid w:val="69D501AF"/>
    <w:rsid w:val="6C80536B"/>
    <w:rsid w:val="6F0137F4"/>
    <w:rsid w:val="6F8E0D96"/>
    <w:rsid w:val="70BF5715"/>
    <w:rsid w:val="70D70CB1"/>
    <w:rsid w:val="71535C82"/>
    <w:rsid w:val="71995F66"/>
    <w:rsid w:val="73A9386E"/>
    <w:rsid w:val="7600119A"/>
    <w:rsid w:val="79627585"/>
    <w:rsid w:val="79703FD4"/>
    <w:rsid w:val="7A214D4A"/>
    <w:rsid w:val="7B9D2AF7"/>
    <w:rsid w:val="7D9F4904"/>
    <w:rsid w:val="7F765B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spacing w:before="100" w:beforeAutospacing="1" w:after="100" w:afterAutospacing="1"/>
      <w:jc w:val="left"/>
      <w:outlineLvl w:val="1"/>
    </w:pPr>
    <w:rPr>
      <w:rFonts w:hint="eastAsia" w:ascii="宋体" w:hAnsi="宋体" w:eastAsia="宋体" w:cs="Times New Roman"/>
      <w:b/>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_Style 2"/>
    <w:qFormat/>
    <w:uiPriority w:val="0"/>
    <w:pPr>
      <w:widowControl w:val="0"/>
      <w:spacing w:line="549" w:lineRule="atLeast"/>
      <w:ind w:firstLine="623"/>
      <w:jc w:val="both"/>
    </w:pPr>
    <w:rPr>
      <w:rFonts w:ascii="Times New Roman" w:hAnsi="Times New Roman" w:eastAsia="仿宋_GB2312" w:cs="方正仿宋_GBK"/>
      <w:kern w:val="2"/>
      <w:sz w:val="31"/>
      <w:szCs w:val="32"/>
      <w:lang w:val="en-US" w:eastAsia="zh-CN" w:bidi="ar-SA"/>
    </w:rPr>
  </w:style>
  <w:style w:type="paragraph" w:styleId="4">
    <w:name w:val="Body Text Indent"/>
    <w:basedOn w:val="1"/>
    <w:unhideWhenUsed/>
    <w:qFormat/>
    <w:uiPriority w:val="99"/>
    <w:pPr>
      <w:spacing w:after="120"/>
      <w:ind w:left="420" w:leftChars="200"/>
    </w:p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4"/>
    <w:autoRedefine/>
    <w:unhideWhenUsed/>
    <w:qFormat/>
    <w:uiPriority w:val="99"/>
    <w:pPr>
      <w:ind w:firstLine="420" w:firstLineChars="200"/>
    </w:pPr>
    <w:rPr>
      <w:rFonts w:ascii="Calibri" w:hAnsi="Calibri"/>
    </w:rPr>
  </w:style>
  <w:style w:type="character" w:customStyle="1" w:styleId="10">
    <w:name w:val="NormalCharacter"/>
    <w:autoRedefine/>
    <w:qFormat/>
    <w:uiPriority w:val="0"/>
  </w:style>
  <w:style w:type="character" w:customStyle="1" w:styleId="11">
    <w:name w:val="页眉 Char"/>
    <w:basedOn w:val="9"/>
    <w:link w:val="6"/>
    <w:qFormat/>
    <w:uiPriority w:val="0"/>
    <w:rPr>
      <w:kern w:val="2"/>
      <w:sz w:val="18"/>
      <w:szCs w:val="18"/>
    </w:rPr>
  </w:style>
  <w:style w:type="character" w:customStyle="1" w:styleId="12">
    <w:name w:val="页脚 Char"/>
    <w:basedOn w:val="9"/>
    <w:link w:val="5"/>
    <w:qFormat/>
    <w:uiPriority w:val="0"/>
    <w:rPr>
      <w:kern w:val="2"/>
      <w:sz w:val="18"/>
      <w:szCs w:val="18"/>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841</Words>
  <Characters>871</Characters>
  <Lines>4</Lines>
  <Paragraphs>1</Paragraphs>
  <TotalTime>25</TotalTime>
  <ScaleCrop>false</ScaleCrop>
  <LinksUpToDate>false</LinksUpToDate>
  <CharactersWithSpaces>962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2022-11-29T06:40:00Z</dcterms:created>
  <dc:creator>莹</dc:creator>
  <cp:lastModifiedBy>柠檬</cp:lastModifiedBy>
  <cp:lastPrinted>2026-10-13T02:44:00Z</cp:lastPrinted>
  <dcterms:modified xsi:type="dcterms:W3CDTF">2026-10-14T08:28:34Z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4C411D863A23432D8618EC2B345DEE09_13</vt:lpwstr>
  </property>
  <property fmtid="{D5CDD505-2E9C-101B-9397-08002B2CF9AE}" pid="4" name="KSOTemplateDocerSaveRecord">
    <vt:lpwstr>eyJoZGlkIjoiZjQxY2VhZDcyODM1MGQyOTE3ZDhlYjMyZjRmNjRlYWIiLCJ1c2VySWQiOiIxMTQ2MTI4NzYxIn0=</vt:lpwstr>
  </property>
</Properties>
</file>