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7B6F4">
      <w:pPr>
        <w:tabs>
          <w:tab w:val="left" w:pos="7700"/>
        </w:tabs>
        <w:spacing w:line="540" w:lineRule="exact"/>
        <w:rPr>
          <w:rFonts w:hint="eastAsia" w:ascii="黑体" w:hAnsi="黑体" w:eastAsia="黑体" w:cs="黑体"/>
          <w:b w:val="0"/>
          <w:bCs w:val="0"/>
          <w:color w:val="auto"/>
          <w:sz w:val="32"/>
          <w:szCs w:val="32"/>
          <w:lang w:eastAsia="zh-CN"/>
        </w:rPr>
      </w:pPr>
    </w:p>
    <w:p w14:paraId="533ABA99">
      <w:pPr>
        <w:adjustRightInd w:val="0"/>
        <w:snapToGrid w:val="0"/>
        <w:spacing w:line="400" w:lineRule="exact"/>
        <w:jc w:val="center"/>
        <w:rPr>
          <w:rFonts w:hint="eastAsia" w:ascii="仿宋_GB2312" w:hAnsi="华文中宋" w:eastAsia="仿宋_GB2312"/>
          <w:b w:val="0"/>
          <w:bCs w:val="0"/>
          <w:color w:val="auto"/>
          <w:sz w:val="32"/>
          <w:szCs w:val="32"/>
        </w:rPr>
      </w:pPr>
    </w:p>
    <w:p w14:paraId="43A1E4DF">
      <w:pPr>
        <w:shd w:val="clear" w:color="auto" w:fill="auto"/>
        <w:adjustRightInd w:val="0"/>
        <w:snapToGrid w:val="0"/>
        <w:spacing w:line="780" w:lineRule="exact"/>
        <w:jc w:val="center"/>
        <w:rPr>
          <w:rFonts w:hint="eastAsia" w:ascii="仿宋_GB2312" w:hAnsi="华文中宋" w:eastAsia="仿宋_GB2312"/>
          <w:b w:val="0"/>
          <w:bCs w:val="0"/>
          <w:color w:val="auto"/>
          <w:sz w:val="32"/>
          <w:szCs w:val="32"/>
        </w:rPr>
      </w:pPr>
    </w:p>
    <w:p w14:paraId="2C11D968">
      <w:pPr>
        <w:shd w:val="clear" w:color="auto" w:fill="auto"/>
        <w:adjustRightInd w:val="0"/>
        <w:snapToGrid w:val="0"/>
        <w:spacing w:line="580" w:lineRule="exact"/>
        <w:jc w:val="center"/>
        <w:rPr>
          <w:rFonts w:hint="eastAsia" w:ascii="仿宋_GB2312" w:hAnsi="华文中宋" w:eastAsia="仿宋_GB2312"/>
          <w:b w:val="0"/>
          <w:bCs w:val="0"/>
          <w:color w:val="auto"/>
          <w:sz w:val="32"/>
          <w:szCs w:val="32"/>
        </w:rPr>
      </w:pPr>
    </w:p>
    <w:p w14:paraId="4253DB74">
      <w:pPr>
        <w:keepNext w:val="0"/>
        <w:keepLines w:val="0"/>
        <w:pageBreakBefore w:val="0"/>
        <w:widowControl w:val="0"/>
        <w:shd w:val="clear" w:color="auto" w:fill="auto"/>
        <w:kinsoku/>
        <w:wordWrap/>
        <w:overflowPunct/>
        <w:topLinePunct w:val="0"/>
        <w:autoSpaceDE/>
        <w:autoSpaceDN/>
        <w:bidi w:val="0"/>
        <w:adjustRightInd w:val="0"/>
        <w:snapToGrid w:val="0"/>
        <w:spacing w:after="0" w:line="740" w:lineRule="exact"/>
        <w:jc w:val="center"/>
        <w:textAlignment w:val="auto"/>
        <w:rPr>
          <w:rFonts w:hint="eastAsia" w:ascii="仿宋_GB2312" w:hAnsi="华文中宋" w:eastAsia="仿宋_GB2312"/>
          <w:b w:val="0"/>
          <w:bCs w:val="0"/>
          <w:color w:val="auto"/>
          <w:sz w:val="32"/>
          <w:szCs w:val="32"/>
        </w:rPr>
      </w:pPr>
    </w:p>
    <w:p w14:paraId="194A02D1">
      <w:pPr>
        <w:keepNext w:val="0"/>
        <w:keepLines w:val="0"/>
        <w:pageBreakBefore w:val="0"/>
        <w:widowControl w:val="0"/>
        <w:shd w:val="clear" w:color="auto" w:fill="auto"/>
        <w:kinsoku/>
        <w:wordWrap/>
        <w:overflowPunct/>
        <w:topLinePunct w:val="0"/>
        <w:autoSpaceDE/>
        <w:autoSpaceDN/>
        <w:bidi w:val="0"/>
        <w:adjustRightInd w:val="0"/>
        <w:snapToGrid w:val="0"/>
        <w:spacing w:after="0" w:line="780" w:lineRule="exact"/>
        <w:jc w:val="center"/>
        <w:textAlignment w:val="auto"/>
        <w:rPr>
          <w:rFonts w:hint="eastAsia" w:ascii="仿宋_GB2312" w:hAnsi="华文中宋" w:eastAsia="仿宋_GB2312"/>
          <w:b w:val="0"/>
          <w:bCs w:val="0"/>
          <w:color w:val="auto"/>
          <w:sz w:val="32"/>
          <w:szCs w:val="32"/>
        </w:rPr>
      </w:pPr>
    </w:p>
    <w:p w14:paraId="359BF95A">
      <w:pPr>
        <w:shd w:val="clear" w:color="auto" w:fill="auto"/>
        <w:adjustRightInd w:val="0"/>
        <w:snapToGrid w:val="0"/>
        <w:spacing w:line="580" w:lineRule="exact"/>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平政办</w:t>
      </w:r>
      <w:r>
        <w:rPr>
          <w:rFonts w:hint="eastAsia" w:ascii="仿宋_GB2312" w:hAnsi="仿宋_GB2312" w:eastAsia="仿宋_GB2312" w:cs="仿宋_GB2312"/>
          <w:b w:val="0"/>
          <w:bCs w:val="0"/>
          <w:color w:val="auto"/>
          <w:sz w:val="32"/>
          <w:szCs w:val="32"/>
          <w:lang w:eastAsia="zh-CN"/>
        </w:rPr>
        <w:t>字</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pacing w:val="28"/>
          <w:sz w:val="32"/>
          <w:szCs w:val="32"/>
          <w:lang w:val="en-US" w:eastAsia="zh-CN"/>
        </w:rPr>
        <w:t>26</w:t>
      </w:r>
      <w:r>
        <w:rPr>
          <w:rFonts w:hint="eastAsia" w:ascii="仿宋_GB2312" w:hAnsi="仿宋_GB2312" w:eastAsia="仿宋_GB2312" w:cs="仿宋_GB2312"/>
          <w:b w:val="0"/>
          <w:bCs w:val="0"/>
          <w:color w:val="auto"/>
          <w:sz w:val="32"/>
          <w:szCs w:val="32"/>
        </w:rPr>
        <w:t>号</w:t>
      </w:r>
    </w:p>
    <w:p w14:paraId="483C9D9B">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jc w:val="center"/>
        <w:textAlignment w:val="auto"/>
        <w:rPr>
          <w:rFonts w:hint="eastAsia" w:ascii="黑体" w:hAnsi="华文中宋" w:eastAsia="黑体"/>
          <w:b w:val="0"/>
          <w:bCs w:val="0"/>
          <w:color w:val="auto"/>
          <w:sz w:val="44"/>
          <w:szCs w:val="44"/>
        </w:rPr>
      </w:pPr>
    </w:p>
    <w:p w14:paraId="149C5EE2">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jc w:val="center"/>
        <w:textAlignment w:val="auto"/>
        <w:rPr>
          <w:rFonts w:hint="eastAsia" w:ascii="黑体" w:hAnsi="华文中宋" w:eastAsia="黑体"/>
          <w:b w:val="0"/>
          <w:bCs w:val="0"/>
          <w:color w:val="auto"/>
          <w:sz w:val="44"/>
          <w:szCs w:val="44"/>
        </w:rPr>
      </w:pPr>
    </w:p>
    <w:p w14:paraId="07B0B33E">
      <w:pPr>
        <w:pStyle w:val="5"/>
        <w:keepNext w:val="0"/>
        <w:keepLines w:val="0"/>
        <w:pageBreakBefore w:val="0"/>
        <w:widowControl w:val="0"/>
        <w:kinsoku/>
        <w:wordWrap/>
        <w:overflowPunct/>
        <w:topLinePunct w:val="0"/>
        <w:autoSpaceDE/>
        <w:autoSpaceDN/>
        <w:bidi w:val="0"/>
        <w:adjustRightInd/>
        <w:snapToGrid/>
        <w:spacing w:beforeAutospacing="0" w:afterAutospacing="0" w:line="630" w:lineRule="exact"/>
        <w:jc w:val="center"/>
        <w:textAlignment w:val="auto"/>
        <w:rPr>
          <w:rStyle w:val="8"/>
          <w:rFonts w:hint="eastAsia" w:ascii="文星标宋" w:hAnsi="文星标宋" w:eastAsia="文星标宋" w:cs="文星标宋"/>
          <w:b w:val="0"/>
          <w:bCs w:val="0"/>
          <w:color w:val="auto"/>
          <w:sz w:val="44"/>
          <w:szCs w:val="44"/>
        </w:rPr>
      </w:pPr>
      <w:r>
        <w:rPr>
          <w:rStyle w:val="8"/>
          <w:rFonts w:hint="eastAsia" w:ascii="文星标宋" w:hAnsi="文星标宋" w:eastAsia="文星标宋" w:cs="文星标宋"/>
          <w:b w:val="0"/>
          <w:bCs w:val="0"/>
          <w:color w:val="auto"/>
          <w:sz w:val="44"/>
          <w:szCs w:val="44"/>
        </w:rPr>
        <w:t>平阴县人民政府办公室</w:t>
      </w:r>
    </w:p>
    <w:p w14:paraId="67DADD8C">
      <w:pPr>
        <w:keepNext w:val="0"/>
        <w:keepLines w:val="0"/>
        <w:pageBreakBefore w:val="0"/>
        <w:widowControl w:val="0"/>
        <w:kinsoku/>
        <w:wordWrap/>
        <w:overflowPunct/>
        <w:topLinePunct w:val="0"/>
        <w:autoSpaceDE/>
        <w:autoSpaceDN/>
        <w:bidi w:val="0"/>
        <w:adjustRightInd/>
        <w:snapToGrid/>
        <w:spacing w:line="630" w:lineRule="exact"/>
        <w:jc w:val="center"/>
        <w:textAlignment w:val="auto"/>
        <w:rPr>
          <w:rFonts w:hint="eastAsia" w:ascii="文星标宋" w:hAnsi="文星标宋" w:eastAsia="文星标宋" w:cs="文星标宋"/>
          <w:b w:val="0"/>
          <w:bCs w:val="0"/>
          <w:color w:val="auto"/>
          <w:sz w:val="44"/>
          <w:szCs w:val="44"/>
          <w:lang w:eastAsia="zh-CN"/>
        </w:rPr>
      </w:pPr>
      <w:r>
        <w:rPr>
          <w:rStyle w:val="8"/>
          <w:rFonts w:hint="eastAsia" w:ascii="文星标宋" w:hAnsi="文星标宋" w:eastAsia="文星标宋" w:cs="文星标宋"/>
          <w:b w:val="0"/>
          <w:bCs w:val="0"/>
          <w:color w:val="auto"/>
          <w:sz w:val="44"/>
          <w:szCs w:val="44"/>
        </w:rPr>
        <w:t>关于印发</w:t>
      </w:r>
      <w:r>
        <w:rPr>
          <w:rFonts w:hint="eastAsia" w:ascii="文星标宋" w:hAnsi="文星标宋" w:eastAsia="文星标宋" w:cs="文星标宋"/>
          <w:b w:val="0"/>
          <w:bCs w:val="0"/>
          <w:color w:val="auto"/>
          <w:sz w:val="44"/>
          <w:szCs w:val="44"/>
        </w:rPr>
        <w:t>平阴县教育事业发展</w:t>
      </w:r>
      <w:bookmarkStart w:id="0" w:name="_GoBack"/>
      <w:bookmarkEnd w:id="0"/>
      <w:r>
        <w:rPr>
          <w:rFonts w:hint="eastAsia" w:ascii="文星标宋" w:hAnsi="文星标宋" w:eastAsia="文星标宋" w:cs="文星标宋"/>
          <w:b w:val="0"/>
          <w:bCs w:val="0"/>
          <w:color w:val="auto"/>
          <w:sz w:val="44"/>
          <w:szCs w:val="44"/>
          <w:lang w:eastAsia="zh-CN"/>
        </w:rPr>
        <w:t>“十四五”规划</w:t>
      </w:r>
    </w:p>
    <w:p w14:paraId="41CB519C">
      <w:pPr>
        <w:keepNext w:val="0"/>
        <w:keepLines w:val="0"/>
        <w:pageBreakBefore w:val="0"/>
        <w:widowControl w:val="0"/>
        <w:kinsoku/>
        <w:wordWrap/>
        <w:overflowPunct/>
        <w:topLinePunct w:val="0"/>
        <w:autoSpaceDE/>
        <w:autoSpaceDN/>
        <w:bidi w:val="0"/>
        <w:adjustRightInd/>
        <w:snapToGrid/>
        <w:spacing w:line="630" w:lineRule="exact"/>
        <w:jc w:val="center"/>
        <w:textAlignment w:val="auto"/>
        <w:rPr>
          <w:rStyle w:val="8"/>
          <w:rFonts w:hint="eastAsia" w:ascii="文星标宋" w:hAnsi="文星标宋" w:eastAsia="文星标宋" w:cs="文星标宋"/>
          <w:b w:val="0"/>
          <w:bCs w:val="0"/>
          <w:color w:val="auto"/>
          <w:sz w:val="44"/>
          <w:szCs w:val="44"/>
        </w:rPr>
      </w:pPr>
      <w:r>
        <w:rPr>
          <w:rFonts w:hint="eastAsia" w:ascii="文星标宋" w:hAnsi="文星标宋" w:eastAsia="文星标宋" w:cs="文星标宋"/>
          <w:b w:val="0"/>
          <w:bCs w:val="0"/>
          <w:color w:val="auto"/>
          <w:sz w:val="44"/>
          <w:szCs w:val="44"/>
        </w:rPr>
        <w:t>（2021—2025）</w:t>
      </w:r>
      <w:r>
        <w:rPr>
          <w:rStyle w:val="8"/>
          <w:rFonts w:hint="eastAsia" w:ascii="文星标宋" w:hAnsi="文星标宋" w:eastAsia="文星标宋" w:cs="文星标宋"/>
          <w:b w:val="0"/>
          <w:bCs w:val="0"/>
          <w:color w:val="auto"/>
          <w:sz w:val="44"/>
          <w:szCs w:val="44"/>
        </w:rPr>
        <w:t>的通知</w:t>
      </w:r>
    </w:p>
    <w:p w14:paraId="27754BD0">
      <w:pPr>
        <w:pStyle w:val="5"/>
        <w:keepNext w:val="0"/>
        <w:keepLines w:val="0"/>
        <w:pageBreakBefore w:val="0"/>
        <w:widowControl w:val="0"/>
        <w:kinsoku/>
        <w:wordWrap/>
        <w:overflowPunct/>
        <w:topLinePunct w:val="0"/>
        <w:autoSpaceDE/>
        <w:autoSpaceDN/>
        <w:bidi w:val="0"/>
        <w:adjustRightInd/>
        <w:snapToGrid/>
        <w:spacing w:beforeAutospacing="0" w:afterAutospacing="0" w:line="630" w:lineRule="exact"/>
        <w:jc w:val="center"/>
        <w:textAlignment w:val="auto"/>
        <w:rPr>
          <w:rStyle w:val="8"/>
          <w:rFonts w:ascii="方正小标宋简体" w:hAnsi="新宋体" w:eastAsia="方正小标宋简体" w:cs="黑体"/>
          <w:b w:val="0"/>
          <w:bCs w:val="0"/>
          <w:color w:val="auto"/>
          <w:sz w:val="44"/>
          <w:szCs w:val="44"/>
        </w:rPr>
      </w:pPr>
    </w:p>
    <w:p w14:paraId="3239814F">
      <w:pPr>
        <w:pStyle w:val="5"/>
        <w:keepNext w:val="0"/>
        <w:keepLines w:val="0"/>
        <w:pageBreakBefore w:val="0"/>
        <w:widowControl w:val="0"/>
        <w:kinsoku/>
        <w:wordWrap/>
        <w:overflowPunct/>
        <w:topLinePunct w:val="0"/>
        <w:autoSpaceDE/>
        <w:autoSpaceDN/>
        <w:bidi w:val="0"/>
        <w:adjustRightInd/>
        <w:snapToGrid/>
        <w:spacing w:beforeAutospacing="0" w:afterAutospacing="0" w:line="630" w:lineRule="exact"/>
        <w:jc w:val="both"/>
        <w:textAlignment w:val="auto"/>
        <w:rPr>
          <w:rStyle w:val="8"/>
          <w:rFonts w:ascii="仿宋_GB2312" w:hAnsi="新宋体" w:eastAsia="仿宋_GB2312" w:cs="黑体"/>
          <w:b w:val="0"/>
          <w:bCs w:val="0"/>
          <w:color w:val="auto"/>
          <w:sz w:val="32"/>
          <w:szCs w:val="32"/>
        </w:rPr>
      </w:pPr>
      <w:r>
        <w:rPr>
          <w:rStyle w:val="8"/>
          <w:rFonts w:hint="eastAsia" w:ascii="仿宋_GB2312" w:hAnsi="新宋体" w:eastAsia="仿宋_GB2312" w:cs="黑体"/>
          <w:b w:val="0"/>
          <w:bCs w:val="0"/>
          <w:color w:val="auto"/>
          <w:sz w:val="32"/>
          <w:szCs w:val="32"/>
        </w:rPr>
        <w:t>各镇人民政府,各街道办事处，平阴经济开发区，县政府各部门，各企事业单位:</w:t>
      </w:r>
    </w:p>
    <w:p w14:paraId="06C92CBB">
      <w:pPr>
        <w:pStyle w:val="5"/>
        <w:keepNext w:val="0"/>
        <w:keepLines w:val="0"/>
        <w:pageBreakBefore w:val="0"/>
        <w:widowControl w:val="0"/>
        <w:kinsoku/>
        <w:wordWrap/>
        <w:overflowPunct/>
        <w:topLinePunct w:val="0"/>
        <w:autoSpaceDE/>
        <w:autoSpaceDN/>
        <w:bidi w:val="0"/>
        <w:adjustRightInd/>
        <w:snapToGrid/>
        <w:spacing w:beforeAutospacing="0" w:afterAutospacing="0" w:line="630" w:lineRule="exact"/>
        <w:ind w:firstLine="640" w:firstLineChars="200"/>
        <w:textAlignment w:val="auto"/>
        <w:rPr>
          <w:rStyle w:val="8"/>
          <w:rFonts w:ascii="仿宋_GB2312" w:hAnsi="新宋体" w:eastAsia="仿宋_GB2312" w:cs="黑体"/>
          <w:b w:val="0"/>
          <w:bCs w:val="0"/>
          <w:color w:val="auto"/>
          <w:sz w:val="32"/>
          <w:szCs w:val="32"/>
        </w:rPr>
      </w:pPr>
      <w:r>
        <w:rPr>
          <w:rStyle w:val="8"/>
          <w:rFonts w:hint="eastAsia" w:ascii="新宋体" w:hAnsi="新宋体" w:eastAsia="仿宋_GB2312" w:cs="黑体"/>
          <w:b w:val="0"/>
          <w:bCs w:val="0"/>
          <w:color w:val="auto"/>
          <w:sz w:val="32"/>
          <w:szCs w:val="32"/>
        </w:rPr>
        <w:t>《</w:t>
      </w:r>
      <w:r>
        <w:rPr>
          <w:rStyle w:val="8"/>
          <w:rFonts w:hint="eastAsia" w:ascii="仿宋_GB2312" w:hAnsi="新宋体" w:eastAsia="仿宋_GB2312" w:cs="黑体"/>
          <w:b w:val="0"/>
          <w:bCs w:val="0"/>
          <w:color w:val="auto"/>
          <w:sz w:val="32"/>
          <w:szCs w:val="32"/>
        </w:rPr>
        <w:t>平阴县教育事业发展</w:t>
      </w:r>
      <w:r>
        <w:rPr>
          <w:rStyle w:val="8"/>
          <w:rFonts w:hint="eastAsia" w:ascii="仿宋_GB2312" w:hAnsi="新宋体" w:eastAsia="仿宋_GB2312" w:cs="黑体"/>
          <w:b w:val="0"/>
          <w:bCs w:val="0"/>
          <w:color w:val="auto"/>
          <w:sz w:val="32"/>
          <w:szCs w:val="32"/>
          <w:lang w:eastAsia="zh-CN"/>
        </w:rPr>
        <w:t>“十四五”规划</w:t>
      </w:r>
      <w:r>
        <w:rPr>
          <w:rStyle w:val="8"/>
          <w:rFonts w:hint="eastAsia" w:ascii="仿宋_GB2312" w:hAnsi="新宋体" w:eastAsia="仿宋_GB2312" w:cs="黑体"/>
          <w:b w:val="0"/>
          <w:bCs w:val="0"/>
          <w:color w:val="auto"/>
          <w:sz w:val="32"/>
          <w:szCs w:val="32"/>
        </w:rPr>
        <w:t>（2021-2025年）</w:t>
      </w:r>
      <w:r>
        <w:rPr>
          <w:rStyle w:val="8"/>
          <w:rFonts w:hint="eastAsia" w:ascii="新宋体" w:hAnsi="新宋体" w:eastAsia="仿宋_GB2312" w:cs="黑体"/>
          <w:b w:val="0"/>
          <w:bCs w:val="0"/>
          <w:color w:val="auto"/>
          <w:sz w:val="32"/>
          <w:szCs w:val="32"/>
        </w:rPr>
        <w:t>》</w:t>
      </w:r>
      <w:r>
        <w:rPr>
          <w:rStyle w:val="8"/>
          <w:rFonts w:hint="eastAsia" w:ascii="仿宋_GB2312" w:hAnsi="新宋体" w:eastAsia="仿宋_GB2312" w:cs="黑体"/>
          <w:b w:val="0"/>
          <w:bCs w:val="0"/>
          <w:color w:val="auto"/>
          <w:sz w:val="32"/>
          <w:szCs w:val="32"/>
        </w:rPr>
        <w:t>已经县政府同意,现印发给你们,请认真组织实施。</w:t>
      </w:r>
    </w:p>
    <w:p w14:paraId="389BD0B2">
      <w:pPr>
        <w:pStyle w:val="5"/>
        <w:keepNext w:val="0"/>
        <w:keepLines w:val="0"/>
        <w:pageBreakBefore w:val="0"/>
        <w:widowControl w:val="0"/>
        <w:kinsoku/>
        <w:wordWrap/>
        <w:overflowPunct/>
        <w:topLinePunct w:val="0"/>
        <w:autoSpaceDE/>
        <w:autoSpaceDN/>
        <w:bidi w:val="0"/>
        <w:adjustRightInd/>
        <w:snapToGrid/>
        <w:spacing w:beforeAutospacing="0" w:afterAutospacing="0" w:line="630" w:lineRule="exact"/>
        <w:ind w:firstLine="640" w:firstLineChars="200"/>
        <w:textAlignment w:val="auto"/>
        <w:rPr>
          <w:rStyle w:val="8"/>
          <w:rFonts w:ascii="仿宋_GB2312" w:hAnsi="新宋体" w:eastAsia="仿宋_GB2312" w:cs="黑体"/>
          <w:b w:val="0"/>
          <w:bCs w:val="0"/>
          <w:color w:val="auto"/>
          <w:sz w:val="32"/>
          <w:szCs w:val="32"/>
        </w:rPr>
      </w:pPr>
    </w:p>
    <w:p w14:paraId="30C94B8C">
      <w:pPr>
        <w:pStyle w:val="5"/>
        <w:keepNext w:val="0"/>
        <w:keepLines w:val="0"/>
        <w:pageBreakBefore w:val="0"/>
        <w:widowControl w:val="0"/>
        <w:kinsoku/>
        <w:wordWrap/>
        <w:overflowPunct/>
        <w:topLinePunct w:val="0"/>
        <w:autoSpaceDE/>
        <w:autoSpaceDN/>
        <w:bidi w:val="0"/>
        <w:adjustRightInd/>
        <w:snapToGrid/>
        <w:spacing w:beforeAutospacing="0" w:afterAutospacing="0" w:line="630" w:lineRule="exact"/>
        <w:ind w:firstLine="640" w:firstLineChars="200"/>
        <w:textAlignment w:val="auto"/>
        <w:rPr>
          <w:rStyle w:val="8"/>
          <w:rFonts w:ascii="仿宋_GB2312" w:hAnsi="新宋体" w:eastAsia="仿宋_GB2312" w:cs="黑体"/>
          <w:b w:val="0"/>
          <w:bCs w:val="0"/>
          <w:color w:val="auto"/>
          <w:sz w:val="32"/>
          <w:szCs w:val="32"/>
        </w:rPr>
      </w:pPr>
    </w:p>
    <w:p w14:paraId="37055BCB">
      <w:pPr>
        <w:pStyle w:val="5"/>
        <w:keepNext w:val="0"/>
        <w:keepLines w:val="0"/>
        <w:pageBreakBefore w:val="0"/>
        <w:widowControl w:val="0"/>
        <w:kinsoku/>
        <w:wordWrap/>
        <w:overflowPunct/>
        <w:topLinePunct w:val="0"/>
        <w:autoSpaceDE/>
        <w:autoSpaceDN/>
        <w:bidi w:val="0"/>
        <w:adjustRightInd/>
        <w:snapToGrid/>
        <w:spacing w:beforeAutospacing="0" w:afterAutospacing="0" w:line="630" w:lineRule="exact"/>
        <w:ind w:firstLine="5440" w:firstLineChars="1700"/>
        <w:jc w:val="both"/>
        <w:textAlignment w:val="auto"/>
        <w:rPr>
          <w:rStyle w:val="8"/>
          <w:rFonts w:ascii="仿宋_GB2312" w:hAnsi="新宋体" w:eastAsia="仿宋_GB2312" w:cs="黑体"/>
          <w:b w:val="0"/>
          <w:bCs w:val="0"/>
          <w:color w:val="auto"/>
          <w:sz w:val="32"/>
          <w:szCs w:val="32"/>
        </w:rPr>
      </w:pPr>
      <w:r>
        <w:rPr>
          <w:rStyle w:val="8"/>
          <w:rFonts w:hint="eastAsia" w:ascii="仿宋_GB2312" w:hAnsi="新宋体" w:eastAsia="仿宋_GB2312" w:cs="黑体"/>
          <w:b w:val="0"/>
          <w:bCs w:val="0"/>
          <w:color w:val="auto"/>
          <w:sz w:val="32"/>
          <w:szCs w:val="32"/>
        </w:rPr>
        <w:t>平阴县人民政府办公室</w:t>
      </w:r>
    </w:p>
    <w:p w14:paraId="5A5C6D6A">
      <w:pPr>
        <w:pStyle w:val="5"/>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5737" w:firstLineChars="1793"/>
        <w:jc w:val="both"/>
        <w:textAlignment w:val="auto"/>
        <w:rPr>
          <w:rStyle w:val="8"/>
          <w:rFonts w:ascii="仿宋_GB2312" w:hAnsi="新宋体" w:eastAsia="仿宋_GB2312" w:cs="黑体"/>
          <w:b w:val="0"/>
          <w:bCs w:val="0"/>
          <w:color w:val="auto"/>
          <w:sz w:val="32"/>
          <w:szCs w:val="32"/>
        </w:rPr>
      </w:pPr>
      <w:r>
        <w:rPr>
          <w:rStyle w:val="8"/>
          <w:rFonts w:hint="eastAsia" w:ascii="仿宋_GB2312" w:hAnsi="新宋体" w:eastAsia="仿宋_GB2312" w:cs="黑体"/>
          <w:b w:val="0"/>
          <w:bCs w:val="0"/>
          <w:color w:val="auto"/>
          <w:sz w:val="32"/>
          <w:szCs w:val="32"/>
        </w:rPr>
        <w:t>2021年12月20日</w:t>
      </w:r>
    </w:p>
    <w:p w14:paraId="774A2F1F">
      <w:pPr>
        <w:pStyle w:val="5"/>
        <w:keepNext w:val="0"/>
        <w:keepLines w:val="0"/>
        <w:pageBreakBefore w:val="0"/>
        <w:widowControl w:val="0"/>
        <w:kinsoku/>
        <w:wordWrap/>
        <w:overflowPunct/>
        <w:topLinePunct w:val="0"/>
        <w:autoSpaceDE/>
        <w:autoSpaceDN/>
        <w:bidi w:val="0"/>
        <w:adjustRightInd/>
        <w:snapToGrid/>
        <w:spacing w:beforeAutospacing="0" w:afterAutospacing="0" w:line="630" w:lineRule="exact"/>
        <w:jc w:val="center"/>
        <w:textAlignment w:val="auto"/>
        <w:rPr>
          <w:rStyle w:val="8"/>
          <w:rFonts w:ascii="新宋体" w:hAnsi="新宋体" w:eastAsia="新宋体" w:cs="黑体"/>
          <w:b w:val="0"/>
          <w:bCs w:val="0"/>
          <w:color w:val="auto"/>
          <w:sz w:val="44"/>
          <w:szCs w:val="44"/>
        </w:rPr>
      </w:pPr>
    </w:p>
    <w:p w14:paraId="7EBE2CB6">
      <w:pPr>
        <w:pStyle w:val="5"/>
        <w:keepNext w:val="0"/>
        <w:keepLines w:val="0"/>
        <w:pageBreakBefore w:val="0"/>
        <w:widowControl w:val="0"/>
        <w:kinsoku/>
        <w:wordWrap/>
        <w:overflowPunct/>
        <w:topLinePunct w:val="0"/>
        <w:autoSpaceDE/>
        <w:autoSpaceDN/>
        <w:bidi w:val="0"/>
        <w:adjustRightInd/>
        <w:snapToGrid/>
        <w:spacing w:beforeAutospacing="0" w:afterAutospacing="0" w:line="630" w:lineRule="exact"/>
        <w:jc w:val="center"/>
        <w:textAlignment w:val="auto"/>
        <w:rPr>
          <w:rStyle w:val="8"/>
          <w:rFonts w:ascii="新宋体" w:hAnsi="新宋体" w:eastAsia="新宋体" w:cs="黑体"/>
          <w:b w:val="0"/>
          <w:bCs w:val="0"/>
          <w:color w:val="auto"/>
          <w:sz w:val="44"/>
          <w:szCs w:val="44"/>
        </w:rPr>
      </w:pPr>
    </w:p>
    <w:p w14:paraId="3B540348">
      <w:pPr>
        <w:keepNext w:val="0"/>
        <w:keepLines w:val="0"/>
        <w:pageBreakBefore w:val="0"/>
        <w:widowControl w:val="0"/>
        <w:kinsoku/>
        <w:wordWrap/>
        <w:overflowPunct/>
        <w:topLinePunct w:val="0"/>
        <w:autoSpaceDE/>
        <w:autoSpaceDN/>
        <w:bidi w:val="0"/>
        <w:adjustRightInd/>
        <w:snapToGrid/>
        <w:spacing w:line="630" w:lineRule="exact"/>
        <w:jc w:val="center"/>
        <w:textAlignment w:val="auto"/>
        <w:rPr>
          <w:rFonts w:hint="eastAsia" w:ascii="文星标宋" w:hAnsi="文星标宋" w:eastAsia="文星标宋" w:cs="文星标宋"/>
          <w:b w:val="0"/>
          <w:bCs w:val="0"/>
          <w:color w:val="auto"/>
          <w:sz w:val="44"/>
          <w:szCs w:val="44"/>
          <w:lang w:eastAsia="zh-CN"/>
        </w:rPr>
      </w:pPr>
      <w:r>
        <w:rPr>
          <w:rFonts w:hint="eastAsia" w:ascii="文星标宋" w:hAnsi="文星标宋" w:eastAsia="文星标宋" w:cs="文星标宋"/>
          <w:b w:val="0"/>
          <w:bCs w:val="0"/>
          <w:color w:val="auto"/>
          <w:sz w:val="44"/>
          <w:szCs w:val="44"/>
        </w:rPr>
        <w:t>平阴县教育事业发展</w:t>
      </w:r>
      <w:r>
        <w:rPr>
          <w:rFonts w:hint="eastAsia" w:ascii="文星标宋" w:hAnsi="文星标宋" w:eastAsia="文星标宋" w:cs="文星标宋"/>
          <w:b w:val="0"/>
          <w:bCs w:val="0"/>
          <w:color w:val="auto"/>
          <w:sz w:val="44"/>
          <w:szCs w:val="44"/>
          <w:lang w:eastAsia="zh-CN"/>
        </w:rPr>
        <w:t>“十四五”规划</w:t>
      </w:r>
    </w:p>
    <w:p w14:paraId="672EBD94">
      <w:pPr>
        <w:keepNext w:val="0"/>
        <w:keepLines w:val="0"/>
        <w:pageBreakBefore w:val="0"/>
        <w:widowControl w:val="0"/>
        <w:kinsoku/>
        <w:wordWrap/>
        <w:overflowPunct/>
        <w:topLinePunct w:val="0"/>
        <w:autoSpaceDE/>
        <w:autoSpaceDN/>
        <w:bidi w:val="0"/>
        <w:adjustRightInd/>
        <w:snapToGrid/>
        <w:spacing w:line="630" w:lineRule="exact"/>
        <w:jc w:val="center"/>
        <w:textAlignment w:val="auto"/>
        <w:rPr>
          <w:rFonts w:ascii="楷体_GB2312" w:eastAsia="楷体_GB2312"/>
          <w:b w:val="0"/>
          <w:bCs w:val="0"/>
          <w:color w:val="auto"/>
          <w:sz w:val="32"/>
          <w:szCs w:val="32"/>
        </w:rPr>
      </w:pPr>
      <w:r>
        <w:rPr>
          <w:rFonts w:hint="eastAsia" w:ascii="楷体_GB2312" w:eastAsia="楷体_GB2312"/>
          <w:b w:val="0"/>
          <w:bCs w:val="0"/>
          <w:color w:val="auto"/>
          <w:sz w:val="32"/>
          <w:szCs w:val="32"/>
        </w:rPr>
        <w:t>（2021—2025）</w:t>
      </w:r>
    </w:p>
    <w:p w14:paraId="01F92854">
      <w:pPr>
        <w:keepNext w:val="0"/>
        <w:keepLines w:val="0"/>
        <w:pageBreakBefore w:val="0"/>
        <w:widowControl w:val="0"/>
        <w:kinsoku/>
        <w:wordWrap/>
        <w:overflowPunct/>
        <w:topLinePunct w:val="0"/>
        <w:autoSpaceDE/>
        <w:autoSpaceDN/>
        <w:bidi w:val="0"/>
        <w:adjustRightInd/>
        <w:snapToGrid/>
        <w:spacing w:line="630" w:lineRule="exact"/>
        <w:jc w:val="center"/>
        <w:textAlignment w:val="auto"/>
        <w:rPr>
          <w:rFonts w:ascii="楷体_GB2312" w:eastAsia="楷体_GB2312"/>
          <w:b w:val="0"/>
          <w:bCs w:val="0"/>
          <w:color w:val="auto"/>
          <w:sz w:val="32"/>
          <w:szCs w:val="32"/>
        </w:rPr>
      </w:pPr>
    </w:p>
    <w:p w14:paraId="654AD3C7">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hAnsi="Verdana" w:eastAsia="仿宋_GB2312"/>
          <w:b w:val="0"/>
          <w:bCs w:val="0"/>
          <w:color w:val="auto"/>
          <w:sz w:val="32"/>
          <w:szCs w:val="32"/>
        </w:rPr>
      </w:pPr>
      <w:r>
        <w:rPr>
          <w:rFonts w:hint="eastAsia" w:ascii="仿宋_GB2312" w:hAnsi="Verdana" w:eastAsia="仿宋_GB2312"/>
          <w:b w:val="0"/>
          <w:bCs w:val="0"/>
          <w:color w:val="auto"/>
          <w:sz w:val="32"/>
          <w:szCs w:val="32"/>
        </w:rPr>
        <w:t>教育事业是经济社会发展的基石，是提高人的素质、实现人的全面发展的基础工程，涉及千家万户、惠及子孙后代，决定国运兴衰、关系社会和谐。优先发展教育、提高教育现代化水平，对全县经济社会发展具有基础性、先导性、全局性地位和作用。结合全县教育发展实际，特制定平阴县教育事业发展第十四个五年规划。</w:t>
      </w:r>
    </w:p>
    <w:p w14:paraId="02F6A511">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一、总体要求</w:t>
      </w:r>
    </w:p>
    <w:p w14:paraId="424497C3">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楷体_GB2312" w:hAnsi="黑体" w:eastAsia="楷体_GB2312"/>
          <w:b w:val="0"/>
          <w:bCs w:val="0"/>
          <w:color w:val="auto"/>
          <w:sz w:val="32"/>
          <w:szCs w:val="32"/>
        </w:rPr>
      </w:pPr>
      <w:r>
        <w:rPr>
          <w:rFonts w:hint="eastAsia" w:ascii="楷体_GB2312" w:hAnsi="黑体" w:eastAsia="楷体_GB2312"/>
          <w:b w:val="0"/>
          <w:bCs w:val="0"/>
          <w:color w:val="auto"/>
          <w:sz w:val="32"/>
          <w:szCs w:val="32"/>
        </w:rPr>
        <w:t>（一）指导思想</w:t>
      </w:r>
    </w:p>
    <w:p w14:paraId="0D99A77B">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以习近平新时代中国特色社会主义思想为指导，</w:t>
      </w:r>
      <w:r>
        <w:rPr>
          <w:rFonts w:hint="eastAsia" w:ascii="仿宋_GB2312" w:hAnsi="微软雅黑" w:eastAsia="仿宋_GB2312" w:cs="宋体"/>
          <w:b w:val="0"/>
          <w:bCs w:val="0"/>
          <w:color w:val="auto"/>
          <w:kern w:val="0"/>
          <w:sz w:val="32"/>
          <w:szCs w:val="32"/>
        </w:rPr>
        <w:t>全面贯彻落实党的十九大和十九届历次全会精神，全面贯彻党的教育方针，坚持社会主义办学方向，落实立德树人根本任务，</w:t>
      </w:r>
      <w:r>
        <w:rPr>
          <w:rFonts w:hint="eastAsia" w:ascii="仿宋_GB2312" w:eastAsia="仿宋_GB2312"/>
          <w:b w:val="0"/>
          <w:bCs w:val="0"/>
          <w:color w:val="auto"/>
          <w:sz w:val="32"/>
          <w:szCs w:val="32"/>
        </w:rPr>
        <w:t>坚持教育优先发展，坚持教育全面发展，坚持教育公平而有质量发展，持续推进现代化建设，促进县城更加优质均衡，</w:t>
      </w:r>
      <w:r>
        <w:rPr>
          <w:rFonts w:hint="eastAsia" w:ascii="仿宋_GB2312" w:hAnsi="微软雅黑" w:eastAsia="仿宋_GB2312" w:cs="宋体"/>
          <w:b w:val="0"/>
          <w:bCs w:val="0"/>
          <w:color w:val="auto"/>
          <w:kern w:val="0"/>
          <w:sz w:val="32"/>
          <w:szCs w:val="32"/>
        </w:rPr>
        <w:t>实现平阴教育高质量发展，</w:t>
      </w:r>
      <w:r>
        <w:rPr>
          <w:rFonts w:hint="eastAsia" w:ascii="仿宋_GB2312" w:eastAsia="仿宋_GB2312"/>
          <w:b w:val="0"/>
          <w:bCs w:val="0"/>
          <w:color w:val="auto"/>
          <w:sz w:val="32"/>
          <w:szCs w:val="32"/>
        </w:rPr>
        <w:t>努力培养德智体美劳全面发展的社会主义建设者和接班人。</w:t>
      </w:r>
    </w:p>
    <w:p w14:paraId="542763E0">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楷体_GB2312" w:hAnsi="黑体" w:eastAsia="楷体_GB2312"/>
          <w:b w:val="0"/>
          <w:bCs w:val="0"/>
          <w:color w:val="auto"/>
          <w:sz w:val="32"/>
          <w:szCs w:val="32"/>
        </w:rPr>
      </w:pPr>
      <w:r>
        <w:rPr>
          <w:rFonts w:hint="eastAsia" w:ascii="楷体_GB2312" w:hAnsi="黑体" w:eastAsia="楷体_GB2312"/>
          <w:b w:val="0"/>
          <w:bCs w:val="0"/>
          <w:color w:val="auto"/>
          <w:sz w:val="32"/>
          <w:szCs w:val="32"/>
        </w:rPr>
        <w:t>（二）总体目标</w:t>
      </w:r>
    </w:p>
    <w:p w14:paraId="29AD7E84">
      <w:pPr>
        <w:keepNext w:val="0"/>
        <w:keepLines w:val="0"/>
        <w:pageBreakBefore w:val="0"/>
        <w:widowControl w:val="0"/>
        <w:kinsoku/>
        <w:wordWrap/>
        <w:overflowPunct/>
        <w:topLinePunct w:val="0"/>
        <w:autoSpaceDE/>
        <w:autoSpaceDN/>
        <w:bidi w:val="0"/>
        <w:adjustRightInd/>
        <w:snapToGrid/>
        <w:spacing w:line="630" w:lineRule="exact"/>
        <w:ind w:firstLine="664" w:firstLineChars="200"/>
        <w:jc w:val="both"/>
        <w:textAlignment w:val="auto"/>
        <w:rPr>
          <w:rFonts w:ascii="仿宋_GB2312" w:hAnsi="黑体" w:eastAsia="仿宋_GB2312"/>
          <w:b w:val="0"/>
          <w:bCs w:val="0"/>
          <w:color w:val="auto"/>
          <w:spacing w:val="6"/>
          <w:sz w:val="32"/>
          <w:szCs w:val="32"/>
        </w:rPr>
      </w:pPr>
      <w:r>
        <w:rPr>
          <w:rFonts w:hint="eastAsia" w:ascii="仿宋_GB2312" w:hAnsi="黑体" w:eastAsia="仿宋_GB2312"/>
          <w:b w:val="0"/>
          <w:bCs w:val="0"/>
          <w:color w:val="auto"/>
          <w:spacing w:val="6"/>
          <w:sz w:val="32"/>
          <w:szCs w:val="32"/>
        </w:rPr>
        <w:t>建设教育强县，打造高质量发展品牌，综合实力居于全市前列。</w:t>
      </w:r>
    </w:p>
    <w:p w14:paraId="53699A59">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楷体_GB2312" w:hAnsi="黑体" w:eastAsia="楷体_GB2312"/>
          <w:b w:val="0"/>
          <w:bCs w:val="0"/>
          <w:color w:val="auto"/>
          <w:sz w:val="32"/>
          <w:szCs w:val="32"/>
        </w:rPr>
      </w:pPr>
      <w:r>
        <w:rPr>
          <w:rFonts w:hint="eastAsia" w:ascii="楷体_GB2312" w:hAnsi="黑体" w:eastAsia="楷体_GB2312"/>
          <w:b w:val="0"/>
          <w:bCs w:val="0"/>
          <w:color w:val="auto"/>
          <w:sz w:val="32"/>
          <w:szCs w:val="32"/>
        </w:rPr>
        <w:t>（三）具体目标</w:t>
      </w:r>
    </w:p>
    <w:p w14:paraId="076E41DE">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eastAsia="仿宋_GB2312"/>
          <w:b w:val="0"/>
          <w:bCs w:val="0"/>
          <w:color w:val="auto"/>
          <w:sz w:val="32"/>
          <w:szCs w:val="32"/>
        </w:rPr>
      </w:pPr>
      <w:r>
        <w:rPr>
          <w:rFonts w:hint="eastAsia" w:ascii="仿宋_GB2312" w:hAnsi="黑体" w:eastAsia="仿宋_GB2312"/>
          <w:b w:val="0"/>
          <w:bCs w:val="0"/>
          <w:color w:val="auto"/>
          <w:sz w:val="32"/>
          <w:szCs w:val="32"/>
        </w:rPr>
        <w:t>1.学校布局更加合理。</w:t>
      </w:r>
      <w:r>
        <w:rPr>
          <w:rFonts w:hint="eastAsia" w:ascii="仿宋_GB2312" w:eastAsia="仿宋_GB2312"/>
          <w:b w:val="0"/>
          <w:bCs w:val="0"/>
          <w:color w:val="auto"/>
          <w:sz w:val="32"/>
          <w:szCs w:val="32"/>
        </w:rPr>
        <w:t>根据“平阴县2019-2030中小学及幼儿园布局规划”，十四五末，全县学校（幼儿园）达到110所。农村义务教育学校、幼儿园布局规划保持不变。</w:t>
      </w:r>
    </w:p>
    <w:p w14:paraId="216E74EF">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 xml:space="preserve">进一步优化城区学校、幼儿园布局。形成西部教育组团：以实验高中为龙头，建成滨湖九年一贯制学校、幼儿园2处、特殊教育学校1处，与平阴二中组团；优化东部教育组团：以平阴一中为核心，改造一中西校为九年一贯制学校（翠屏学校），完成党校片区幼儿园建设，与实验幼儿园、实验小学、榆山小学、平阴四中组团；整合中部教育组团：完成东三里小学建设，与实验中学形成九年一贯制学校，重建榆山中心园，新建白庄片区幼儿园，与龙山小学组团；打造南部教育组团：建成云翠南区九年一贯制学校、锦尚小学、云翠湖南幼儿园，与实验学校、锦东小学、锦东幼儿园、云翠幼儿园组团。力争引进一所本科院校。 </w:t>
      </w:r>
    </w:p>
    <w:p w14:paraId="7BDFBC3E">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hAnsi="黑体" w:eastAsia="仿宋_GB2312"/>
          <w:b w:val="0"/>
          <w:bCs w:val="0"/>
          <w:color w:val="auto"/>
          <w:sz w:val="32"/>
          <w:szCs w:val="32"/>
        </w:rPr>
      </w:pPr>
      <w:r>
        <w:rPr>
          <w:rFonts w:hint="eastAsia" w:ascii="仿宋_GB2312" w:hAnsi="黑体" w:eastAsia="仿宋_GB2312"/>
          <w:b w:val="0"/>
          <w:bCs w:val="0"/>
          <w:color w:val="auto"/>
          <w:sz w:val="32"/>
          <w:szCs w:val="32"/>
        </w:rPr>
        <w:t>2.师资队伍更加优良。</w:t>
      </w:r>
      <w:r>
        <w:rPr>
          <w:rFonts w:hint="eastAsia" w:ascii="仿宋_GB2312" w:eastAsia="仿宋_GB2312"/>
          <w:b w:val="0"/>
          <w:bCs w:val="0"/>
          <w:color w:val="auto"/>
          <w:sz w:val="32"/>
          <w:szCs w:val="32"/>
        </w:rPr>
        <w:t>加大教职工统筹配置和补充力度，</w:t>
      </w:r>
      <w:r>
        <w:rPr>
          <w:rFonts w:hint="eastAsia" w:ascii="仿宋_GB2312" w:hAnsi="黑体" w:eastAsia="仿宋_GB2312"/>
          <w:b w:val="0"/>
          <w:bCs w:val="0"/>
          <w:color w:val="auto"/>
          <w:sz w:val="32"/>
          <w:szCs w:val="32"/>
        </w:rPr>
        <w:t>学前教育教师每年招聘100人，公办率达到85％以上。其他学段每年招聘100名新教师，通过深化“县管校聘”体制改革，</w:t>
      </w:r>
      <w:r>
        <w:rPr>
          <w:rFonts w:hint="eastAsia" w:ascii="仿宋_GB2312" w:eastAsia="仿宋_GB2312"/>
          <w:b w:val="0"/>
          <w:bCs w:val="0"/>
          <w:color w:val="auto"/>
          <w:sz w:val="32"/>
          <w:szCs w:val="32"/>
        </w:rPr>
        <w:t>切实解决教师结构性、阶段性、区域性短缺问题。强化业务培训、名优引领和联盟互助，极大提升育人水平和能力。健全教师职称、岗位和考核评价制度</w:t>
      </w:r>
      <w:r>
        <w:rPr>
          <w:rFonts w:hint="eastAsia" w:ascii="仿宋_GB2312" w:hAnsi="黑体" w:eastAsia="仿宋_GB2312"/>
          <w:b w:val="0"/>
          <w:bCs w:val="0"/>
          <w:color w:val="auto"/>
          <w:sz w:val="32"/>
          <w:szCs w:val="32"/>
        </w:rPr>
        <w:t>，最大限度调动教师积极性。</w:t>
      </w:r>
    </w:p>
    <w:p w14:paraId="295B7FFC">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eastAsia="仿宋_GB2312"/>
          <w:b w:val="0"/>
          <w:bCs w:val="0"/>
          <w:color w:val="auto"/>
          <w:sz w:val="32"/>
          <w:szCs w:val="32"/>
        </w:rPr>
      </w:pPr>
      <w:r>
        <w:rPr>
          <w:rFonts w:hint="eastAsia" w:ascii="仿宋_GB2312" w:hAnsi="黑体" w:eastAsia="仿宋_GB2312"/>
          <w:b w:val="0"/>
          <w:bCs w:val="0"/>
          <w:color w:val="auto"/>
          <w:sz w:val="32"/>
          <w:szCs w:val="32"/>
        </w:rPr>
        <w:t>3.硬性指标全部达到。到2025年，学前教育</w:t>
      </w:r>
      <w:r>
        <w:rPr>
          <w:rFonts w:hint="eastAsia" w:ascii="仿宋_GB2312" w:hAnsi="宋体" w:eastAsia="仿宋_GB2312"/>
          <w:b w:val="0"/>
          <w:bCs w:val="0"/>
          <w:color w:val="auto"/>
          <w:sz w:val="32"/>
          <w:szCs w:val="32"/>
        </w:rPr>
        <w:t>普惠率达到90%以上，学前三年入园率和学前一年入园率分别达到98%、100%</w:t>
      </w:r>
      <w:r>
        <w:rPr>
          <w:rFonts w:hint="eastAsia" w:ascii="仿宋_GB2312" w:eastAsia="仿宋_GB2312"/>
          <w:b w:val="0"/>
          <w:bCs w:val="0"/>
          <w:color w:val="auto"/>
          <w:sz w:val="32"/>
          <w:szCs w:val="32"/>
        </w:rPr>
        <w:t>；小学适龄人口入学率、在校生巩固率达到100%，初中在校生巩固率达到98%以上；高中阶段毛入学率达到 98%。全面提高残疾儿童少年义务教育普及水平，全县能接受教育的三类残疾儿童少年入学率、巩固率保持在97%。</w:t>
      </w:r>
    </w:p>
    <w:p w14:paraId="6A4B5BA8">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hAnsi="黑体" w:eastAsia="仿宋_GB2312"/>
          <w:b w:val="0"/>
          <w:bCs w:val="0"/>
          <w:color w:val="auto"/>
          <w:sz w:val="32"/>
          <w:szCs w:val="32"/>
        </w:rPr>
      </w:pPr>
      <w:r>
        <w:rPr>
          <w:rFonts w:hint="eastAsia" w:ascii="仿宋_GB2312" w:hAnsi="黑体" w:eastAsia="仿宋_GB2312"/>
          <w:b w:val="0"/>
          <w:bCs w:val="0"/>
          <w:color w:val="auto"/>
          <w:sz w:val="32"/>
          <w:szCs w:val="32"/>
        </w:rPr>
        <w:t>4.教育大事全部完成。（1）第40个教师节（2024年9月10日），隆重召开全县教育大会。（2）通过全国“义务教育优质均衡先行创建县”验收。（3）全面完成“111”工程体系建设、平阴名师团队建设。（4）全面完成省级</w:t>
      </w:r>
      <w:r>
        <w:rPr>
          <w:rFonts w:hint="eastAsia" w:ascii="仿宋_GB2312" w:hAnsi="宋体" w:eastAsia="仿宋_GB2312" w:cs="宋体"/>
          <w:b w:val="0"/>
          <w:bCs w:val="0"/>
          <w:color w:val="auto"/>
          <w:sz w:val="32"/>
          <w:szCs w:val="32"/>
        </w:rPr>
        <w:t>强镇筑基行动</w:t>
      </w:r>
      <w:r>
        <w:rPr>
          <w:rFonts w:hint="eastAsia" w:ascii="仿宋_GB2312" w:hAnsi="黑体" w:eastAsia="仿宋_GB2312"/>
          <w:b w:val="0"/>
          <w:bCs w:val="0"/>
          <w:color w:val="auto"/>
          <w:sz w:val="32"/>
          <w:szCs w:val="32"/>
        </w:rPr>
        <w:t>。（5）社区教育实现全覆盖。（6）教育优质品牌实现4个学段推出4所省内有名，市内知名学校(幼儿园)。（7）力争再引进2家优质教育品牌单位，实现平阴教育跨越发展。</w:t>
      </w:r>
    </w:p>
    <w:p w14:paraId="42DEBC7A">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二、推进举措</w:t>
      </w:r>
    </w:p>
    <w:p w14:paraId="4068A5AE">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楷体_GB2312" w:hAnsi="黑体" w:eastAsia="楷体_GB2312"/>
          <w:b w:val="0"/>
          <w:bCs w:val="0"/>
          <w:color w:val="auto"/>
          <w:sz w:val="32"/>
          <w:szCs w:val="32"/>
        </w:rPr>
      </w:pPr>
      <w:r>
        <w:rPr>
          <w:rFonts w:hint="eastAsia" w:ascii="楷体_GB2312" w:hAnsi="Arial" w:eastAsia="楷体_GB2312" w:cs="Arial"/>
          <w:b w:val="0"/>
          <w:bCs w:val="0"/>
          <w:color w:val="auto"/>
          <w:sz w:val="32"/>
          <w:szCs w:val="32"/>
        </w:rPr>
        <w:t>（一）切实加强党对教育工作的全面领导</w:t>
      </w:r>
    </w:p>
    <w:p w14:paraId="120FD407">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30" w:lineRule="exact"/>
        <w:ind w:firstLine="640" w:firstLineChars="200"/>
        <w:jc w:val="both"/>
        <w:textAlignment w:val="auto"/>
        <w:rPr>
          <w:rFonts w:ascii="仿宋_GB2312" w:hAnsi="Arial" w:eastAsia="仿宋_GB2312" w:cs="Arial"/>
          <w:b w:val="0"/>
          <w:bCs w:val="0"/>
          <w:color w:val="auto"/>
          <w:sz w:val="32"/>
          <w:szCs w:val="32"/>
        </w:rPr>
      </w:pPr>
      <w:r>
        <w:rPr>
          <w:rFonts w:hint="eastAsia" w:ascii="仿宋_GB2312" w:hAnsi="Arial" w:eastAsia="仿宋_GB2312" w:cs="Arial"/>
          <w:b w:val="0"/>
          <w:bCs w:val="0"/>
          <w:color w:val="auto"/>
          <w:sz w:val="32"/>
          <w:szCs w:val="32"/>
        </w:rPr>
        <w:t>1.牢牢掌握党对教育工作的领导权。</w:t>
      </w:r>
      <w:r>
        <w:rPr>
          <w:rFonts w:hint="eastAsia" w:ascii="仿宋_GB2312" w:hAnsi="微软雅黑" w:eastAsia="仿宋_GB2312"/>
          <w:b w:val="0"/>
          <w:bCs w:val="0"/>
          <w:color w:val="auto"/>
          <w:sz w:val="32"/>
          <w:szCs w:val="32"/>
        </w:rPr>
        <w:t>全面贯彻党的教育方针，</w:t>
      </w:r>
      <w:r>
        <w:rPr>
          <w:rFonts w:hint="eastAsia" w:ascii="仿宋_GB2312" w:hAnsi="Arial" w:eastAsia="仿宋_GB2312" w:cs="Arial"/>
          <w:b w:val="0"/>
          <w:bCs w:val="0"/>
          <w:color w:val="auto"/>
          <w:sz w:val="32"/>
          <w:szCs w:val="32"/>
        </w:rPr>
        <w:t>坚定社会主义办学方向不动摇，健全和完善中小学校领导体制和工作机制，</w:t>
      </w:r>
      <w:r>
        <w:rPr>
          <w:rFonts w:hint="eastAsia" w:ascii="仿宋_GB2312" w:hAnsi="仿宋" w:eastAsia="仿宋_GB2312" w:cs="仿宋"/>
          <w:b w:val="0"/>
          <w:bCs w:val="0"/>
          <w:color w:val="auto"/>
          <w:sz w:val="32"/>
          <w:szCs w:val="32"/>
        </w:rPr>
        <w:t>贯彻落实中共中央办公厅《关于建立中小学校党组织领导的校长负责制的意见（试行）》</w:t>
      </w:r>
      <w:r>
        <w:rPr>
          <w:rFonts w:hint="eastAsia" w:ascii="仿宋_GB2312" w:hAnsi="Arial" w:eastAsia="仿宋_GB2312" w:cs="Arial"/>
          <w:b w:val="0"/>
          <w:bCs w:val="0"/>
          <w:color w:val="auto"/>
          <w:sz w:val="32"/>
          <w:szCs w:val="32"/>
        </w:rPr>
        <w:t xml:space="preserve">，坚持党管办学方向、管改革发展、管干部、管人才，使教育领域成为坚持党的全面领导的坚强阵地。贯彻新时代党的组织路线，坚持正确的用人导向，把政治过硬、品行优良、业务精通、锐意进取的优秀干部选配到学校各级领导岗位。健全完善学校重大问题议事规范，推进科学决策、民主决策、依法决策。   </w:t>
      </w:r>
    </w:p>
    <w:p w14:paraId="5E0E98F9">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30" w:lineRule="exact"/>
        <w:ind w:firstLine="640" w:firstLineChars="200"/>
        <w:jc w:val="both"/>
        <w:textAlignment w:val="auto"/>
        <w:rPr>
          <w:rFonts w:ascii="仿宋_GB2312" w:hAnsi="Arial" w:eastAsia="仿宋_GB2312" w:cs="Arial"/>
          <w:b w:val="0"/>
          <w:bCs w:val="0"/>
          <w:color w:val="auto"/>
          <w:sz w:val="32"/>
          <w:szCs w:val="32"/>
        </w:rPr>
      </w:pPr>
      <w:r>
        <w:rPr>
          <w:rFonts w:hint="eastAsia" w:ascii="仿宋_GB2312" w:hAnsi="Arial" w:eastAsia="仿宋_GB2312" w:cs="Arial"/>
          <w:b w:val="0"/>
          <w:bCs w:val="0"/>
          <w:color w:val="auto"/>
          <w:sz w:val="32"/>
          <w:szCs w:val="32"/>
        </w:rPr>
        <w:t>2.以政治建设统领党的各项建设。坚持把党的政治建设摆在首位，深入学习贯彻习近平新时代中国特色社会主义思想和党的十九大精神，深刻认识“两个确立”的重要意义，牢固树立“四个意识”，坚定“四个自信”，坚决做到“两个维护”，不断提高教育系统政治建设质量。全面加强教育系统党的思想建设、组织建设、作风建设、纪律建设，把制度建设贯穿其中，坚定不移推进全面从严治党向纵深发展。持之以恒正风肃纪，落实中央八项规定精神，深入推进党风廉政建设和反腐败斗争，营造风清气正的良好政治生态，为教育改革发展提供坚强政治、思想和组织保证。</w:t>
      </w:r>
    </w:p>
    <w:p w14:paraId="23C104FA">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30" w:lineRule="exact"/>
        <w:ind w:firstLine="640" w:firstLineChars="200"/>
        <w:jc w:val="both"/>
        <w:textAlignment w:val="auto"/>
        <w:rPr>
          <w:rFonts w:ascii="仿宋_GB2312" w:hAnsi="Arial" w:eastAsia="仿宋_GB2312" w:cs="Arial"/>
          <w:b w:val="0"/>
          <w:bCs w:val="0"/>
          <w:color w:val="auto"/>
          <w:sz w:val="32"/>
          <w:szCs w:val="32"/>
        </w:rPr>
      </w:pPr>
      <w:r>
        <w:rPr>
          <w:rFonts w:hint="eastAsia" w:ascii="仿宋_GB2312" w:hAnsi="Arial" w:eastAsia="仿宋_GB2312" w:cs="Arial"/>
          <w:b w:val="0"/>
          <w:bCs w:val="0"/>
          <w:color w:val="auto"/>
          <w:sz w:val="32"/>
          <w:szCs w:val="32"/>
        </w:rPr>
        <w:t>3.着力提升党建工作质量。落实中小学校党建工作标准，开展中小学校党建工作督查，做到党建工作与业务工作同谋划、同部署、同考评，促进中小学校党建工作与教育教学深度融合。强化党建带团建队建。抓好党支部标准化、规范化建设，加强对民办学校等办学机构党建工作分类指导，推进民办学校章程建设，推动党建有关要求进章程，指导健全完善党建工作体系，加强党务工作队伍建设，提高党建工作水平。</w:t>
      </w:r>
    </w:p>
    <w:p w14:paraId="0464D44A">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30" w:lineRule="exact"/>
        <w:ind w:firstLine="640" w:firstLineChars="200"/>
        <w:jc w:val="both"/>
        <w:textAlignment w:val="auto"/>
        <w:rPr>
          <w:rFonts w:ascii="仿宋_GB2312" w:hAnsi="Arial" w:eastAsia="仿宋_GB2312" w:cs="Arial"/>
          <w:b w:val="0"/>
          <w:bCs w:val="0"/>
          <w:color w:val="auto"/>
          <w:sz w:val="32"/>
          <w:szCs w:val="32"/>
        </w:rPr>
      </w:pPr>
      <w:r>
        <w:rPr>
          <w:rFonts w:hint="eastAsia" w:ascii="仿宋_GB2312" w:hAnsi="Arial" w:eastAsia="仿宋_GB2312" w:cs="Arial"/>
          <w:b w:val="0"/>
          <w:bCs w:val="0"/>
          <w:color w:val="auto"/>
          <w:sz w:val="32"/>
          <w:szCs w:val="32"/>
        </w:rPr>
        <w:t>4.严格落实意识形态工作责任制。牢牢掌握教育领域意识形态工作的领导权、话语权，加强对课堂教学的管理，所有教育教学活动不得出现违背党和国家大政方针政策、违背宪法法律、危害国家安全、破坏民族团结等言行。加强对各类报告会、研讨会、讲座、论坛和读书会、学术沙龙等的监督，严格执行“一会一报”“一事一报”制度。落实网络意识形态工作责任制，加强校园网络安全管理，完善校园网络使用实名登记制度，规范师生自媒体管理。加强网络舆情搜集研判，做好重大活动、热点问题和突发事件网上舆论引导，构建清朗网络空间。建立风险防控机制，确保教育系统安全稳定。</w:t>
      </w:r>
    </w:p>
    <w:p w14:paraId="546D8412">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楷体_GB2312" w:hAnsi="楷体" w:eastAsia="楷体_GB2312" w:cs="Calibri"/>
          <w:b w:val="0"/>
          <w:bCs w:val="0"/>
          <w:color w:val="auto"/>
          <w:kern w:val="0"/>
          <w:sz w:val="32"/>
          <w:szCs w:val="32"/>
        </w:rPr>
      </w:pPr>
      <w:r>
        <w:rPr>
          <w:rFonts w:hint="eastAsia" w:ascii="楷体_GB2312" w:hAnsi="楷体" w:eastAsia="楷体_GB2312" w:cs="Calibri"/>
          <w:b w:val="0"/>
          <w:bCs w:val="0"/>
          <w:color w:val="auto"/>
          <w:kern w:val="0"/>
          <w:sz w:val="32"/>
          <w:szCs w:val="32"/>
        </w:rPr>
        <w:t>（二）全面落实立德树人根本任务</w:t>
      </w:r>
    </w:p>
    <w:p w14:paraId="5BAA3664">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Times New Roman" w:hAnsi="Times New Roman" w:eastAsia="仿宋_GB2312"/>
          <w:b w:val="0"/>
          <w:bCs w:val="0"/>
          <w:color w:val="auto"/>
          <w:sz w:val="32"/>
          <w:szCs w:val="32"/>
          <w:shd w:val="clear" w:color="auto" w:fill="FFFFFF"/>
        </w:rPr>
      </w:pPr>
      <w:r>
        <w:rPr>
          <w:rFonts w:hint="eastAsia" w:ascii="仿宋_GB2312" w:hAnsi="宋体" w:eastAsia="仿宋_GB2312"/>
          <w:b w:val="0"/>
          <w:bCs w:val="0"/>
          <w:color w:val="auto"/>
          <w:sz w:val="32"/>
          <w:szCs w:val="32"/>
        </w:rPr>
        <w:t>1.</w:t>
      </w:r>
      <w:r>
        <w:rPr>
          <w:rFonts w:hint="eastAsia" w:ascii="Times New Roman" w:hAnsi="Times New Roman" w:eastAsia="仿宋_GB2312"/>
          <w:b w:val="0"/>
          <w:bCs w:val="0"/>
          <w:color w:val="auto"/>
          <w:sz w:val="32"/>
          <w:szCs w:val="32"/>
          <w:shd w:val="clear" w:color="auto" w:fill="FFFFFF"/>
        </w:rPr>
        <w:t>构建中小学一体化的思想政治工作体系。</w:t>
      </w:r>
      <w:r>
        <w:rPr>
          <w:rFonts w:hint="eastAsia" w:ascii="仿宋_GB2312" w:eastAsia="仿宋_GB2312"/>
          <w:b w:val="0"/>
          <w:bCs w:val="0"/>
          <w:color w:val="auto"/>
          <w:sz w:val="32"/>
          <w:szCs w:val="32"/>
        </w:rPr>
        <w:t>推动习近平新时代中国特色社会主义思想进教材进课堂进头脑，全面加强学校思想政治教育。</w:t>
      </w:r>
      <w:r>
        <w:rPr>
          <w:rFonts w:hint="eastAsia" w:ascii="Times New Roman" w:hAnsi="Times New Roman" w:eastAsia="仿宋_GB2312"/>
          <w:b w:val="0"/>
          <w:bCs w:val="0"/>
          <w:color w:val="auto"/>
          <w:sz w:val="32"/>
          <w:szCs w:val="32"/>
          <w:shd w:val="clear" w:color="auto" w:fill="FFFFFF"/>
        </w:rPr>
        <w:t>探索中小学一体化的思想政治工作体系机制，改革育人途径和方法，</w:t>
      </w:r>
      <w:r>
        <w:rPr>
          <w:rFonts w:hint="eastAsia" w:ascii="仿宋_GB2312" w:hAnsi="微软雅黑" w:eastAsia="仿宋_GB2312"/>
          <w:b w:val="0"/>
          <w:bCs w:val="0"/>
          <w:color w:val="auto"/>
          <w:sz w:val="32"/>
          <w:szCs w:val="32"/>
          <w:shd w:val="clear" w:color="auto" w:fill="FFFFFF"/>
        </w:rPr>
        <w:t>推进“双贯通”思政课建设，</w:t>
      </w:r>
      <w:r>
        <w:rPr>
          <w:rFonts w:hint="eastAsia" w:ascii="Times New Roman" w:hAnsi="Times New Roman" w:eastAsia="仿宋_GB2312"/>
          <w:b w:val="0"/>
          <w:bCs w:val="0"/>
          <w:color w:val="auto"/>
          <w:sz w:val="32"/>
          <w:szCs w:val="32"/>
          <w:shd w:val="clear" w:color="auto" w:fill="FFFFFF"/>
        </w:rPr>
        <w:t>形成德智体美劳“五育融合”、学校家庭社会协同育人的良好教育生态。教育学生进一步增强爱党爱国情怀、社会责任感、法治精神、生态观念、创新精神和实践能力。</w:t>
      </w:r>
    </w:p>
    <w:p w14:paraId="23C312DC">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eastAsia="仿宋_GB2312" w:cs="Calibri"/>
          <w:b w:val="0"/>
          <w:bCs w:val="0"/>
          <w:color w:val="auto"/>
          <w:kern w:val="0"/>
          <w:sz w:val="32"/>
          <w:szCs w:val="32"/>
        </w:rPr>
      </w:pPr>
      <w:r>
        <w:rPr>
          <w:rFonts w:hint="eastAsia" w:ascii="仿宋_GB2312" w:hAnsi="仿宋" w:eastAsia="仿宋_GB2312" w:cs="Calibri"/>
          <w:b w:val="0"/>
          <w:bCs w:val="0"/>
          <w:color w:val="auto"/>
          <w:kern w:val="0"/>
          <w:sz w:val="32"/>
          <w:szCs w:val="32"/>
        </w:rPr>
        <w:t>2.完善立体化的素质教育工作格局。注重文化引领,凝练学校办学理念,加强校风教风学风建设。深入推进文明校园创建，建设富有时代特点、区域特色的校园文化，发挥校园文化潜移默化的育人功能，创建市级以上文明校园</w:t>
      </w:r>
      <w:r>
        <w:rPr>
          <w:rFonts w:hint="eastAsia" w:ascii="仿宋_GB2312" w:eastAsia="仿宋_GB2312" w:cs="Calibri"/>
          <w:b w:val="0"/>
          <w:bCs w:val="0"/>
          <w:color w:val="auto"/>
          <w:kern w:val="0"/>
          <w:sz w:val="32"/>
          <w:szCs w:val="32"/>
        </w:rPr>
        <w:t>5</w:t>
      </w:r>
      <w:r>
        <w:rPr>
          <w:rFonts w:hint="eastAsia" w:ascii="仿宋_GB2312" w:hAnsi="仿宋" w:eastAsia="仿宋_GB2312" w:cs="Calibri"/>
          <w:b w:val="0"/>
          <w:bCs w:val="0"/>
          <w:color w:val="auto"/>
          <w:kern w:val="0"/>
          <w:sz w:val="32"/>
          <w:szCs w:val="32"/>
        </w:rPr>
        <w:t>所。探索各学段养成教育的课程体系，</w:t>
      </w:r>
      <w:r>
        <w:rPr>
          <w:rFonts w:hint="eastAsia" w:ascii="仿宋_GB2312" w:eastAsia="仿宋_GB2312"/>
          <w:b w:val="0"/>
          <w:bCs w:val="0"/>
          <w:color w:val="auto"/>
          <w:sz w:val="32"/>
          <w:szCs w:val="32"/>
        </w:rPr>
        <w:t>增强学生综合素质</w:t>
      </w:r>
      <w:r>
        <w:rPr>
          <w:rFonts w:hint="eastAsia" w:ascii="仿宋_GB2312" w:hAnsi="仿宋" w:eastAsia="仿宋_GB2312" w:cs="Calibri"/>
          <w:b w:val="0"/>
          <w:bCs w:val="0"/>
          <w:color w:val="auto"/>
          <w:kern w:val="0"/>
          <w:sz w:val="32"/>
          <w:szCs w:val="32"/>
        </w:rPr>
        <w:t>。</w:t>
      </w:r>
      <w:r>
        <w:rPr>
          <w:rFonts w:hint="eastAsia" w:ascii="仿宋_GB2312" w:hAnsi="&amp;quot" w:eastAsia="仿宋_GB2312" w:cs="宋体"/>
          <w:b w:val="0"/>
          <w:bCs w:val="0"/>
          <w:color w:val="auto"/>
          <w:kern w:val="0"/>
          <w:sz w:val="32"/>
          <w:szCs w:val="32"/>
        </w:rPr>
        <w:t>建立日常参与、体质监测和专项运动技能测试相结合的考查机制，</w:t>
      </w:r>
      <w:r>
        <w:rPr>
          <w:rFonts w:hint="eastAsia" w:ascii="仿宋_GB2312" w:hAnsi="仿宋" w:eastAsia="仿宋_GB2312" w:cs="Calibri"/>
          <w:b w:val="0"/>
          <w:bCs w:val="0"/>
          <w:color w:val="auto"/>
          <w:kern w:val="0"/>
          <w:sz w:val="32"/>
          <w:szCs w:val="32"/>
        </w:rPr>
        <w:t>大力开展阳光体育运动。系统推进艺术教育，提升学生审美观。促进学生身心健康，扎实开展心理辅导和疏导。强化全县中小学心理咨询室建设，创建市级以上心理健康教育特色校</w:t>
      </w:r>
      <w:r>
        <w:rPr>
          <w:rFonts w:hint="eastAsia" w:ascii="仿宋_GB2312" w:hAnsi="Times New Roman" w:eastAsia="仿宋_GB2312"/>
          <w:b w:val="0"/>
          <w:bCs w:val="0"/>
          <w:color w:val="auto"/>
          <w:kern w:val="0"/>
          <w:sz w:val="32"/>
          <w:szCs w:val="32"/>
        </w:rPr>
        <w:t>6</w:t>
      </w:r>
      <w:r>
        <w:rPr>
          <w:rFonts w:hint="eastAsia" w:ascii="仿宋_GB2312" w:hAnsi="仿宋" w:eastAsia="仿宋_GB2312" w:cs="Calibri"/>
          <w:b w:val="0"/>
          <w:bCs w:val="0"/>
          <w:color w:val="auto"/>
          <w:kern w:val="0"/>
          <w:sz w:val="32"/>
          <w:szCs w:val="32"/>
        </w:rPr>
        <w:t>所。推动爱国主义教育基地、校外活动场所和素质教育实践基地建设，建设复兴少年宫6处，为学生健康成长营造良好的社会环境。突出德育的实践体验，促进课堂教学与社会实践的有机结合，促进学生核心素养全面发展，整体推进劳动教育，探索建立学生参与社会实践、社区服务的有效机制。</w:t>
      </w:r>
    </w:p>
    <w:p w14:paraId="629A95C1">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hAnsi="楷体" w:eastAsia="仿宋_GB2312" w:cs="Calibri"/>
          <w:b w:val="0"/>
          <w:bCs w:val="0"/>
          <w:color w:val="auto"/>
          <w:kern w:val="0"/>
          <w:sz w:val="32"/>
          <w:szCs w:val="32"/>
        </w:rPr>
      </w:pPr>
      <w:r>
        <w:rPr>
          <w:rFonts w:hint="eastAsia" w:ascii="仿宋_GB2312" w:hAnsi="楷体" w:eastAsia="仿宋_GB2312" w:cs="Calibri"/>
          <w:b w:val="0"/>
          <w:bCs w:val="0"/>
          <w:color w:val="auto"/>
          <w:kern w:val="0"/>
          <w:sz w:val="32"/>
          <w:szCs w:val="32"/>
        </w:rPr>
        <w:t>3.积极推进学校卫生与健康教育。注重培养青少年学生的健康观念，养成良好的日常卫生习惯，塑造积极健康的心理品质，形成终身受益的健康生活方式。加强学校传染病防控工作，把新冠肺炎疫情防控作为素材，将传染病预防、健康生活方式、心理健康、生命安全、禁毒知识宣传教育等健康教育融入日常教学和学生管理。积极探索多种方式，完善中小学校医、医务室配备等基础保障。广泛开展新时代校园爱国卫生运动，落实生活垃圾分类。深入推进学校食品安全管理，促进学生合理膳食。持续推进综合防控儿童青少年近视工作，实施教室照明改造提升计划，定期开展中小学生视力监测和干预，有效遏制学生近视高发、低龄化势头。</w:t>
      </w:r>
    </w:p>
    <w:p w14:paraId="38F39115">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color w:val="auto"/>
          <w:sz w:val="32"/>
          <w:szCs w:val="32"/>
          <w:shd w:val="clear" w:color="auto" w:fill="FFFFFF"/>
        </w:rPr>
      </w:pPr>
      <w:r>
        <w:rPr>
          <w:rFonts w:hint="eastAsia" w:ascii="仿宋_GB2312" w:eastAsia="仿宋_GB2312"/>
          <w:b w:val="0"/>
          <w:bCs w:val="0"/>
          <w:color w:val="auto"/>
          <w:sz w:val="32"/>
          <w:szCs w:val="32"/>
        </w:rPr>
        <w:t>4.</w:t>
      </w:r>
      <w:r>
        <w:rPr>
          <w:rFonts w:hint="eastAsia" w:ascii="Times New Roman" w:hAnsi="Times New Roman" w:eastAsia="仿宋_GB2312"/>
          <w:b w:val="0"/>
          <w:bCs w:val="0"/>
          <w:color w:val="auto"/>
          <w:sz w:val="32"/>
          <w:szCs w:val="32"/>
          <w:shd w:val="clear" w:color="auto" w:fill="FFFFFF"/>
        </w:rPr>
        <w:t>推进法治、生态文明、网络文明、科技和国防教育。坚持以宪法为核心、以民法典为重点，深入推进教育系统普法工作。持续开展“学宪法讲宪法”和国家宪法日“宪法晨读”活动，推进教师网络法治教育培训。加强青少年法治教育基地建设，大力提升青少年法治教育的专业化水平。加强网络文明教育，提升青少年网络文明素养。以生态文明为重点实施可持续发展教育，落实中小学环境保护教育课时要求，提升青少年生态文明素养。利用科普资源助力学校开展科技教育，大力弘扬科学精神和科</w:t>
      </w:r>
      <w:r>
        <w:rPr>
          <w:rFonts w:hint="eastAsia" w:ascii="仿宋_GB2312" w:hAnsi="仿宋_GB2312" w:eastAsia="仿宋_GB2312" w:cs="仿宋_GB2312"/>
          <w:b w:val="0"/>
          <w:bCs w:val="0"/>
          <w:color w:val="auto"/>
          <w:sz w:val="32"/>
          <w:szCs w:val="32"/>
          <w:shd w:val="clear" w:color="auto" w:fill="FFFFFF"/>
        </w:rPr>
        <w:t>学家精神。深化学校国防教育改革创新，丰富拓展学校国防教育实践活动。</w:t>
      </w:r>
    </w:p>
    <w:p w14:paraId="67C14CB4">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b w:val="0"/>
          <w:bCs w:val="0"/>
          <w:color w:val="auto"/>
          <w:sz w:val="32"/>
          <w:szCs w:val="32"/>
        </w:rPr>
        <w:t>5.</w:t>
      </w:r>
      <w:r>
        <w:rPr>
          <w:rFonts w:hint="eastAsia" w:ascii="仿宋_GB2312" w:hAnsi="仿宋_GB2312" w:eastAsia="仿宋_GB2312" w:cs="仿宋_GB2312"/>
          <w:b w:val="0"/>
          <w:bCs w:val="0"/>
          <w:color w:val="auto"/>
          <w:sz w:val="32"/>
          <w:szCs w:val="32"/>
          <w:shd w:val="clear" w:color="auto" w:fill="FFFFFF"/>
        </w:rPr>
        <w:t>全面提升家庭教育工作水平。</w:t>
      </w:r>
      <w:r>
        <w:rPr>
          <w:rFonts w:hint="eastAsia" w:ascii="仿宋_GB2312" w:hAnsi="仿宋_GB2312" w:eastAsia="仿宋_GB2312" w:cs="仿宋_GB2312"/>
          <w:b w:val="0"/>
          <w:bCs w:val="0"/>
          <w:color w:val="auto"/>
          <w:kern w:val="0"/>
          <w:sz w:val="32"/>
          <w:szCs w:val="32"/>
        </w:rPr>
        <w:t>加强和改进未成年人思想道德建设，积极构建覆盖城乡的家庭教育指导服务体系，推进家庭学校社会共育。</w:t>
      </w:r>
      <w:r>
        <w:rPr>
          <w:rFonts w:hint="eastAsia" w:ascii="仿宋_GB2312" w:hAnsi="仿宋_GB2312" w:eastAsia="仿宋_GB2312" w:cs="仿宋_GB2312"/>
          <w:b w:val="0"/>
          <w:bCs w:val="0"/>
          <w:color w:val="auto"/>
          <w:sz w:val="32"/>
          <w:szCs w:val="32"/>
          <w:shd w:val="clear" w:color="auto" w:fill="FFFFFF"/>
        </w:rPr>
        <w:t>以三级家长学校和家长委员会、家长会规范化建设为抓手，持续推动家校社协同育人改革，举办“两评一课”活动,实施“家庭教育教师提升行动”，发挥家庭教育讲师团、家庭教育志愿者服务团队的作用。丰富线上线下“双线制”家访工作经验，畅通学校家庭沟通渠道，推进学校教育和家庭教育相互配合，搭建家校发展共同体，实现家校有效沟通。</w:t>
      </w:r>
    </w:p>
    <w:p w14:paraId="2E06FB5B">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楷体_GB2312" w:hAnsi="仿宋_GB2312" w:eastAsia="楷体_GB2312" w:cs="宋体"/>
          <w:b w:val="0"/>
          <w:bCs w:val="0"/>
          <w:color w:val="auto"/>
          <w:kern w:val="0"/>
          <w:sz w:val="32"/>
          <w:szCs w:val="32"/>
        </w:rPr>
      </w:pPr>
      <w:r>
        <w:rPr>
          <w:rFonts w:hint="eastAsia" w:ascii="楷体_GB2312" w:hAnsi="黑体" w:eastAsia="楷体_GB2312"/>
          <w:b w:val="0"/>
          <w:bCs w:val="0"/>
          <w:color w:val="auto"/>
          <w:sz w:val="32"/>
          <w:szCs w:val="32"/>
        </w:rPr>
        <w:t>（三）</w:t>
      </w:r>
      <w:r>
        <w:rPr>
          <w:rFonts w:hint="eastAsia" w:ascii="楷体_GB2312" w:hAnsi="仿宋_GB2312" w:eastAsia="楷体_GB2312" w:cs="宋体"/>
          <w:b w:val="0"/>
          <w:bCs w:val="0"/>
          <w:color w:val="auto"/>
          <w:kern w:val="0"/>
          <w:sz w:val="32"/>
          <w:szCs w:val="32"/>
        </w:rPr>
        <w:t>全面</w:t>
      </w:r>
      <w:r>
        <w:rPr>
          <w:rFonts w:hint="eastAsia" w:ascii="楷体_GB2312" w:eastAsia="楷体_GB2312"/>
          <w:b w:val="0"/>
          <w:bCs w:val="0"/>
          <w:color w:val="auto"/>
          <w:sz w:val="32"/>
          <w:szCs w:val="32"/>
        </w:rPr>
        <w:t>构建高质量教育发展体系</w:t>
      </w:r>
    </w:p>
    <w:p w14:paraId="2737BFDF">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1.推进学前教育普及普惠发展。</w:t>
      </w:r>
      <w:r>
        <w:rPr>
          <w:rFonts w:hint="eastAsia" w:ascii="仿宋_GB2312" w:eastAsia="仿宋_GB2312"/>
          <w:b w:val="0"/>
          <w:bCs w:val="0"/>
          <w:color w:val="auto"/>
          <w:sz w:val="32"/>
          <w:szCs w:val="32"/>
        </w:rPr>
        <w:t>提升学前教育科学保教水平</w:t>
      </w:r>
      <w:r>
        <w:rPr>
          <w:rFonts w:hint="eastAsia" w:ascii="仿宋_GB2312" w:hAnsi="宋体" w:eastAsia="仿宋_GB2312"/>
          <w:b w:val="0"/>
          <w:bCs w:val="0"/>
          <w:color w:val="auto"/>
          <w:sz w:val="32"/>
          <w:szCs w:val="32"/>
        </w:rPr>
        <w:t>，到2025年，城区周边再新增公办优质的幼儿园7处，公办优质的学前教育服务网络更加合理。强化标准化建设，所有新建园全部达到省一类园标准，中心园全部通过省示范园验收。扩大入托教育资源建设，逐步提高0-3岁幼儿的入托率。加大公办专业教师补充和师资培训力度，持证上岗率达到85%以上。继续加大对各类幼儿园动态监管，规范办园行为。继续推动以游戏为主的基本活动，积极引导各幼儿园挖掘本土文化和生态特色，梳理经验，培植品牌，打造灵活多样的学前教育新局面。</w:t>
      </w:r>
    </w:p>
    <w:p w14:paraId="64CDAC16">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楷体" w:eastAsia="仿宋_GB2312" w:cs="Calibri"/>
          <w:b w:val="0"/>
          <w:bCs w:val="0"/>
          <w:color w:val="auto"/>
          <w:kern w:val="0"/>
          <w:sz w:val="32"/>
          <w:szCs w:val="32"/>
        </w:rPr>
        <w:t>2.</w:t>
      </w:r>
      <w:r>
        <w:rPr>
          <w:rFonts w:hint="eastAsia" w:ascii="仿宋_GB2312" w:eastAsia="仿宋_GB2312"/>
          <w:b w:val="0"/>
          <w:bCs w:val="0"/>
          <w:color w:val="auto"/>
          <w:sz w:val="32"/>
          <w:szCs w:val="32"/>
        </w:rPr>
        <w:t>促进义务教育优质均衡发展</w:t>
      </w:r>
      <w:r>
        <w:rPr>
          <w:rFonts w:hint="eastAsia" w:ascii="仿宋_GB2312" w:hAnsi="楷体" w:eastAsia="仿宋_GB2312" w:cs="Calibri"/>
          <w:b w:val="0"/>
          <w:bCs w:val="0"/>
          <w:color w:val="auto"/>
          <w:kern w:val="0"/>
          <w:sz w:val="32"/>
          <w:szCs w:val="32"/>
        </w:rPr>
        <w:t>。着力构建优质均衡的公共教育服务体系和城乡一体化的义务教育发展格局。根据人口流动和</w:t>
      </w:r>
      <w:r>
        <w:rPr>
          <w:rFonts w:hint="eastAsia" w:ascii="仿宋_GB2312" w:hAnsi="仿宋_GB2312" w:eastAsia="仿宋_GB2312" w:cs="仿宋_GB2312"/>
          <w:b w:val="0"/>
          <w:bCs w:val="0"/>
          <w:color w:val="auto"/>
          <w:kern w:val="0"/>
          <w:sz w:val="32"/>
          <w:szCs w:val="32"/>
        </w:rPr>
        <w:t>城镇化发展趋势,持续加大城区优质教育资源供给。</w:t>
      </w:r>
      <w:r>
        <w:rPr>
          <w:rFonts w:hint="eastAsia" w:ascii="仿宋_GB2312" w:hAnsi="仿宋_GB2312" w:eastAsia="仿宋_GB2312" w:cs="仿宋_GB2312"/>
          <w:b w:val="0"/>
          <w:bCs w:val="0"/>
          <w:color w:val="auto"/>
          <w:sz w:val="32"/>
          <w:szCs w:val="32"/>
          <w:shd w:val="clear" w:color="auto" w:fill="FFFFFF"/>
        </w:rPr>
        <w:t>深化教育强镇筑基工作，对照省定办学（办园）条件标准，不断改善提升试点镇办学水平。深化镇学校（幼儿园）课程教学改革，辐射带动镇域内学校提高教研水平。积极推进城乡教育联盟办学，实现优质教育资源交流共享，积极开展多种形式的联盟办学实践，实现理念互通、管理共建、名师共享、教学同步、研训同频、评价捆绑，全面提升乡村学校管理水平和教育质量，促进城乡教育一体化优质均衡发展</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shd w:val="clear" w:color="auto" w:fill="FFFFFF"/>
        </w:rPr>
        <w:t>农村学生学业水平与城区优质学校差异率低于0.15。</w:t>
      </w:r>
      <w:r>
        <w:rPr>
          <w:rFonts w:hint="eastAsia" w:ascii="仿宋_GB2312" w:hAnsi="仿宋_GB2312" w:eastAsia="仿宋_GB2312" w:cs="仿宋_GB2312"/>
          <w:b w:val="0"/>
          <w:bCs w:val="0"/>
          <w:color w:val="auto"/>
          <w:sz w:val="32"/>
          <w:szCs w:val="32"/>
        </w:rPr>
        <w:t>到2025年</w:t>
      </w:r>
      <w:r>
        <w:rPr>
          <w:rFonts w:hint="eastAsia" w:ascii="仿宋_GB2312" w:hAnsi="仿宋_GB2312" w:eastAsia="仿宋_GB2312" w:cs="仿宋_GB2312"/>
          <w:b w:val="0"/>
          <w:bCs w:val="0"/>
          <w:color w:val="auto"/>
          <w:kern w:val="0"/>
          <w:sz w:val="32"/>
          <w:szCs w:val="32"/>
        </w:rPr>
        <w:t>,镇驻地学校与县域内城区学校办学水平相对均衡,各镇（街道）教育服务承载能力明显增强</w:t>
      </w:r>
      <w:r>
        <w:rPr>
          <w:rFonts w:hint="eastAsia" w:ascii="仿宋_GB2312" w:hAnsi="仿宋_GB2312" w:eastAsia="仿宋_GB2312" w:cs="仿宋_GB2312"/>
          <w:b w:val="0"/>
          <w:bCs w:val="0"/>
          <w:color w:val="auto"/>
          <w:sz w:val="32"/>
          <w:szCs w:val="32"/>
        </w:rPr>
        <w:t>，顺利通过 “全国义务教育优质均衡先行创建县”认定。</w:t>
      </w:r>
    </w:p>
    <w:p w14:paraId="0950235D">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eastAsia="仿宋_GB2312"/>
          <w:b w:val="0"/>
          <w:bCs w:val="0"/>
          <w:color w:val="auto"/>
          <w:sz w:val="32"/>
          <w:szCs w:val="32"/>
        </w:rPr>
      </w:pPr>
      <w:r>
        <w:rPr>
          <w:rFonts w:hint="eastAsia" w:ascii="仿宋_GB2312" w:hAnsi="楷体" w:eastAsia="仿宋_GB2312" w:cs="Calibri"/>
          <w:b w:val="0"/>
          <w:bCs w:val="0"/>
          <w:color w:val="auto"/>
          <w:kern w:val="0"/>
          <w:sz w:val="32"/>
          <w:szCs w:val="32"/>
        </w:rPr>
        <w:t>3.</w:t>
      </w:r>
      <w:r>
        <w:rPr>
          <w:rFonts w:hint="eastAsia" w:ascii="仿宋_GB2312" w:eastAsia="仿宋_GB2312"/>
          <w:b w:val="0"/>
          <w:bCs w:val="0"/>
          <w:color w:val="auto"/>
          <w:sz w:val="32"/>
          <w:szCs w:val="32"/>
        </w:rPr>
        <w:t>加快普通高中多样化发展。鼓励普通高中多样化有特色发展，进一步推进高中办学体制和培养模式改革，以构建“高效课堂”活动为抓手，落实走班制、导生制，落实小班化、个性化教学，构建特色学科，形成富有特色的教育教学理念，不断提升学校的核心竞争力，力争高中教育整体水平和综合实力进入全市先进行列。</w:t>
      </w:r>
    </w:p>
    <w:p w14:paraId="25D805D2">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4.推动职业教育高水平发展。</w:t>
      </w:r>
      <w:r>
        <w:rPr>
          <w:rFonts w:hint="eastAsia" w:ascii="仿宋_GB2312" w:hAnsi="仿宋" w:eastAsia="仿宋_GB2312" w:cs="Calibri"/>
          <w:b w:val="0"/>
          <w:bCs w:val="0"/>
          <w:color w:val="auto"/>
          <w:kern w:val="0"/>
          <w:sz w:val="32"/>
          <w:szCs w:val="32"/>
        </w:rPr>
        <w:t>加快构建适应产业升级需求、产教深度融合、灵活开放的现代职业教育体系，试点现代学徒制和学分制改革。</w:t>
      </w:r>
      <w:r>
        <w:rPr>
          <w:rFonts w:hint="eastAsia" w:ascii="仿宋_GB2312" w:eastAsia="仿宋_GB2312"/>
          <w:b w:val="0"/>
          <w:bCs w:val="0"/>
          <w:color w:val="auto"/>
          <w:sz w:val="32"/>
          <w:szCs w:val="32"/>
        </w:rPr>
        <w:t>落实学校20%编制员额内自主招聘兼职教师政策，扩大职业学校办学自主权。深化职普融通、产教融合、校企合作，构建与县域经济社会发展和技能型人才成长相适应的现代职业教育体系，加强济南工业学校优质专业高水平建设的培育，打造辐射周边区域的职教高地。</w:t>
      </w:r>
      <w:r>
        <w:rPr>
          <w:rFonts w:hint="eastAsia" w:ascii="仿宋_GB2312" w:hAnsi="仿宋" w:eastAsia="仿宋_GB2312" w:cs="Calibri"/>
          <w:b w:val="0"/>
          <w:bCs w:val="0"/>
          <w:color w:val="auto"/>
          <w:kern w:val="0"/>
          <w:sz w:val="32"/>
          <w:szCs w:val="32"/>
        </w:rPr>
        <w:t>坚持领创发展，</w:t>
      </w:r>
      <w:r>
        <w:rPr>
          <w:rFonts w:hint="eastAsia" w:ascii="仿宋_GB2312" w:eastAsia="仿宋_GB2312"/>
          <w:b w:val="0"/>
          <w:bCs w:val="0"/>
          <w:color w:val="auto"/>
          <w:sz w:val="32"/>
          <w:szCs w:val="32"/>
        </w:rPr>
        <w:t>依托学校教学实训基地（综合实训楼），建设加工制造、护理康养、智能制造和互联网营销等专业群，为县域及周边地区智能制造基地建设提供人才和智力支撑。</w:t>
      </w:r>
    </w:p>
    <w:p w14:paraId="657C7E5E">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5.健全特殊教育保障体系。将特殊教育纳入基础教育整体发展规划，改扩建十二年一贯制特殊教育学校，实现向学前教育、中职教育的延深。进一步完善以特殊教育学校为骨干，以随班就读为主体，以送教服务等形式为补充的特殊教育办学体系，全面提升残疾学生义务教育普及水平。</w:t>
      </w:r>
    </w:p>
    <w:p w14:paraId="60298AD4">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hAnsi="宋体" w:eastAsia="仿宋_GB2312"/>
          <w:b w:val="0"/>
          <w:bCs w:val="0"/>
          <w:color w:val="auto"/>
          <w:sz w:val="32"/>
          <w:szCs w:val="32"/>
        </w:rPr>
      </w:pPr>
      <w:r>
        <w:rPr>
          <w:rFonts w:hint="eastAsia" w:ascii="仿宋_GB2312" w:eastAsia="仿宋_GB2312"/>
          <w:b w:val="0"/>
          <w:bCs w:val="0"/>
          <w:color w:val="auto"/>
          <w:sz w:val="32"/>
          <w:szCs w:val="32"/>
        </w:rPr>
        <w:t>6.构建服务全民终身学习的教育体系。以社区教育学院为引领，完善社区教育三级管理网络。推进开放大学创新发展，加强社区教育网络建设，以社区教育的新途径、新方法，满足社区居民多层次多样化教育需求。充分发挥</w:t>
      </w:r>
      <w:r>
        <w:rPr>
          <w:rFonts w:hint="eastAsia" w:ascii="仿宋_GB2312" w:hAnsi="宋体" w:eastAsia="仿宋_GB2312"/>
          <w:b w:val="0"/>
          <w:bCs w:val="0"/>
          <w:color w:val="auto"/>
          <w:sz w:val="32"/>
          <w:szCs w:val="32"/>
        </w:rPr>
        <w:t>各街镇社区教育中心校示范作用，加强社区（村）居民学校建设。加快发展老年教育，开展老年人运用智能技术教育培训，推进学习型城市建设，办好全民终身学习活动周，形成覆盖城乡、机制完善的社区教育体系。</w:t>
      </w:r>
    </w:p>
    <w:p w14:paraId="665B0856">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hAnsi="&amp;quot" w:eastAsia="仿宋_GB2312" w:cs="宋体"/>
          <w:b w:val="0"/>
          <w:bCs w:val="0"/>
          <w:color w:val="auto"/>
          <w:kern w:val="0"/>
          <w:sz w:val="32"/>
          <w:szCs w:val="32"/>
        </w:rPr>
      </w:pPr>
      <w:r>
        <w:rPr>
          <w:rFonts w:hint="eastAsia" w:ascii="仿宋_GB2312" w:hAnsi="宋体" w:eastAsia="仿宋_GB2312"/>
          <w:b w:val="0"/>
          <w:bCs w:val="0"/>
          <w:color w:val="auto"/>
          <w:sz w:val="32"/>
          <w:szCs w:val="32"/>
        </w:rPr>
        <w:t>7.规范</w:t>
      </w:r>
      <w:r>
        <w:rPr>
          <w:rFonts w:hint="eastAsia" w:ascii="仿宋_GB2312" w:hAnsi="&amp;quot" w:eastAsia="仿宋_GB2312" w:cs="宋体"/>
          <w:b w:val="0"/>
          <w:bCs w:val="0"/>
          <w:color w:val="auto"/>
          <w:kern w:val="0"/>
          <w:sz w:val="32"/>
          <w:szCs w:val="32"/>
        </w:rPr>
        <w:t>民办教育</w:t>
      </w:r>
      <w:r>
        <w:rPr>
          <w:rFonts w:hint="eastAsia" w:ascii="仿宋_GB2312" w:hAnsi="宋体" w:eastAsia="仿宋_GB2312"/>
          <w:b w:val="0"/>
          <w:bCs w:val="0"/>
          <w:color w:val="auto"/>
          <w:sz w:val="32"/>
          <w:szCs w:val="32"/>
        </w:rPr>
        <w:t>健康发展</w:t>
      </w:r>
      <w:r>
        <w:rPr>
          <w:rFonts w:hint="eastAsia" w:ascii="仿宋_GB2312" w:hAnsi="&amp;quot" w:eastAsia="仿宋_GB2312" w:cs="宋体"/>
          <w:b w:val="0"/>
          <w:bCs w:val="0"/>
          <w:color w:val="auto"/>
          <w:kern w:val="0"/>
          <w:sz w:val="32"/>
          <w:szCs w:val="32"/>
        </w:rPr>
        <w:t>。加强对民办义务教育的管理，落实民办教育分类管理制度。提高民办学校教学质量和办学水平。加快优化义务教育结构，确保义务教育学位主要由公办学校和政府购买服务方式提供。加大对民办教育的过程管理和督导考评，健全民办学校风险防控和综合治理体系。全面规范管理校外培训机构，巩固</w:t>
      </w:r>
      <w:r>
        <w:rPr>
          <w:rFonts w:hint="eastAsia" w:ascii="仿宋_GB2312" w:hAnsi="&amp;quot" w:eastAsia="仿宋_GB2312" w:cs="宋体"/>
          <w:b w:val="0"/>
          <w:bCs w:val="0"/>
          <w:color w:val="auto"/>
          <w:spacing w:val="-2"/>
          <w:kern w:val="0"/>
          <w:sz w:val="32"/>
          <w:szCs w:val="32"/>
        </w:rPr>
        <w:t>“五管</w:t>
      </w:r>
      <w:r>
        <w:rPr>
          <w:rFonts w:hint="eastAsia" w:ascii="仿宋_GB2312" w:hAnsi="&amp;quot" w:eastAsia="仿宋_GB2312" w:cs="宋体"/>
          <w:b w:val="0"/>
          <w:bCs w:val="0"/>
          <w:color w:val="auto"/>
          <w:spacing w:val="-2"/>
          <w:w w:val="66"/>
          <w:kern w:val="0"/>
          <w:sz w:val="32"/>
          <w:szCs w:val="32"/>
        </w:rPr>
        <w:t>”“</w:t>
      </w:r>
      <w:r>
        <w:rPr>
          <w:rFonts w:hint="eastAsia" w:ascii="仿宋_GB2312" w:hAnsi="&amp;quot" w:eastAsia="仿宋_GB2312" w:cs="宋体"/>
          <w:b w:val="0"/>
          <w:bCs w:val="0"/>
          <w:color w:val="auto"/>
          <w:spacing w:val="-2"/>
          <w:kern w:val="0"/>
          <w:sz w:val="32"/>
          <w:szCs w:val="32"/>
        </w:rPr>
        <w:t>双减”</w:t>
      </w:r>
      <w:r>
        <w:rPr>
          <w:rFonts w:hint="eastAsia" w:ascii="仿宋_GB2312" w:hAnsi="&amp;quot" w:eastAsia="仿宋_GB2312" w:cs="宋体"/>
          <w:b w:val="0"/>
          <w:bCs w:val="0"/>
          <w:color w:val="auto"/>
          <w:kern w:val="0"/>
          <w:sz w:val="32"/>
          <w:szCs w:val="32"/>
        </w:rPr>
        <w:t>已有成果，引导民办教育有序、健康、高质量发展。</w:t>
      </w:r>
    </w:p>
    <w:p w14:paraId="77D48C6F">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楷体_GB2312" w:hAnsi="楷体" w:eastAsia="楷体_GB2312" w:cs="Calibri"/>
          <w:b w:val="0"/>
          <w:bCs w:val="0"/>
          <w:color w:val="auto"/>
          <w:kern w:val="0"/>
          <w:sz w:val="32"/>
          <w:szCs w:val="32"/>
        </w:rPr>
      </w:pPr>
      <w:r>
        <w:rPr>
          <w:rFonts w:hint="eastAsia" w:ascii="楷体_GB2312" w:eastAsia="楷体_GB2312" w:cs="Calibri"/>
          <w:b w:val="0"/>
          <w:bCs w:val="0"/>
          <w:color w:val="auto"/>
          <w:kern w:val="0"/>
          <w:sz w:val="32"/>
          <w:szCs w:val="32"/>
        </w:rPr>
        <w:t>（四）全面</w:t>
      </w:r>
      <w:r>
        <w:rPr>
          <w:rFonts w:hint="eastAsia" w:ascii="楷体_GB2312" w:hAnsi="楷体" w:eastAsia="楷体_GB2312" w:cs="Calibri"/>
          <w:b w:val="0"/>
          <w:bCs w:val="0"/>
          <w:color w:val="auto"/>
          <w:kern w:val="0"/>
          <w:sz w:val="32"/>
          <w:szCs w:val="32"/>
        </w:rPr>
        <w:t>提高教育教学质量</w:t>
      </w:r>
    </w:p>
    <w:p w14:paraId="4A0026B2">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全面推进素质教育。认真贯彻中共中央国务院《关于全面加强新时代大中小学劳动教育的意见》《关于全面加强和改进新时代学校体育工作的意见》《关于全面加强和改进新时代学校美育工作的意见》，加强学生生活实践、劳动技术和职业体验教育；提高体育、艺术和劳动教育实施质量，保证学生体质达到《国家学生体质健康标准》，艺术素养达到相应课程标准要求。</w:t>
      </w:r>
    </w:p>
    <w:p w14:paraId="1B6E6765">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b w:val="0"/>
          <w:bCs w:val="0"/>
          <w:color w:val="auto"/>
          <w:sz w:val="32"/>
          <w:szCs w:val="32"/>
          <w:shd w:val="clear" w:color="auto" w:fill="FFFFFF"/>
        </w:rPr>
        <w:t>2.更新人才培养观念。注重学思结合、知行合一、因材施教，探索“导生制”“全员育人”等多种培养模式。优化创新人才早期培养生态，统筹设计各学段育人目标、教学标准、培养方案，更新教育内容，创新教育教学方式，加强核心素养培养，着力增强学生创新精神和实践能力。</w:t>
      </w:r>
    </w:p>
    <w:p w14:paraId="0A8085A7">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3.提高课程实施质量。严格落实国家课程方案，开齐、开足、开好国家课程。提高校长课程领导力，提高国家课程校本化实施质量；做好顶层设计，构建以学科拓展、活动实践和科学探究为主的结构化、系统性的校本课程体系，满足学生个性特点和差异需求的校本课程，为学生个性化发展提供支撑。</w:t>
      </w:r>
    </w:p>
    <w:p w14:paraId="0FA42907">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4.提高课堂教学质量。聚焦课堂教学主阵地，深化课堂教学改革力度。校级领导带头上课，引导各学校聚焦课堂教学管理，探索“强课提质”新路径，努力打造“轻负担、高质量”的各课型范式。提高教学常规精细化管理水平，落实好校级领导听课、巡课、评课制度，不断创新管理理念，改进管理方法，提升管理效率。</w:t>
      </w:r>
    </w:p>
    <w:p w14:paraId="74E05040">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5.提高教学研究质量。坚持问题导向，积极开展学科基地教研、联盟校教研、订单教研、主题教研等活动。以课题项目为抓手，研究教学实践中的现实问题，破解教学难点、焦点，提高教育教学质量和效益。</w:t>
      </w:r>
    </w:p>
    <w:p w14:paraId="0AAB2ADE">
      <w:pPr>
        <w:keepNext w:val="0"/>
        <w:keepLines w:val="0"/>
        <w:pageBreakBefore w:val="0"/>
        <w:widowControl w:val="0"/>
        <w:shd w:val="clear" w:color="auto" w:fill="FFFFFF"/>
        <w:kinsoku/>
        <w:wordWrap/>
        <w:overflowPunct/>
        <w:topLinePunct w:val="0"/>
        <w:autoSpaceDE/>
        <w:autoSpaceDN/>
        <w:bidi w:val="0"/>
        <w:adjustRightInd/>
        <w:snapToGrid/>
        <w:spacing w:line="630" w:lineRule="exact"/>
        <w:ind w:firstLine="640" w:firstLineChars="200"/>
        <w:jc w:val="both"/>
        <w:textAlignment w:val="auto"/>
        <w:rPr>
          <w:rFonts w:ascii="楷体_GB2312" w:hAnsi="楷体" w:eastAsia="楷体_GB2312" w:cs="Calibri"/>
          <w:b w:val="0"/>
          <w:bCs w:val="0"/>
          <w:color w:val="auto"/>
          <w:sz w:val="32"/>
          <w:szCs w:val="32"/>
        </w:rPr>
      </w:pPr>
      <w:r>
        <w:rPr>
          <w:rFonts w:hint="eastAsia" w:ascii="楷体_GB2312" w:hAnsi="楷体" w:eastAsia="楷体_GB2312" w:cs="Calibri"/>
          <w:b w:val="0"/>
          <w:bCs w:val="0"/>
          <w:color w:val="auto"/>
          <w:sz w:val="32"/>
          <w:szCs w:val="32"/>
        </w:rPr>
        <w:t>（五）全面加快教育信息化建设</w:t>
      </w:r>
    </w:p>
    <w:p w14:paraId="36504D6E">
      <w:pPr>
        <w:keepNext w:val="0"/>
        <w:keepLines w:val="0"/>
        <w:pageBreakBefore w:val="0"/>
        <w:widowControl w:val="0"/>
        <w:shd w:val="clear" w:color="auto" w:fill="FFFFFF"/>
        <w:kinsoku/>
        <w:wordWrap/>
        <w:overflowPunct/>
        <w:topLinePunct w:val="0"/>
        <w:autoSpaceDE/>
        <w:autoSpaceDN/>
        <w:bidi w:val="0"/>
        <w:adjustRightInd/>
        <w:snapToGrid/>
        <w:spacing w:line="630" w:lineRule="exact"/>
        <w:ind w:firstLine="640" w:firstLineChars="200"/>
        <w:jc w:val="both"/>
        <w:textAlignment w:val="auto"/>
        <w:rPr>
          <w:rFonts w:ascii="仿宋_GB2312" w:hAnsi="仿宋" w:eastAsia="仿宋_GB2312" w:cs="Calibri"/>
          <w:b w:val="0"/>
          <w:bCs w:val="0"/>
          <w:color w:val="auto"/>
          <w:kern w:val="0"/>
          <w:sz w:val="32"/>
          <w:szCs w:val="32"/>
        </w:rPr>
      </w:pPr>
      <w:r>
        <w:rPr>
          <w:rFonts w:hint="eastAsia" w:ascii="仿宋_GB2312" w:hAnsi="仿宋" w:eastAsia="仿宋_GB2312" w:cs="Calibri"/>
          <w:b w:val="0"/>
          <w:bCs w:val="0"/>
          <w:color w:val="auto"/>
          <w:kern w:val="0"/>
          <w:sz w:val="32"/>
          <w:szCs w:val="32"/>
        </w:rPr>
        <w:t>1.实施基础支撑环境提升行动。将教育信息化设施建设作为新基建的重要内容，通过迭代升级、更新完善和持续建设，实现长期、全面的发展。加大投资力度，实现新建学校信息技术设施设备的及时配置及全县中小学设施设备的更新换代。建设物理空间和网络空间相融合的新校园，拓展教育新空间。</w:t>
      </w:r>
    </w:p>
    <w:p w14:paraId="16F231AA">
      <w:pPr>
        <w:pStyle w:val="5"/>
        <w:keepNext w:val="0"/>
        <w:keepLines w:val="0"/>
        <w:pageBreakBefore w:val="0"/>
        <w:widowControl w:val="0"/>
        <w:kinsoku/>
        <w:wordWrap/>
        <w:overflowPunct/>
        <w:topLinePunct w:val="0"/>
        <w:autoSpaceDE/>
        <w:autoSpaceDN/>
        <w:bidi w:val="0"/>
        <w:adjustRightInd/>
        <w:snapToGrid/>
        <w:spacing w:beforeAutospacing="0" w:afterAutospacing="0" w:line="630" w:lineRule="exact"/>
        <w:ind w:firstLine="640" w:firstLineChars="200"/>
        <w:jc w:val="both"/>
        <w:textAlignment w:val="auto"/>
        <w:rPr>
          <w:rFonts w:ascii="仿宋_GB2312" w:hAnsi="仿宋" w:eastAsia="仿宋_GB2312" w:cs="Calibri"/>
          <w:b w:val="0"/>
          <w:bCs w:val="0"/>
          <w:color w:val="auto"/>
          <w:sz w:val="32"/>
          <w:szCs w:val="32"/>
        </w:rPr>
      </w:pPr>
      <w:r>
        <w:rPr>
          <w:rFonts w:hint="eastAsia" w:ascii="仿宋_GB2312" w:hAnsi="仿宋" w:eastAsia="仿宋_GB2312" w:cs="Calibri"/>
          <w:b w:val="0"/>
          <w:bCs w:val="0"/>
          <w:color w:val="auto"/>
          <w:sz w:val="32"/>
          <w:szCs w:val="32"/>
        </w:rPr>
        <w:t>2.推进中小学智慧校园建设行动。落实《济南市智慧校园建设与应用指导意见》，实现智慧校园管理云校一体，实现物理学习空间和网络学习空间的虚实一体，促进智能技术与教育教学、教研、管理、评价融合创新，提升学生的信息化学习能力、教师的信息化教学能力、管理人员的信息化管理能力和服务能力，用数据支撑“教、学、考、管、评”全过程。全县中小学基本建成智慧校园。</w:t>
      </w:r>
    </w:p>
    <w:p w14:paraId="540191DA">
      <w:pPr>
        <w:keepNext w:val="0"/>
        <w:keepLines w:val="0"/>
        <w:pageBreakBefore w:val="0"/>
        <w:widowControl w:val="0"/>
        <w:shd w:val="clear" w:color="auto" w:fill="FFFFFF"/>
        <w:kinsoku/>
        <w:wordWrap/>
        <w:overflowPunct/>
        <w:topLinePunct w:val="0"/>
        <w:autoSpaceDE/>
        <w:autoSpaceDN/>
        <w:bidi w:val="0"/>
        <w:adjustRightInd/>
        <w:snapToGrid/>
        <w:spacing w:line="630" w:lineRule="exact"/>
        <w:ind w:firstLine="640" w:firstLineChars="200"/>
        <w:jc w:val="both"/>
        <w:textAlignment w:val="auto"/>
        <w:rPr>
          <w:rFonts w:ascii="仿宋_GB2312" w:hAnsi="仿宋" w:eastAsia="仿宋_GB2312" w:cs="Calibri"/>
          <w:b w:val="0"/>
          <w:bCs w:val="0"/>
          <w:color w:val="auto"/>
          <w:kern w:val="0"/>
          <w:sz w:val="32"/>
          <w:szCs w:val="32"/>
        </w:rPr>
      </w:pPr>
      <w:r>
        <w:rPr>
          <w:rFonts w:hint="eastAsia" w:ascii="仿宋_GB2312" w:hAnsi="仿宋" w:eastAsia="仿宋_GB2312" w:cs="Calibri"/>
          <w:b w:val="0"/>
          <w:bCs w:val="0"/>
          <w:color w:val="auto"/>
          <w:kern w:val="0"/>
          <w:sz w:val="32"/>
          <w:szCs w:val="32"/>
        </w:rPr>
        <w:t>3.开展师生信息素养提升行动。继续推进“济南市教育资源公共服务平台”应用，深化信息技术与教学融合创新，提高教师信息技术能力，有效减轻教师负担，提高学生学习效率，真正实现精准化、个性化教与学。开展创客教育，提高学生利用信息技术解决问题的能力，培养学生创新精神，实现校校建有创客空间。</w:t>
      </w:r>
    </w:p>
    <w:p w14:paraId="47A99293">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楷体_GB2312" w:hAnsi="微软雅黑" w:eastAsia="楷体_GB2312"/>
          <w:b w:val="0"/>
          <w:bCs w:val="0"/>
          <w:color w:val="auto"/>
          <w:sz w:val="32"/>
          <w:szCs w:val="32"/>
        </w:rPr>
      </w:pPr>
      <w:r>
        <w:rPr>
          <w:rFonts w:hint="eastAsia" w:ascii="楷体_GB2312" w:hAnsi="微软雅黑" w:eastAsia="楷体_GB2312"/>
          <w:b w:val="0"/>
          <w:bCs w:val="0"/>
          <w:color w:val="auto"/>
          <w:sz w:val="32"/>
          <w:szCs w:val="32"/>
        </w:rPr>
        <w:t>（六）全面加强教师队伍建设</w:t>
      </w:r>
    </w:p>
    <w:p w14:paraId="25DB8DAD">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3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加强师德师风建设。落实中小学师德师风建设长效机制，将师德教育作为教师培养培训的首要内容，将理想信念放在师德教育首位，引导教师带头践行社会主义核心价值观，自觉恪守新时代教师职业行为十项准则，落实立德树人的根本任务，引领学生健康成长；健全师德师风表彰奖励制度和教师违反师德行为的惩处机制，加强师德典型宣传，营造全社会尊师重教的良好氛围。强化师德考评，将师德考核结果作为教师职称评审、岗位聘用、评优评先等工作的重要依据，严格查处师德失范行为，实行师德“一票否决”。引导广大教师以德立身、以德立学、以德施教。</w:t>
      </w:r>
    </w:p>
    <w:p w14:paraId="469057B2">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2.打造优秀教师队伍。按照“四有”好老师的标准，做好“111”强师教师系列培训，利用三年时间，培养一批在省市有影响力，教学风格鲜明的学科名师；做好远程研修培训，全面提升教师的专业素养。</w:t>
      </w:r>
      <w:r>
        <w:rPr>
          <w:rFonts w:hint="eastAsia" w:ascii="仿宋_GB2312" w:hAnsi="仿宋_GB2312" w:eastAsia="仿宋_GB2312" w:cs="仿宋_GB2312"/>
          <w:b w:val="0"/>
          <w:bCs w:val="0"/>
          <w:color w:val="auto"/>
          <w:kern w:val="0"/>
          <w:sz w:val="32"/>
          <w:szCs w:val="32"/>
        </w:rPr>
        <w:t>普遍开展班主任任职资格培训、在岗培训和骨干培训，举办班主任基本功大赛等，加快建设师德高尚、热爱学生、业务精湛的班主任队伍。</w:t>
      </w:r>
      <w:r>
        <w:rPr>
          <w:rFonts w:hint="eastAsia" w:ascii="仿宋_GB2312" w:hAnsi="仿宋_GB2312" w:eastAsia="仿宋_GB2312" w:cs="仿宋_GB2312"/>
          <w:b w:val="0"/>
          <w:bCs w:val="0"/>
          <w:color w:val="auto"/>
          <w:sz w:val="32"/>
          <w:szCs w:val="32"/>
        </w:rPr>
        <w:t>落实“三进”工作，加大优秀青年干部教师培养力度，为落实“立德树人铸魂、强体健身固本”工作任务，实施“五成两全”育人工程，提供坚强的组织保障。</w:t>
      </w:r>
    </w:p>
    <w:p w14:paraId="416B7DD9">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30" w:lineRule="exact"/>
        <w:ind w:firstLine="640" w:firstLineChars="200"/>
        <w:jc w:val="both"/>
        <w:textAlignment w:val="auto"/>
        <w:rPr>
          <w:rFonts w:ascii="仿宋_GB2312" w:hAnsi="微软雅黑" w:eastAsia="仿宋_GB2312"/>
          <w:b w:val="0"/>
          <w:bCs w:val="0"/>
          <w:color w:val="auto"/>
          <w:sz w:val="32"/>
          <w:szCs w:val="32"/>
        </w:rPr>
      </w:pPr>
      <w:r>
        <w:rPr>
          <w:rFonts w:hint="eastAsia" w:ascii="仿宋_GB2312" w:hAnsi="微软雅黑" w:eastAsia="仿宋_GB2312"/>
          <w:b w:val="0"/>
          <w:bCs w:val="0"/>
          <w:color w:val="auto"/>
          <w:sz w:val="32"/>
          <w:szCs w:val="32"/>
        </w:rPr>
        <w:t>3.拓宽教师补充渠道。通过公开招聘、定向培养、县外在编在岗教师回流等方式，继续加大中小学教师补充力度，化解教师严重老化、结构不合理的现象。推行更积极、更开放、更有效的人才引进政策，对县域教育急需的紧缺教师，实行特殊政策，实现精准引进。逐步完善人才引进配套政策，缓解优秀师资总量不足的矛盾。</w:t>
      </w:r>
    </w:p>
    <w:p w14:paraId="019CB1FE">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30" w:lineRule="exact"/>
        <w:ind w:firstLine="640" w:firstLineChars="200"/>
        <w:jc w:val="both"/>
        <w:textAlignment w:val="auto"/>
        <w:rPr>
          <w:rFonts w:ascii="仿宋_GB2312" w:hAnsi="微软雅黑" w:eastAsia="仿宋_GB2312"/>
          <w:b w:val="0"/>
          <w:bCs w:val="0"/>
          <w:color w:val="auto"/>
          <w:sz w:val="32"/>
          <w:szCs w:val="32"/>
        </w:rPr>
      </w:pPr>
      <w:r>
        <w:rPr>
          <w:rFonts w:hint="eastAsia" w:ascii="仿宋_GB2312" w:hAnsi="微软雅黑" w:eastAsia="仿宋_GB2312"/>
          <w:b w:val="0"/>
          <w:bCs w:val="0"/>
          <w:color w:val="auto"/>
          <w:sz w:val="32"/>
          <w:szCs w:val="32"/>
        </w:rPr>
        <w:t>4.优化教师资源配置。按照《平阴县人民政府关于加强乡村教师队伍建设的实施办法》，大力开展县域和乡村教师交流，落实城镇教师到乡村学校支教制度，完善新聘教师农村学校任教服务期限制度，解决农村师资不足的问题。</w:t>
      </w:r>
    </w:p>
    <w:p w14:paraId="085D1C73">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30" w:lineRule="exact"/>
        <w:ind w:firstLine="640" w:firstLineChars="200"/>
        <w:jc w:val="both"/>
        <w:textAlignment w:val="auto"/>
        <w:rPr>
          <w:rFonts w:ascii="仿宋_GB2312" w:hAnsi="微软雅黑" w:eastAsia="仿宋_GB2312"/>
          <w:b w:val="0"/>
          <w:bCs w:val="0"/>
          <w:color w:val="auto"/>
          <w:sz w:val="32"/>
          <w:szCs w:val="32"/>
        </w:rPr>
      </w:pPr>
      <w:r>
        <w:rPr>
          <w:rFonts w:hint="eastAsia" w:ascii="仿宋_GB2312" w:hAnsi="微软雅黑" w:eastAsia="仿宋_GB2312"/>
          <w:b w:val="0"/>
          <w:bCs w:val="0"/>
          <w:color w:val="auto"/>
          <w:sz w:val="32"/>
          <w:szCs w:val="32"/>
        </w:rPr>
        <w:t>5.完善教师管理制度。健全由县教体局主管的事权、人权、财权相统一的教师管理体制。强化教师编制管理，深化教师“县管校聘”体制改革。实行教师职称评定与岗位聘用相结合的办法，全面推开中小学教师职务（职称）制度改革。</w:t>
      </w:r>
    </w:p>
    <w:p w14:paraId="048E2D3B">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楷体_GB2312" w:hAnsi="楷体" w:eastAsia="楷体_GB2312" w:cs="Calibri"/>
          <w:b w:val="0"/>
          <w:bCs w:val="0"/>
          <w:color w:val="auto"/>
          <w:kern w:val="0"/>
          <w:sz w:val="32"/>
          <w:szCs w:val="32"/>
        </w:rPr>
      </w:pPr>
      <w:r>
        <w:rPr>
          <w:rFonts w:hint="eastAsia" w:ascii="楷体_GB2312" w:hAnsi="楷体" w:eastAsia="楷体_GB2312" w:cs="Calibri"/>
          <w:b w:val="0"/>
          <w:bCs w:val="0"/>
          <w:color w:val="auto"/>
          <w:kern w:val="0"/>
          <w:sz w:val="32"/>
          <w:szCs w:val="32"/>
        </w:rPr>
        <w:t>（七）全面提高教育评价质量。</w:t>
      </w:r>
    </w:p>
    <w:p w14:paraId="20179B83">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hAnsi="&amp;quot" w:eastAsia="仿宋_GB2312" w:cs="宋体"/>
          <w:b w:val="0"/>
          <w:bCs w:val="0"/>
          <w:color w:val="auto"/>
          <w:kern w:val="0"/>
          <w:sz w:val="32"/>
          <w:szCs w:val="32"/>
        </w:rPr>
      </w:pPr>
      <w:r>
        <w:rPr>
          <w:rFonts w:hint="eastAsia" w:ascii="仿宋_GB2312" w:hAnsi="&amp;quot" w:eastAsia="仿宋_GB2312" w:cs="宋体"/>
          <w:b w:val="0"/>
          <w:bCs w:val="0"/>
          <w:color w:val="auto"/>
          <w:kern w:val="0"/>
          <w:sz w:val="32"/>
          <w:szCs w:val="32"/>
        </w:rPr>
        <w:t>1.深化政府履职评价。坚持教育优先发展战略，将政府履行教育职责纳入全县高质量发展内容，逐级落实评价指标。坚持问题导向，将人民群众普遍关心的教育突出问题作为政府履行教育职责评价的重点，实行督导评价制度。逐步建立督导机构，完善督导评估机制。</w:t>
      </w:r>
    </w:p>
    <w:p w14:paraId="069BAF74">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hAnsi="&amp;quot" w:eastAsia="仿宋_GB2312" w:cs="宋体"/>
          <w:b w:val="0"/>
          <w:bCs w:val="0"/>
          <w:color w:val="auto"/>
          <w:kern w:val="0"/>
          <w:sz w:val="32"/>
          <w:szCs w:val="32"/>
        </w:rPr>
      </w:pPr>
      <w:r>
        <w:rPr>
          <w:rFonts w:hint="eastAsia" w:ascii="仿宋_GB2312" w:hAnsi="&amp;quot" w:eastAsia="仿宋_GB2312" w:cs="宋体"/>
          <w:b w:val="0"/>
          <w:bCs w:val="0"/>
          <w:color w:val="auto"/>
          <w:kern w:val="0"/>
          <w:sz w:val="32"/>
          <w:szCs w:val="32"/>
        </w:rPr>
        <w:t>2.改革学校评价。坚持把立德树人成效作为根本标准，持续优化学校（幼儿园）差异化评价方案。依据各学校特点，细化评价内容。幼儿园评价重点评价幼儿园科学保教、规范办园、克服小学化倾向等情况；义务教育学校重点评价促进学生全面发展、引领教师专业发展、营造和谐育人环境、建设现代学校制度以及学业负担、社会满意度等情况；普通高中主要评价学生全面发展的培养情况，突出实施学生综合素质评价、开展学生发展指导、优化教学资源配置、有序推进选课走班等内容；职业学校评价重点评价职业学校德技并修、产教融合、校企合作、学生获取职业资格或职业技能等级证书、毕业生就业质量、“双师型”教师队伍建设等情况。</w:t>
      </w:r>
    </w:p>
    <w:p w14:paraId="78B494F2">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hAnsi="&amp;quot" w:eastAsia="仿宋_GB2312" w:cs="宋体"/>
          <w:b w:val="0"/>
          <w:bCs w:val="0"/>
          <w:color w:val="auto"/>
          <w:kern w:val="0"/>
          <w:sz w:val="32"/>
          <w:szCs w:val="32"/>
        </w:rPr>
      </w:pPr>
      <w:r>
        <w:rPr>
          <w:rFonts w:hint="eastAsia" w:ascii="仿宋_GB2312" w:hAnsi="&amp;quot" w:eastAsia="仿宋_GB2312" w:cs="宋体"/>
          <w:b w:val="0"/>
          <w:bCs w:val="0"/>
          <w:color w:val="auto"/>
          <w:kern w:val="0"/>
          <w:sz w:val="32"/>
          <w:szCs w:val="32"/>
        </w:rPr>
        <w:t>3.改革教师评价。坚持把师德师风作为第一标准，克服重科研轻教学、重教书轻育人。突出教育教学实绩。把认真履行教育教学职责作为评价教师的基本要求，引导教师上好每一节课、关爱每一个学生。强化一线学生工作，要明确领导干部和教师参与学生工作的具体要求。</w:t>
      </w:r>
    </w:p>
    <w:p w14:paraId="2E5D440C">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hAnsi="&amp;quot" w:eastAsia="仿宋_GB2312" w:cs="宋体"/>
          <w:b w:val="0"/>
          <w:bCs w:val="0"/>
          <w:color w:val="auto"/>
          <w:kern w:val="0"/>
          <w:sz w:val="32"/>
          <w:szCs w:val="32"/>
        </w:rPr>
      </w:pPr>
      <w:r>
        <w:rPr>
          <w:rFonts w:hint="eastAsia" w:ascii="仿宋_GB2312" w:hAnsi="&amp;quot" w:eastAsia="仿宋_GB2312" w:cs="宋体"/>
          <w:b w:val="0"/>
          <w:bCs w:val="0"/>
          <w:color w:val="auto"/>
          <w:kern w:val="0"/>
          <w:sz w:val="32"/>
          <w:szCs w:val="32"/>
        </w:rPr>
        <w:t>4.改革学生评价。坚持以德为先、能力为重、全面发展。完善德育评价。强化体育评价。改进美育评价。加强劳动教育评价。严格学业标准。完善过程性考核与结果性考核有机结合的学业考评制度，加强课堂参与和课堂纪律考查，引导学生树立良好学风。</w:t>
      </w:r>
    </w:p>
    <w:p w14:paraId="56E512F4">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楷体_GB2312" w:hAnsi="楷体" w:eastAsia="楷体_GB2312" w:cs="Calibri"/>
          <w:b w:val="0"/>
          <w:bCs w:val="0"/>
          <w:color w:val="auto"/>
          <w:kern w:val="0"/>
          <w:sz w:val="32"/>
          <w:szCs w:val="32"/>
        </w:rPr>
      </w:pPr>
      <w:r>
        <w:rPr>
          <w:rFonts w:hint="eastAsia" w:ascii="楷体_GB2312" w:hAnsi="楷体" w:eastAsia="楷体_GB2312" w:cs="Calibri"/>
          <w:b w:val="0"/>
          <w:bCs w:val="0"/>
          <w:color w:val="auto"/>
          <w:kern w:val="0"/>
          <w:sz w:val="32"/>
          <w:szCs w:val="32"/>
        </w:rPr>
        <w:t>（八）全面提高教育治理水平</w:t>
      </w:r>
    </w:p>
    <w:p w14:paraId="417F371E">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b w:val="0"/>
          <w:bCs w:val="0"/>
          <w:color w:val="auto"/>
          <w:sz w:val="32"/>
          <w:szCs w:val="32"/>
          <w:shd w:val="clear" w:color="auto" w:fill="FFFFFF"/>
        </w:rPr>
        <w:t>1.增强全社会协同育人能力。推进学校教育和家庭教育协同配合，切实减轻义务教育学段学生作业负担和校外培训负担，落实中小学生作业、睡眠、手机、读物、体质等“五项管理”。引导社会积极参与，推动形成教师、学生、家长、社区等社会各方共同参与的学校课后服务新格局。推进教育治理体系和治理能力现代化，逐项破解群众关心关注的教育问题、短板弱项，持续提升教育满意度。</w:t>
      </w:r>
    </w:p>
    <w:p w14:paraId="09B2EBC5">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完善学校现代治理制度。积极推进学校章程和制度建设，强化学校依照章程和制度办事的意识，落实法治副校长制度。健全教育重大行政决策程序，建立和完善科学、民主的教育决策机制。推进教育政务公开和校务公开，努力形成社会依法参与监督、学校依法办学的良好局面。强化教育法律法规宣传力度，创设有利于教育快速发展的法治环境。</w:t>
      </w:r>
    </w:p>
    <w:p w14:paraId="3097FCC1">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3.全力打造平安校园。始终把校园安全综治工作摆在重要位置，深入开展平安校园示范校创建活动。完善“属地管理，部门负责”的学校及周边环境集中整治模式。将防治中小学生欺凌工作列入机关部门职责，形成齐抓共管、多管齐下的管理态势。健全完善学校突发事件应急处理机制、学校安全管理工作机制和责任制度。发挥第三方安全监测作用，建立健全学校安全隐患排查整改、重大安全问题督办约谈制度。全县所有中小学、幼儿园值班警务室达到标准化建设，配好配强校园安保力量，电子监控实现全覆盖。充分利用社情民意平台和网络舆情监控系统，切实做好信访投诉调查处理。</w:t>
      </w:r>
    </w:p>
    <w:p w14:paraId="13C0FBA6">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仿宋_GB2312" w:eastAsia="仿宋_GB2312"/>
          <w:b w:val="0"/>
          <w:bCs w:val="0"/>
          <w:color w:val="auto"/>
          <w:sz w:val="32"/>
          <w:szCs w:val="32"/>
        </w:rPr>
      </w:pPr>
      <w:r>
        <w:rPr>
          <w:rFonts w:hint="eastAsia" w:ascii="仿宋_GB2312" w:hAnsi="仿宋" w:eastAsia="仿宋_GB2312" w:cs="Calibri"/>
          <w:b w:val="0"/>
          <w:bCs w:val="0"/>
          <w:color w:val="auto"/>
          <w:kern w:val="0"/>
          <w:sz w:val="32"/>
          <w:szCs w:val="32"/>
        </w:rPr>
        <w:t>4.全面保障教育公平。全面落实建档立卡、低保、残疾、特困救助（含孤儿）等在籍在库学生的各项资助政策，加强生源地助学贷款贷前受理和贷后管理工作。做好家庭经济困难学生认定，加强资助政策和成效宣传，</w:t>
      </w:r>
      <w:r>
        <w:rPr>
          <w:rFonts w:hint="eastAsia" w:ascii="仿宋_GB2312" w:eastAsia="仿宋_GB2312"/>
          <w:b w:val="0"/>
          <w:bCs w:val="0"/>
          <w:color w:val="auto"/>
          <w:sz w:val="32"/>
          <w:szCs w:val="32"/>
        </w:rPr>
        <w:t>实现困难群体帮扶精准化。推进随迁子女入学待遇同城化，有序扩大城镇学位供给。义务教育就近免试入学，小学划片招生，初中整体对口，务工子女就近安置入学，新生全部实行电脑随机编班。</w:t>
      </w:r>
    </w:p>
    <w:p w14:paraId="2CCE74DE">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ascii="黑体" w:hAnsi="黑体" w:eastAsia="黑体" w:cs="Calibri"/>
          <w:b w:val="0"/>
          <w:bCs w:val="0"/>
          <w:color w:val="auto"/>
          <w:kern w:val="0"/>
          <w:sz w:val="32"/>
          <w:szCs w:val="32"/>
        </w:rPr>
      </w:pPr>
      <w:r>
        <w:rPr>
          <w:rFonts w:hint="eastAsia" w:ascii="黑体" w:hAnsi="黑体" w:eastAsia="黑体"/>
          <w:b w:val="0"/>
          <w:bCs w:val="0"/>
          <w:color w:val="auto"/>
          <w:sz w:val="32"/>
          <w:szCs w:val="32"/>
        </w:rPr>
        <w:t>三、</w:t>
      </w:r>
      <w:r>
        <w:rPr>
          <w:rFonts w:hint="eastAsia" w:ascii="黑体" w:hAnsi="黑体" w:eastAsia="黑体" w:cs="Calibri"/>
          <w:b w:val="0"/>
          <w:bCs w:val="0"/>
          <w:color w:val="auto"/>
          <w:kern w:val="0"/>
          <w:sz w:val="32"/>
          <w:szCs w:val="32"/>
        </w:rPr>
        <w:t>保障措施</w:t>
      </w:r>
    </w:p>
    <w:p w14:paraId="13A200DC">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30" w:lineRule="exact"/>
        <w:ind w:firstLine="640" w:firstLineChars="200"/>
        <w:jc w:val="both"/>
        <w:textAlignment w:val="auto"/>
        <w:rPr>
          <w:rFonts w:ascii="仿宋_GB2312" w:eastAsia="仿宋_GB2312"/>
          <w:b w:val="0"/>
          <w:bCs w:val="0"/>
          <w:color w:val="auto"/>
          <w:sz w:val="32"/>
          <w:szCs w:val="32"/>
        </w:rPr>
      </w:pPr>
      <w:r>
        <w:rPr>
          <w:rFonts w:hint="eastAsia" w:ascii="楷体_GB2312" w:eastAsia="楷体_GB2312"/>
          <w:b w:val="0"/>
          <w:bCs w:val="0"/>
          <w:color w:val="auto"/>
          <w:sz w:val="32"/>
          <w:szCs w:val="32"/>
        </w:rPr>
        <w:t>（一）强化组织领导。</w:t>
      </w:r>
      <w:r>
        <w:rPr>
          <w:rFonts w:hint="eastAsia" w:ascii="仿宋_GB2312" w:eastAsia="仿宋_GB2312"/>
          <w:b w:val="0"/>
          <w:bCs w:val="0"/>
          <w:color w:val="auto"/>
          <w:sz w:val="32"/>
          <w:szCs w:val="32"/>
        </w:rPr>
        <w:t>落实党委领导教育改革和发展的责任，把教育改革发展纳入议事日程，协调教育工作领导小组各部门齐心协力支持教育发展。教育工委定期研究教育事业发展中的问题，健全党委统一领导、政府部门各司其职的教育领导体制。</w:t>
      </w:r>
    </w:p>
    <w:p w14:paraId="53587CD6">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30" w:lineRule="exact"/>
        <w:ind w:firstLine="640" w:firstLineChars="200"/>
        <w:jc w:val="both"/>
        <w:textAlignment w:val="auto"/>
        <w:rPr>
          <w:rFonts w:ascii="仿宋_GB2312" w:eastAsia="仿宋_GB2312"/>
          <w:b w:val="0"/>
          <w:bCs w:val="0"/>
          <w:color w:val="auto"/>
          <w:sz w:val="32"/>
          <w:szCs w:val="32"/>
        </w:rPr>
      </w:pPr>
      <w:r>
        <w:rPr>
          <w:rFonts w:hint="eastAsia" w:ascii="楷体_GB2312" w:eastAsia="楷体_GB2312"/>
          <w:b w:val="0"/>
          <w:bCs w:val="0"/>
          <w:color w:val="auto"/>
          <w:sz w:val="32"/>
          <w:szCs w:val="32"/>
        </w:rPr>
        <w:t>（二）加强财政保障。</w:t>
      </w:r>
      <w:r>
        <w:rPr>
          <w:rFonts w:hint="eastAsia" w:ascii="仿宋_GB2312" w:eastAsia="仿宋_GB2312"/>
          <w:b w:val="0"/>
          <w:bCs w:val="0"/>
          <w:color w:val="auto"/>
          <w:sz w:val="32"/>
          <w:szCs w:val="32"/>
        </w:rPr>
        <w:t>健全保证财政教育投入持续稳定增长的长效机制，确保财政一般公共预算教育支出逐年只增不减，确保按在校学生人数平均的一般公共预算教育支出逐年只增不减。依法落实各级政府教育支出责任，完善多渠道教育经费筹措措施，完善国家、社会和受教育者合理分担非义务教育培养成本的机制，规范民办教育健康发展。严格执行义务教育阶段教师职级晋升机制。确保义务教育阶段教师平均工资不低于公务员工资水平。</w:t>
      </w:r>
    </w:p>
    <w:p w14:paraId="47F52819">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30" w:lineRule="exact"/>
        <w:ind w:firstLine="640" w:firstLineChars="200"/>
        <w:jc w:val="both"/>
        <w:textAlignment w:val="auto"/>
        <w:rPr>
          <w:rFonts w:ascii="仿宋_GB2312" w:eastAsia="仿宋_GB2312"/>
          <w:b w:val="0"/>
          <w:bCs w:val="0"/>
          <w:color w:val="auto"/>
          <w:sz w:val="32"/>
          <w:szCs w:val="32"/>
        </w:rPr>
      </w:pPr>
      <w:r>
        <w:rPr>
          <w:rFonts w:hint="eastAsia" w:ascii="楷体_GB2312" w:eastAsia="楷体_GB2312"/>
          <w:b w:val="0"/>
          <w:bCs w:val="0"/>
          <w:color w:val="auto"/>
          <w:sz w:val="32"/>
          <w:szCs w:val="32"/>
        </w:rPr>
        <w:t>（三）健全落实机制。</w:t>
      </w:r>
      <w:r>
        <w:rPr>
          <w:rFonts w:hint="eastAsia" w:ascii="仿宋_GB2312" w:eastAsia="仿宋_GB2312"/>
          <w:b w:val="0"/>
          <w:bCs w:val="0"/>
          <w:color w:val="auto"/>
          <w:sz w:val="32"/>
          <w:szCs w:val="32"/>
        </w:rPr>
        <w:t>建立协同规划机制、跨部门统筹协调机制，建立教育发展监测评价机制和督导问责机制，全方位协同推进教育现代化。强化教育改革，创新宣传方式，大力表彰尊师重教典型，形成全社会关心、支持和主动参与教育现代化建设的良好氛围。</w:t>
      </w:r>
    </w:p>
    <w:p w14:paraId="4B943E89">
      <w:pPr>
        <w:keepNext w:val="0"/>
        <w:keepLines w:val="0"/>
        <w:pageBreakBefore w:val="0"/>
        <w:widowControl w:val="0"/>
        <w:kinsoku/>
        <w:wordWrap/>
        <w:overflowPunct/>
        <w:topLinePunct w:val="0"/>
        <w:autoSpaceDE/>
        <w:autoSpaceDN/>
        <w:bidi w:val="0"/>
        <w:adjustRightInd/>
        <w:snapToGrid/>
        <w:spacing w:line="630" w:lineRule="exact"/>
        <w:jc w:val="center"/>
        <w:textAlignment w:val="auto"/>
        <w:rPr>
          <w:b w:val="0"/>
          <w:bCs w:val="0"/>
          <w:color w:val="auto"/>
        </w:rPr>
      </w:pPr>
    </w:p>
    <w:p w14:paraId="441296ED">
      <w:pPr>
        <w:pStyle w:val="2"/>
        <w:rPr>
          <w:b w:val="0"/>
          <w:bCs w:val="0"/>
          <w:color w:val="auto"/>
        </w:rPr>
      </w:pPr>
    </w:p>
    <w:p w14:paraId="05BEADA6">
      <w:pPr>
        <w:pStyle w:val="2"/>
        <w:rPr>
          <w:b w:val="0"/>
          <w:bCs w:val="0"/>
          <w:color w:val="auto"/>
        </w:rPr>
      </w:pPr>
    </w:p>
    <w:p w14:paraId="7E30EAA6">
      <w:pPr>
        <w:pStyle w:val="2"/>
        <w:rPr>
          <w:b w:val="0"/>
          <w:bCs w:val="0"/>
          <w:color w:val="auto"/>
        </w:rPr>
      </w:pPr>
    </w:p>
    <w:p w14:paraId="116D43AA">
      <w:pPr>
        <w:pStyle w:val="2"/>
        <w:rPr>
          <w:b w:val="0"/>
          <w:bCs w:val="0"/>
          <w:color w:val="auto"/>
        </w:rPr>
      </w:pPr>
    </w:p>
    <w:p w14:paraId="0A74258A">
      <w:pPr>
        <w:pStyle w:val="2"/>
        <w:rPr>
          <w:b w:val="0"/>
          <w:bCs w:val="0"/>
          <w:color w:val="auto"/>
        </w:rPr>
      </w:pPr>
    </w:p>
    <w:p w14:paraId="518C4B46">
      <w:pPr>
        <w:pStyle w:val="2"/>
        <w:rPr>
          <w:b w:val="0"/>
          <w:bCs w:val="0"/>
          <w:color w:val="auto"/>
        </w:rPr>
      </w:pPr>
    </w:p>
    <w:p w14:paraId="7039C3D7">
      <w:pPr>
        <w:pStyle w:val="2"/>
        <w:rPr>
          <w:b w:val="0"/>
          <w:bCs w:val="0"/>
          <w:color w:val="auto"/>
        </w:rPr>
      </w:pPr>
    </w:p>
    <w:p w14:paraId="27556D36">
      <w:pPr>
        <w:pStyle w:val="2"/>
        <w:rPr>
          <w:b w:val="0"/>
          <w:bCs w:val="0"/>
          <w:color w:val="auto"/>
        </w:rPr>
      </w:pPr>
    </w:p>
    <w:p w14:paraId="2973B598">
      <w:pPr>
        <w:pStyle w:val="2"/>
        <w:rPr>
          <w:b w:val="0"/>
          <w:bCs w:val="0"/>
          <w:color w:val="auto"/>
        </w:rPr>
      </w:pPr>
    </w:p>
    <w:p w14:paraId="7EF0DE39">
      <w:pPr>
        <w:pStyle w:val="2"/>
        <w:rPr>
          <w:b w:val="0"/>
          <w:bCs w:val="0"/>
          <w:color w:val="auto"/>
        </w:rPr>
      </w:pPr>
    </w:p>
    <w:p w14:paraId="3836CD0A">
      <w:pPr>
        <w:pStyle w:val="2"/>
        <w:rPr>
          <w:b w:val="0"/>
          <w:bCs w:val="0"/>
          <w:color w:val="auto"/>
        </w:rPr>
      </w:pPr>
    </w:p>
    <w:p w14:paraId="5EE0F67E">
      <w:pPr>
        <w:pStyle w:val="2"/>
        <w:rPr>
          <w:b w:val="0"/>
          <w:bCs w:val="0"/>
          <w:color w:val="auto"/>
        </w:rPr>
      </w:pPr>
    </w:p>
    <w:p w14:paraId="0090356E">
      <w:pPr>
        <w:pStyle w:val="2"/>
        <w:rPr>
          <w:b w:val="0"/>
          <w:bCs w:val="0"/>
          <w:color w:val="auto"/>
        </w:rPr>
      </w:pPr>
    </w:p>
    <w:p w14:paraId="5591C713">
      <w:pPr>
        <w:pStyle w:val="2"/>
        <w:rPr>
          <w:b w:val="0"/>
          <w:bCs w:val="0"/>
          <w:color w:val="auto"/>
        </w:rPr>
      </w:pPr>
    </w:p>
    <w:p w14:paraId="133D6000">
      <w:pPr>
        <w:pStyle w:val="2"/>
        <w:rPr>
          <w:b w:val="0"/>
          <w:bCs w:val="0"/>
          <w:color w:val="auto"/>
        </w:rPr>
      </w:pPr>
    </w:p>
    <w:p w14:paraId="0A6A6B13">
      <w:pPr>
        <w:pStyle w:val="2"/>
        <w:rPr>
          <w:b w:val="0"/>
          <w:bCs w:val="0"/>
          <w:color w:val="auto"/>
        </w:rPr>
      </w:pPr>
    </w:p>
    <w:p w14:paraId="6384C16C">
      <w:pPr>
        <w:pStyle w:val="2"/>
        <w:rPr>
          <w:b w:val="0"/>
          <w:bCs w:val="0"/>
          <w:color w:val="auto"/>
        </w:rPr>
      </w:pPr>
    </w:p>
    <w:p w14:paraId="5D20D721">
      <w:pPr>
        <w:pStyle w:val="2"/>
        <w:rPr>
          <w:b w:val="0"/>
          <w:bCs w:val="0"/>
          <w:color w:val="auto"/>
        </w:rPr>
      </w:pPr>
    </w:p>
    <w:p w14:paraId="19615066">
      <w:pPr>
        <w:pStyle w:val="2"/>
        <w:rPr>
          <w:b w:val="0"/>
          <w:bCs w:val="0"/>
          <w:color w:val="auto"/>
        </w:rPr>
      </w:pPr>
    </w:p>
    <w:p w14:paraId="41629F67">
      <w:pPr>
        <w:pStyle w:val="2"/>
        <w:rPr>
          <w:b w:val="0"/>
          <w:bCs w:val="0"/>
          <w:color w:val="auto"/>
        </w:rPr>
      </w:pPr>
    </w:p>
    <w:p w14:paraId="71F72A87">
      <w:pPr>
        <w:pStyle w:val="2"/>
        <w:rPr>
          <w:b w:val="0"/>
          <w:bCs w:val="0"/>
          <w:color w:val="auto"/>
        </w:rPr>
      </w:pPr>
    </w:p>
    <w:p w14:paraId="68C5F1ED">
      <w:pPr>
        <w:pStyle w:val="2"/>
        <w:rPr>
          <w:b w:val="0"/>
          <w:bCs w:val="0"/>
          <w:color w:val="auto"/>
        </w:rPr>
      </w:pPr>
    </w:p>
    <w:p w14:paraId="040D6325">
      <w:pPr>
        <w:pStyle w:val="2"/>
        <w:rPr>
          <w:b w:val="0"/>
          <w:bCs w:val="0"/>
          <w:color w:val="auto"/>
        </w:rPr>
      </w:pPr>
    </w:p>
    <w:p w14:paraId="05537A0D">
      <w:pPr>
        <w:pStyle w:val="2"/>
        <w:rPr>
          <w:b w:val="0"/>
          <w:bCs w:val="0"/>
          <w:color w:val="auto"/>
        </w:rPr>
      </w:pPr>
    </w:p>
    <w:p w14:paraId="75B73874">
      <w:pPr>
        <w:pStyle w:val="2"/>
        <w:rPr>
          <w:b w:val="0"/>
          <w:bCs w:val="0"/>
          <w:color w:val="auto"/>
        </w:rPr>
      </w:pPr>
    </w:p>
    <w:p w14:paraId="6797B16E">
      <w:pPr>
        <w:pStyle w:val="2"/>
        <w:rPr>
          <w:b w:val="0"/>
          <w:bCs w:val="0"/>
          <w:color w:val="auto"/>
        </w:rPr>
      </w:pPr>
    </w:p>
    <w:p w14:paraId="0E63E681">
      <w:pPr>
        <w:pStyle w:val="2"/>
        <w:rPr>
          <w:b w:val="0"/>
          <w:bCs w:val="0"/>
          <w:color w:val="auto"/>
        </w:rPr>
      </w:pPr>
    </w:p>
    <w:p w14:paraId="5D68C773">
      <w:pPr>
        <w:pStyle w:val="2"/>
        <w:rPr>
          <w:b w:val="0"/>
          <w:bCs w:val="0"/>
          <w:color w:val="auto"/>
        </w:rPr>
      </w:pPr>
    </w:p>
    <w:p w14:paraId="7E6912B5">
      <w:pPr>
        <w:pStyle w:val="2"/>
        <w:rPr>
          <w:b w:val="0"/>
          <w:bCs w:val="0"/>
          <w:color w:val="auto"/>
        </w:rPr>
      </w:pPr>
    </w:p>
    <w:p w14:paraId="6C72F2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p>
    <w:p w14:paraId="6712EFFA">
      <w:pPr>
        <w:pStyle w:val="2"/>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ind w:firstLine="280" w:firstLineChars="100"/>
        <w:textAlignment w:val="auto"/>
        <w:rPr>
          <w:b w:val="0"/>
          <w:bCs w:val="0"/>
          <w:color w:val="auto"/>
        </w:rPr>
      </w:pP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476250</wp:posOffset>
                </wp:positionV>
                <wp:extent cx="1714500" cy="492125"/>
                <wp:effectExtent l="0" t="0" r="0" b="3175"/>
                <wp:wrapNone/>
                <wp:docPr id="2" name="矩形 2"/>
                <wp:cNvGraphicFramePr/>
                <a:graphic xmlns:a="http://schemas.openxmlformats.org/drawingml/2006/main">
                  <a:graphicData uri="http://schemas.microsoft.com/office/word/2010/wordprocessingShape">
                    <wps:wsp>
                      <wps:cNvSpPr/>
                      <wps:spPr>
                        <a:xfrm>
                          <a:off x="740410" y="9728835"/>
                          <a:ext cx="1714500" cy="492125"/>
                        </a:xfrm>
                        <a:prstGeom prst="rect">
                          <a:avLst/>
                        </a:prstGeom>
                        <a:solidFill>
                          <a:srgbClr val="FFFFFF"/>
                        </a:solidFill>
                        <a:ln w="9525">
                          <a:noFill/>
                        </a:ln>
                      </wps:spPr>
                      <wps:bodyPr vert="horz" anchor="t" anchorCtr="0" upright="1"/>
                    </wps:wsp>
                  </a:graphicData>
                </a:graphic>
              </wp:anchor>
            </w:drawing>
          </mc:Choice>
          <mc:Fallback>
            <w:pict>
              <v:rect id="_x0000_s1026" o:spid="_x0000_s1026" o:spt="1" style="position:absolute;left:0pt;margin-left:-12.6pt;margin-top:37.5pt;height:38.75pt;width:135pt;z-index:251659264;mso-width-relative:page;mso-height-relative:page;" fillcolor="#FFFFFF" filled="t" stroked="f" coordsize="21600,21600" o:gfxdata="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GglzbXAAAACgEAAA8AAAAAAAAA&#10;AQAgAAAAIgAAAGRycy9kb3ducmV2LnhtbFBLAQIUABQAAAAIAIdO4kB0bMjg2QEAAJgDAAAOAAAA&#10;AAAAAAEAIAAAACYBAABkcnMvZTJvRG9jLnhtbFBLBQYAAAAABgAGAFkBAABxBQAAAAA=&#10;">
                <v:fill on="t" focussize="0,0"/>
                <v:stroke on="f"/>
                <v:imagedata o:title=""/>
                <o:lock v:ext="edit" aspectratio="f"/>
              </v:rect>
            </w:pict>
          </mc:Fallback>
        </mc:AlternateContent>
      </w:r>
      <w:r>
        <w:rPr>
          <w:rFonts w:hint="eastAsia" w:ascii="仿宋_GB2312" w:hAnsi="仿宋_GB2312" w:eastAsia="仿宋_GB2312" w:cs="仿宋_GB2312"/>
          <w:color w:val="auto"/>
          <w:sz w:val="28"/>
          <w:szCs w:val="28"/>
        </w:rPr>
        <w:t xml:space="preserve">平阴县人民政府办公室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pacing w:val="17"/>
          <w:sz w:val="28"/>
          <w:szCs w:val="28"/>
        </w:rPr>
        <w:t>20</w:t>
      </w:r>
      <w:r>
        <w:rPr>
          <w:rFonts w:hint="eastAsia" w:ascii="仿宋_GB2312" w:hAnsi="仿宋_GB2312" w:eastAsia="仿宋_GB2312" w:cs="仿宋_GB2312"/>
          <w:color w:val="auto"/>
          <w:spacing w:val="17"/>
          <w:sz w:val="28"/>
          <w:szCs w:val="28"/>
          <w:lang w:val="en-US" w:eastAsia="zh-CN"/>
        </w:rPr>
        <w:t>21</w:t>
      </w:r>
      <w:r>
        <w:rPr>
          <w:rFonts w:hint="eastAsia" w:ascii="仿宋_GB2312" w:hAnsi="仿宋_GB2312" w:eastAsia="仿宋_GB2312" w:cs="仿宋_GB2312"/>
          <w:color w:val="auto"/>
          <w:spacing w:val="17"/>
          <w:sz w:val="28"/>
          <w:szCs w:val="28"/>
        </w:rPr>
        <w:t>年</w:t>
      </w:r>
      <w:r>
        <w:rPr>
          <w:rFonts w:hint="eastAsia" w:ascii="仿宋_GB2312" w:hAnsi="仿宋_GB2312" w:cs="仿宋_GB2312"/>
          <w:color w:val="auto"/>
          <w:spacing w:val="17"/>
          <w:sz w:val="28"/>
          <w:szCs w:val="28"/>
          <w:lang w:val="en-US" w:eastAsia="zh-CN"/>
        </w:rPr>
        <w:t>12</w:t>
      </w:r>
      <w:r>
        <w:rPr>
          <w:rFonts w:hint="eastAsia" w:ascii="仿宋_GB2312" w:hAnsi="仿宋_GB2312" w:eastAsia="仿宋_GB2312" w:cs="仿宋_GB2312"/>
          <w:color w:val="auto"/>
          <w:spacing w:val="17"/>
          <w:sz w:val="28"/>
          <w:szCs w:val="28"/>
        </w:rPr>
        <w:t>月</w:t>
      </w:r>
      <w:r>
        <w:rPr>
          <w:rFonts w:hint="eastAsia" w:ascii="仿宋_GB2312" w:hAnsi="仿宋_GB2312" w:cs="仿宋_GB2312"/>
          <w:color w:val="auto"/>
          <w:spacing w:val="17"/>
          <w:sz w:val="28"/>
          <w:szCs w:val="28"/>
          <w:lang w:val="en-US" w:eastAsia="zh-CN"/>
        </w:rPr>
        <w:t>20</w:t>
      </w:r>
      <w:r>
        <w:rPr>
          <w:rFonts w:hint="eastAsia" w:ascii="仿宋_GB2312" w:hAnsi="仿宋_GB2312" w:eastAsia="仿宋_GB2312" w:cs="仿宋_GB2312"/>
          <w:color w:val="auto"/>
          <w:sz w:val="28"/>
          <w:szCs w:val="28"/>
        </w:rPr>
        <w:t>日印发</w:t>
      </w:r>
      <w:r>
        <w:rPr>
          <w:rFonts w:hint="eastAsia" w:ascii="仿宋_GB2312" w:eastAsia="仿宋_GB2312" w:cs="宋体"/>
          <w:color w:val="auto"/>
          <w:kern w:val="0"/>
          <w:sz w:val="32"/>
          <w:szCs w:val="32"/>
          <w:lang w:val="zh-CN"/>
        </w:rPr>
        <w:t xml:space="preserve">    </w:t>
      </w:r>
    </w:p>
    <w:sectPr>
      <w:footerReference r:id="rId3" w:type="default"/>
      <w:pgSz w:w="11906" w:h="16838"/>
      <w:pgMar w:top="1417" w:right="1361" w:bottom="141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星标宋">
    <w:panose1 w:val="0201060900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mp;quot">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7236D">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0F7C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gXhDI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0B40F7C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BFB1A2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867"/>
    <w:rsid w:val="000230EB"/>
    <w:rsid w:val="00046A6A"/>
    <w:rsid w:val="00090FC3"/>
    <w:rsid w:val="000E0B39"/>
    <w:rsid w:val="000F58C7"/>
    <w:rsid w:val="00110C07"/>
    <w:rsid w:val="0012152B"/>
    <w:rsid w:val="00165546"/>
    <w:rsid w:val="001810FE"/>
    <w:rsid w:val="00194087"/>
    <w:rsid w:val="001C5A8D"/>
    <w:rsid w:val="001C7F9D"/>
    <w:rsid w:val="001E7039"/>
    <w:rsid w:val="0024035B"/>
    <w:rsid w:val="00296867"/>
    <w:rsid w:val="002A780F"/>
    <w:rsid w:val="00312C5E"/>
    <w:rsid w:val="0035070B"/>
    <w:rsid w:val="003869E7"/>
    <w:rsid w:val="003C56D4"/>
    <w:rsid w:val="003D7AA5"/>
    <w:rsid w:val="003E753B"/>
    <w:rsid w:val="00427E44"/>
    <w:rsid w:val="00445AFF"/>
    <w:rsid w:val="00505216"/>
    <w:rsid w:val="00535090"/>
    <w:rsid w:val="0058066A"/>
    <w:rsid w:val="005C4E59"/>
    <w:rsid w:val="00615F68"/>
    <w:rsid w:val="006F3536"/>
    <w:rsid w:val="006F69F2"/>
    <w:rsid w:val="00737573"/>
    <w:rsid w:val="007B1DB0"/>
    <w:rsid w:val="007B72CC"/>
    <w:rsid w:val="007B7732"/>
    <w:rsid w:val="007E51AE"/>
    <w:rsid w:val="007E7CD2"/>
    <w:rsid w:val="00802891"/>
    <w:rsid w:val="00825E6C"/>
    <w:rsid w:val="008607AC"/>
    <w:rsid w:val="00910CE2"/>
    <w:rsid w:val="00911DB5"/>
    <w:rsid w:val="009641E0"/>
    <w:rsid w:val="0098288B"/>
    <w:rsid w:val="009938A0"/>
    <w:rsid w:val="009C1331"/>
    <w:rsid w:val="009D297E"/>
    <w:rsid w:val="00A11EF7"/>
    <w:rsid w:val="00A36140"/>
    <w:rsid w:val="00A402F8"/>
    <w:rsid w:val="00A76C5B"/>
    <w:rsid w:val="00AE0E28"/>
    <w:rsid w:val="00AE7524"/>
    <w:rsid w:val="00AF4F1F"/>
    <w:rsid w:val="00B24D52"/>
    <w:rsid w:val="00B43855"/>
    <w:rsid w:val="00BA4664"/>
    <w:rsid w:val="00BD757E"/>
    <w:rsid w:val="00BD774E"/>
    <w:rsid w:val="00BF4E2C"/>
    <w:rsid w:val="00C43EBF"/>
    <w:rsid w:val="00C909F6"/>
    <w:rsid w:val="00CD0370"/>
    <w:rsid w:val="00CF0723"/>
    <w:rsid w:val="00D1020E"/>
    <w:rsid w:val="00D1135F"/>
    <w:rsid w:val="00D12EB6"/>
    <w:rsid w:val="00D20482"/>
    <w:rsid w:val="00DD5D8F"/>
    <w:rsid w:val="00DE062D"/>
    <w:rsid w:val="00E922F3"/>
    <w:rsid w:val="00E9384F"/>
    <w:rsid w:val="00EB018A"/>
    <w:rsid w:val="00EB7694"/>
    <w:rsid w:val="00F25BEF"/>
    <w:rsid w:val="00FD47EE"/>
    <w:rsid w:val="00FE1B1D"/>
    <w:rsid w:val="04620439"/>
    <w:rsid w:val="054F03A0"/>
    <w:rsid w:val="06123126"/>
    <w:rsid w:val="087C3485"/>
    <w:rsid w:val="09047756"/>
    <w:rsid w:val="10EF12A7"/>
    <w:rsid w:val="236553F8"/>
    <w:rsid w:val="239A32F4"/>
    <w:rsid w:val="2D515D13"/>
    <w:rsid w:val="33843679"/>
    <w:rsid w:val="349704C5"/>
    <w:rsid w:val="3B194FEF"/>
    <w:rsid w:val="405857FB"/>
    <w:rsid w:val="44501A81"/>
    <w:rsid w:val="49DC3DB7"/>
    <w:rsid w:val="4AF07B1A"/>
    <w:rsid w:val="4BCB40E3"/>
    <w:rsid w:val="4E0A1EFF"/>
    <w:rsid w:val="52621B4A"/>
    <w:rsid w:val="58AE691E"/>
    <w:rsid w:val="63EB4ECB"/>
    <w:rsid w:val="68D04697"/>
    <w:rsid w:val="6D303996"/>
    <w:rsid w:val="73724CC1"/>
    <w:rsid w:val="756B19C7"/>
    <w:rsid w:val="76B178AE"/>
    <w:rsid w:val="78E5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rPr>
      <w:rFonts w:ascii="Times New Roman" w:hAnsi="Times New Roman"/>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Strong"/>
    <w:basedOn w:val="7"/>
    <w:qFormat/>
    <w:uiPriority w:val="0"/>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763AF6-8A58-4050-A70F-7BEF9BD3708C}">
  <ds:schemaRefs/>
</ds:datastoreItem>
</file>

<file path=docProps/app.xml><?xml version="1.0" encoding="utf-8"?>
<Properties xmlns="http://schemas.openxmlformats.org/officeDocument/2006/extended-properties" xmlns:vt="http://schemas.openxmlformats.org/officeDocument/2006/docPropsVTypes">
  <Template>Normal</Template>
  <Pages>18</Pages>
  <Words>165</Words>
  <Characters>194</Characters>
  <Lines>64</Lines>
  <Paragraphs>18</Paragraphs>
  <TotalTime>21</TotalTime>
  <ScaleCrop>false</ScaleCrop>
  <LinksUpToDate>false</LinksUpToDate>
  <CharactersWithSpaces>194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2022-02-17T02:23:00Z</dcterms:created>
  <dc:creator>Lenovo</dc:creator>
  <cp:lastModifiedBy>柠檬</cp:lastModifiedBy>
  <cp:lastPrinted>2022-02-23T07:55:00Z</cp:lastPrinted>
  <dcterms:modified xsi:type="dcterms:W3CDTF">2026-03-19T07:39:03Z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C10F640C5B074ED0AC6C1ABB1237AB79</vt:lpwstr>
  </property>
  <property fmtid="{D5CDD505-2E9C-101B-9397-08002B2CF9AE}" pid="4" name="KSOTemplateDocerSaveRecord">
    <vt:lpwstr>eyJoZGlkIjoiZjQxY2VhZDcyODM1MGQyOTE3ZDhlYjMyZjRmNjRlYWIiLCJ1c2VySWQiOiIxMTQ2MTI4NzYxIn0=</vt:lpwstr>
  </property>
</Properties>
</file>