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C3DF">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平阴县人民政府办公室</w:t>
      </w:r>
    </w:p>
    <w:p w14:paraId="5769C206">
      <w:pPr>
        <w:spacing w:line="62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rPr>
        <w:t>关于印</w:t>
      </w:r>
      <w:r>
        <w:rPr>
          <w:rFonts w:hint="eastAsia" w:ascii="方正小标宋简体" w:eastAsia="方正小标宋简体"/>
          <w:sz w:val="44"/>
          <w:szCs w:val="44"/>
        </w:rPr>
        <w:t>发《平阴县</w:t>
      </w:r>
      <w:r>
        <w:rPr>
          <w:rFonts w:ascii="方正小标宋简体" w:eastAsia="方正小标宋简体"/>
          <w:sz w:val="44"/>
          <w:szCs w:val="44"/>
        </w:rPr>
        <w:t>2020</w:t>
      </w:r>
      <w:r>
        <w:rPr>
          <w:rFonts w:hint="eastAsia" w:ascii="方正小标宋简体" w:eastAsia="方正小标宋简体"/>
          <w:sz w:val="44"/>
          <w:szCs w:val="44"/>
        </w:rPr>
        <w:t>年政务公开工作要点》的通知</w:t>
      </w:r>
    </w:p>
    <w:p w14:paraId="6AF963D8">
      <w:pPr>
        <w:spacing w:line="620" w:lineRule="exact"/>
        <w:jc w:val="center"/>
        <w:rPr>
          <w:rFonts w:hint="eastAsia" w:ascii="楷体_GB2312" w:hAnsi="楷体_GB2312" w:eastAsia="楷体_GB2312" w:cs="楷体_GB2312"/>
          <w:sz w:val="32"/>
          <w:szCs w:val="32"/>
        </w:rPr>
      </w:pPr>
    </w:p>
    <w:p w14:paraId="3489C4EB">
      <w:pPr>
        <w:pStyle w:val="5"/>
        <w:widowControl w:val="0"/>
        <w:spacing w:before="0" w:beforeAutospacing="0" w:after="0" w:afterAutospacing="0" w:line="620" w:lineRule="exact"/>
        <w:rPr>
          <w:rFonts w:ascii="仿宋_GB2312" w:hAnsi="仿宋" w:eastAsia="仿宋_GB2312"/>
          <w:spacing w:val="-6"/>
          <w:sz w:val="32"/>
          <w:szCs w:val="32"/>
        </w:rPr>
      </w:pPr>
    </w:p>
    <w:p w14:paraId="7EAB2786">
      <w:pPr>
        <w:pStyle w:val="5"/>
        <w:widowControl w:val="0"/>
        <w:spacing w:before="0" w:beforeAutospacing="0" w:after="0" w:afterAutospacing="0" w:line="620" w:lineRule="exact"/>
        <w:rPr>
          <w:rFonts w:ascii="仿宋_GB2312" w:hAnsi="仿宋_GB2312" w:eastAsia="仿宋_GB2312" w:cs="仿宋_GB2312"/>
          <w:spacing w:val="-4"/>
          <w:sz w:val="32"/>
          <w:szCs w:val="32"/>
        </w:rPr>
      </w:pPr>
      <w:r>
        <w:rPr>
          <w:rFonts w:hint="eastAsia" w:ascii="仿宋_GB2312" w:hAnsi="仿宋_GB2312" w:eastAsia="仿宋_GB2312" w:cs="仿宋_GB2312"/>
          <w:spacing w:val="-6"/>
          <w:sz w:val="32"/>
          <w:szCs w:val="32"/>
        </w:rPr>
        <w:t>各镇人民政府，各街道办事处，平阴经济开发区，县政府各部门：</w:t>
      </w:r>
    </w:p>
    <w:p w14:paraId="55B3F451">
      <w:pPr>
        <w:spacing w:line="620" w:lineRule="exact"/>
        <w:ind w:firstLine="720"/>
        <w:rPr>
          <w:rFonts w:ascii="仿宋_GB2312" w:hAnsi="仿宋_GB2312" w:eastAsia="仿宋_GB2312" w:cs="仿宋_GB2312"/>
          <w:kern w:val="0"/>
          <w:sz w:val="24"/>
        </w:rPr>
      </w:pPr>
      <w:r>
        <w:rPr>
          <w:rFonts w:hint="eastAsia" w:ascii="仿宋_GB2312" w:hAnsi="仿宋_GB2312" w:eastAsia="仿宋_GB2312" w:cs="仿宋_GB2312"/>
          <w:sz w:val="32"/>
          <w:szCs w:val="32"/>
        </w:rPr>
        <w:t>《平阴县</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年政务公开工作要点》已经县政府研究同意，现印发给你们，请结合实际认真贯彻落实。</w:t>
      </w:r>
    </w:p>
    <w:p w14:paraId="0BAA5645">
      <w:pPr>
        <w:spacing w:line="620" w:lineRule="exact"/>
        <w:ind w:firstLine="640" w:firstLineChars="200"/>
        <w:rPr>
          <w:rFonts w:ascii="仿宋_GB2312" w:hAnsi="仿宋_GB2312" w:eastAsia="仿宋_GB2312" w:cs="仿宋_GB2312"/>
          <w:sz w:val="32"/>
          <w:szCs w:val="32"/>
        </w:rPr>
      </w:pPr>
    </w:p>
    <w:p w14:paraId="17BC97B4">
      <w:pPr>
        <w:adjustRightInd w:val="0"/>
        <w:snapToGrid w:val="0"/>
        <w:spacing w:line="620" w:lineRule="exact"/>
        <w:ind w:firstLine="646"/>
        <w:rPr>
          <w:rFonts w:ascii="仿宋_GB2312" w:hAnsi="仿宋_GB2312" w:eastAsia="仿宋_GB2312" w:cs="仿宋_GB2312"/>
          <w:sz w:val="32"/>
          <w:szCs w:val="32"/>
        </w:rPr>
      </w:pPr>
    </w:p>
    <w:p w14:paraId="580BB9AC">
      <w:pPr>
        <w:spacing w:line="620" w:lineRule="exact"/>
        <w:ind w:firstLine="72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平阴县人民政府办公室</w:t>
      </w:r>
    </w:p>
    <w:p w14:paraId="090CAED1">
      <w:pPr>
        <w:spacing w:line="620" w:lineRule="exact"/>
        <w:ind w:firstLine="720"/>
        <w:rPr>
          <w:rFonts w:ascii="仿宋_GB2312" w:hAnsi="仿宋_GB2312" w:eastAsia="仿宋_GB2312" w:cs="仿宋_GB2312"/>
          <w:sz w:val="32"/>
          <w:szCs w:val="32"/>
        </w:rPr>
      </w:pP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082BF39">
      <w:pPr>
        <w:spacing w:line="620" w:lineRule="exact"/>
        <w:ind w:firstLine="720"/>
        <w:rPr>
          <w:rFonts w:ascii="仿宋_GB2312" w:hAnsi="仿宋_GB2312" w:eastAsia="仿宋_GB2312" w:cs="仿宋_GB2312"/>
          <w:sz w:val="32"/>
          <w:szCs w:val="32"/>
        </w:rPr>
      </w:pPr>
    </w:p>
    <w:p w14:paraId="33F35EBC">
      <w:pPr>
        <w:spacing w:line="620" w:lineRule="exact"/>
        <w:ind w:firstLine="720"/>
        <w:rPr>
          <w:rFonts w:ascii="仿宋_GB2312" w:hAnsi="仿宋_GB2312" w:eastAsia="仿宋_GB2312" w:cs="仿宋_GB2312"/>
          <w:sz w:val="32"/>
          <w:szCs w:val="32"/>
        </w:rPr>
      </w:pPr>
    </w:p>
    <w:p w14:paraId="412381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650F10AD">
      <w:pPr>
        <w:spacing w:line="620" w:lineRule="exact"/>
        <w:ind w:firstLine="640" w:firstLineChars="200"/>
        <w:rPr>
          <w:rFonts w:ascii="仿宋_GB2312" w:hAnsi="仿宋_GB2312" w:eastAsia="仿宋_GB2312" w:cs="仿宋_GB2312"/>
          <w:sz w:val="32"/>
          <w:szCs w:val="32"/>
        </w:rPr>
      </w:pPr>
    </w:p>
    <w:p w14:paraId="4D7BEA9C">
      <w:pPr>
        <w:spacing w:line="620" w:lineRule="exact"/>
        <w:ind w:firstLine="640" w:firstLineChars="200"/>
        <w:rPr>
          <w:rFonts w:ascii="仿宋_GB2312" w:hAnsi="仿宋_GB2312" w:eastAsia="仿宋_GB2312" w:cs="仿宋_GB2312"/>
          <w:sz w:val="32"/>
          <w:szCs w:val="32"/>
        </w:rPr>
      </w:pPr>
    </w:p>
    <w:p w14:paraId="6242AEAF">
      <w:pPr>
        <w:spacing w:line="620" w:lineRule="exact"/>
        <w:ind w:firstLine="640" w:firstLineChars="200"/>
        <w:rPr>
          <w:rFonts w:ascii="仿宋_GB2312" w:hAnsi="仿宋_GB2312" w:eastAsia="仿宋_GB2312" w:cs="仿宋_GB2312"/>
          <w:sz w:val="32"/>
          <w:szCs w:val="32"/>
        </w:rPr>
      </w:pPr>
    </w:p>
    <w:p w14:paraId="2FEB7BA1">
      <w:pPr>
        <w:spacing w:line="620" w:lineRule="exact"/>
        <w:ind w:firstLine="640" w:firstLineChars="200"/>
        <w:rPr>
          <w:rFonts w:ascii="仿宋_GB2312" w:hAnsi="仿宋_GB2312" w:eastAsia="仿宋_GB2312" w:cs="仿宋_GB2312"/>
          <w:sz w:val="32"/>
          <w:szCs w:val="32"/>
        </w:rPr>
      </w:pPr>
    </w:p>
    <w:p w14:paraId="7C2C8CF7">
      <w:pPr>
        <w:spacing w:line="620" w:lineRule="exact"/>
        <w:ind w:firstLine="640" w:firstLineChars="200"/>
        <w:rPr>
          <w:rFonts w:ascii="仿宋_GB2312" w:hAnsi="仿宋_GB2312" w:eastAsia="仿宋_GB2312" w:cs="仿宋_GB2312"/>
          <w:sz w:val="32"/>
          <w:szCs w:val="32"/>
        </w:rPr>
      </w:pPr>
    </w:p>
    <w:p w14:paraId="44AB2BB0">
      <w:pPr>
        <w:spacing w:line="620" w:lineRule="exact"/>
        <w:ind w:firstLine="640" w:firstLineChars="200"/>
        <w:rPr>
          <w:rFonts w:ascii="仿宋_GB2312" w:hAnsi="仿宋_GB2312" w:eastAsia="仿宋_GB2312" w:cs="仿宋_GB2312"/>
          <w:sz w:val="32"/>
          <w:szCs w:val="32"/>
        </w:rPr>
      </w:pPr>
    </w:p>
    <w:p w14:paraId="05154448">
      <w:pPr>
        <w:spacing w:line="620" w:lineRule="exact"/>
        <w:ind w:firstLine="640" w:firstLineChars="200"/>
        <w:rPr>
          <w:rFonts w:ascii="仿宋_GB2312" w:hAnsi="仿宋_GB2312" w:eastAsia="仿宋_GB2312" w:cs="仿宋_GB2312"/>
          <w:sz w:val="32"/>
          <w:szCs w:val="32"/>
        </w:rPr>
      </w:pPr>
    </w:p>
    <w:p w14:paraId="07B231C5">
      <w:pPr>
        <w:spacing w:line="62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平阴县</w:t>
      </w:r>
      <w:r>
        <w:rPr>
          <w:rFonts w:ascii="方正小标宋简体" w:eastAsia="方正小标宋简体"/>
          <w:spacing w:val="-6"/>
          <w:sz w:val="44"/>
          <w:szCs w:val="44"/>
        </w:rPr>
        <w:t>2020</w:t>
      </w:r>
      <w:r>
        <w:rPr>
          <w:rFonts w:hint="eastAsia" w:ascii="方正小标宋简体" w:eastAsia="方正小标宋简体"/>
          <w:spacing w:val="-6"/>
          <w:sz w:val="44"/>
          <w:szCs w:val="44"/>
        </w:rPr>
        <w:t>年政务公开工作要点</w:t>
      </w:r>
    </w:p>
    <w:p w14:paraId="12A3C20E">
      <w:pPr>
        <w:spacing w:line="620" w:lineRule="exact"/>
        <w:ind w:firstLine="420" w:firstLineChars="200"/>
        <w:rPr>
          <w:rFonts w:ascii="微软雅黑" w:hAnsi="微软雅黑" w:eastAsia="微软雅黑"/>
          <w:color w:val="333333"/>
        </w:rPr>
      </w:pPr>
      <w:r>
        <w:rPr>
          <w:rFonts w:hint="eastAsia" w:ascii="微软雅黑" w:hAnsi="微软雅黑" w:eastAsia="微软雅黑"/>
          <w:color w:val="333333"/>
        </w:rPr>
        <w:t>　</w:t>
      </w:r>
    </w:p>
    <w:p w14:paraId="16D21FF0">
      <w:pPr>
        <w:spacing w:line="620" w:lineRule="exact"/>
        <w:ind w:firstLine="640" w:firstLineChars="200"/>
        <w:rPr>
          <w:rFonts w:ascii="仿宋_GB2312" w:hAnsi="微软雅黑" w:eastAsia="仿宋_GB2312"/>
          <w:color w:val="333333"/>
          <w:sz w:val="32"/>
          <w:szCs w:val="32"/>
        </w:rPr>
      </w:pPr>
      <w:r>
        <w:rPr>
          <w:rFonts w:hint="eastAsia" w:ascii="仿宋_GB2312" w:hAnsi="微软雅黑" w:eastAsia="仿宋_GB2312"/>
          <w:color w:val="333333"/>
          <w:sz w:val="32"/>
          <w:szCs w:val="32"/>
        </w:rPr>
        <w:t>做好</w:t>
      </w:r>
      <w:r>
        <w:rPr>
          <w:rFonts w:ascii="仿宋_GB2312" w:hAnsi="微软雅黑" w:eastAsia="仿宋_GB2312"/>
          <w:color w:val="333333"/>
          <w:sz w:val="32"/>
          <w:szCs w:val="32"/>
        </w:rPr>
        <w:t>2020</w:t>
      </w:r>
      <w:r>
        <w:rPr>
          <w:rFonts w:hint="eastAsia" w:ascii="仿宋_GB2312" w:hAnsi="微软雅黑" w:eastAsia="仿宋_GB2312"/>
          <w:color w:val="333333"/>
          <w:sz w:val="32"/>
          <w:szCs w:val="32"/>
        </w:rPr>
        <w:t>年政务公开工作，要以习近平新时代中国特色社会主义思想为指导，深入贯彻</w:t>
      </w:r>
      <w:r>
        <w:rPr>
          <w:rFonts w:hint="eastAsia" w:ascii="仿宋_GB2312" w:hAnsi="微软雅黑" w:eastAsia="仿宋_GB2312"/>
          <w:color w:val="333333"/>
          <w:sz w:val="32"/>
          <w:szCs w:val="32"/>
          <w:lang w:val="en-US" w:eastAsia="zh-CN"/>
        </w:rPr>
        <w:t>党的十九大和十九届二中、三中、四中全会精神，认真落实</w:t>
      </w:r>
      <w:r>
        <w:rPr>
          <w:rFonts w:hint="eastAsia" w:ascii="仿宋_GB2312" w:hAnsi="微软雅黑" w:eastAsia="仿宋_GB2312"/>
          <w:color w:val="333333"/>
          <w:sz w:val="32"/>
          <w:szCs w:val="32"/>
        </w:rPr>
        <w:t>党中央</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rPr>
        <w:t>国务院、省委</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rPr>
        <w:t>省政府</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lang w:val="en-US" w:eastAsia="zh-CN"/>
        </w:rPr>
        <w:t>市委、市政府</w:t>
      </w:r>
      <w:r>
        <w:rPr>
          <w:rFonts w:hint="eastAsia" w:ascii="仿宋_GB2312" w:hAnsi="微软雅黑" w:eastAsia="仿宋_GB2312"/>
          <w:color w:val="333333"/>
          <w:sz w:val="32"/>
          <w:szCs w:val="32"/>
        </w:rPr>
        <w:t>和县委</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rPr>
        <w:t>县政府关于加强政务公开</w:t>
      </w:r>
      <w:bookmarkStart w:id="0" w:name="_GoBack"/>
      <w:bookmarkEnd w:id="0"/>
      <w:r>
        <w:rPr>
          <w:rFonts w:hint="eastAsia" w:ascii="仿宋_GB2312" w:hAnsi="微软雅黑" w:eastAsia="仿宋_GB2312"/>
          <w:color w:val="333333"/>
          <w:sz w:val="32"/>
          <w:szCs w:val="32"/>
        </w:rPr>
        <w:t>工作的决策部署，紧紧围绕县委、县政府中心工作，健全完善政务公开制度，扎实推进政务公开标准化、规范化</w:t>
      </w:r>
      <w:r>
        <w:rPr>
          <w:rFonts w:hint="eastAsia" w:ascii="仿宋_GB2312" w:hAnsi="微软雅黑" w:eastAsia="仿宋_GB2312"/>
          <w:color w:val="333333"/>
          <w:sz w:val="32"/>
          <w:szCs w:val="32"/>
          <w:lang w:val="en-US" w:eastAsia="zh-CN"/>
        </w:rPr>
        <w:t>建设</w:t>
      </w:r>
      <w:r>
        <w:rPr>
          <w:rFonts w:hint="eastAsia" w:ascii="仿宋_GB2312" w:hAnsi="微软雅黑" w:eastAsia="仿宋_GB2312"/>
          <w:color w:val="333333"/>
          <w:sz w:val="32"/>
          <w:szCs w:val="32"/>
        </w:rPr>
        <w:t>，全面提升政务公开质量和实效，助力深化“放管服”改革优化营商环境，助力提升县域治理能力和治理水平，助力建设人民满意的服务型政府。</w:t>
      </w:r>
    </w:p>
    <w:p w14:paraId="06A182FF">
      <w:pPr>
        <w:spacing w:line="620" w:lineRule="exact"/>
        <w:ind w:firstLine="640" w:firstLineChars="200"/>
        <w:rPr>
          <w:rFonts w:ascii="黑体" w:hAnsi="黑体" w:eastAsia="黑体"/>
          <w:sz w:val="32"/>
          <w:szCs w:val="32"/>
        </w:rPr>
      </w:pPr>
      <w:r>
        <w:rPr>
          <w:rFonts w:hint="eastAsia" w:ascii="黑体" w:hAnsi="黑体" w:eastAsia="黑体"/>
          <w:sz w:val="32"/>
          <w:szCs w:val="32"/>
        </w:rPr>
        <w:t>一、围绕中心工作和重点领域，推进高质量政务公开</w:t>
      </w:r>
    </w:p>
    <w:p w14:paraId="1C2F40C4">
      <w:pPr>
        <w:spacing w:line="620" w:lineRule="exact"/>
        <w:ind w:firstLine="640" w:firstLineChars="200"/>
        <w:rPr>
          <w:rFonts w:hint="eastAsia" w:ascii="仿宋_GB2312" w:hAnsi="微软雅黑" w:eastAsia="仿宋_GB2312"/>
          <w:color w:val="auto"/>
          <w:sz w:val="32"/>
          <w:szCs w:val="32"/>
          <w:lang w:val="en-US" w:eastAsia="zh-CN"/>
        </w:rPr>
      </w:pPr>
      <w:r>
        <w:rPr>
          <w:rFonts w:hint="eastAsia" w:ascii="楷体_GB2312" w:hAnsi="宋体" w:eastAsia="楷体_GB2312"/>
          <w:color w:val="auto"/>
          <w:sz w:val="32"/>
          <w:szCs w:val="32"/>
        </w:rPr>
        <w:t>（一）围绕贯彻落实党的十九届四中全会精神加强用权公开</w:t>
      </w:r>
      <w:r>
        <w:rPr>
          <w:rFonts w:hint="eastAsia" w:ascii="楷体_GB2312" w:hAnsi="宋体" w:eastAsia="楷体_GB2312"/>
          <w:color w:val="auto"/>
          <w:sz w:val="32"/>
          <w:szCs w:val="32"/>
          <w:lang w:eastAsia="zh-CN"/>
        </w:rPr>
        <w:t>。</w:t>
      </w:r>
      <w:r>
        <w:rPr>
          <w:rFonts w:hint="eastAsia" w:ascii="仿宋_GB2312" w:hAnsi="微软雅黑" w:eastAsia="仿宋_GB2312"/>
          <w:color w:val="auto"/>
          <w:sz w:val="32"/>
          <w:szCs w:val="32"/>
          <w:lang w:val="en-US" w:eastAsia="zh-CN"/>
        </w:rPr>
        <w:t>要对照法律法规规章，全面梳理本单位依法行使的行政权力和依法承担的公共服务职责，更新完善权责清单并按要求公开。各级各部门各单位依法公开工作职能、机构设置等信息，在此基础上组织编写县级政府行政机关机构职能目录并向社会公开，全面展现政府机构权力配置情况。要以用权公开为导向，着力推进政务公开标准化规范化建设，对照国务院部门制定的26个试点领域标准指引，结合政府权责清单和公共服务事项清单，全面梳理细化相关领域政务公开事项，2020年12月底前，编制完成政务公开事项标准目录，并通过政府网站向社会公布，确保权力运行到哪里，公开和监督就延伸到哪里。</w:t>
      </w:r>
    </w:p>
    <w:p w14:paraId="1530E488">
      <w:pPr>
        <w:spacing w:line="620" w:lineRule="exact"/>
        <w:ind w:firstLine="640" w:firstLineChars="200"/>
        <w:rPr>
          <w:rFonts w:ascii="仿宋_GB2312" w:hAnsi="宋体" w:eastAsia="仿宋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二</w:t>
      </w:r>
      <w:r>
        <w:rPr>
          <w:rFonts w:hint="eastAsia" w:ascii="楷体_GB2312" w:hAnsi="宋体" w:eastAsia="楷体_GB2312"/>
          <w:sz w:val="32"/>
          <w:szCs w:val="32"/>
        </w:rPr>
        <w:t>）围绕中心工作加强信息公开。</w:t>
      </w:r>
      <w:r>
        <w:rPr>
          <w:rFonts w:hint="eastAsia" w:ascii="仿宋_GB2312" w:hAnsi="宋体" w:eastAsia="仿宋_GB2312"/>
          <w:sz w:val="32"/>
          <w:szCs w:val="32"/>
        </w:rPr>
        <w:t>深入推进全县“</w:t>
      </w:r>
      <w:r>
        <w:rPr>
          <w:rFonts w:ascii="仿宋_GB2312" w:hAnsi="宋体" w:eastAsia="仿宋_GB2312"/>
          <w:sz w:val="32"/>
          <w:szCs w:val="32"/>
        </w:rPr>
        <w:t>1463</w:t>
      </w:r>
      <w:r>
        <w:rPr>
          <w:rFonts w:hint="eastAsia" w:ascii="仿宋_GB2312" w:hAnsi="宋体" w:eastAsia="仿宋_GB2312"/>
          <w:sz w:val="32"/>
          <w:szCs w:val="32"/>
        </w:rPr>
        <w:t>”工作体系，重点围绕新旧动能转换、乡村振兴、双招双引、城</w:t>
      </w:r>
      <w:r>
        <w:rPr>
          <w:rFonts w:hint="eastAsia" w:ascii="仿宋_GB2312" w:hAnsi="宋体" w:eastAsia="仿宋_GB2312"/>
          <w:sz w:val="32"/>
          <w:szCs w:val="32"/>
          <w:lang w:val="en-US" w:eastAsia="zh-CN"/>
        </w:rPr>
        <w:t>市建设</w:t>
      </w:r>
      <w:r>
        <w:rPr>
          <w:rFonts w:hint="eastAsia" w:ascii="仿宋_GB2312" w:hAnsi="宋体" w:eastAsia="仿宋_GB2312"/>
          <w:sz w:val="32"/>
          <w:szCs w:val="32"/>
        </w:rPr>
        <w:t>管理、</w:t>
      </w:r>
      <w:r>
        <w:rPr>
          <w:rFonts w:hint="eastAsia" w:ascii="仿宋_GB2312" w:hAnsi="宋体" w:eastAsia="仿宋_GB2312"/>
          <w:sz w:val="32"/>
          <w:szCs w:val="32"/>
          <w:lang w:val="en-US" w:eastAsia="zh-CN"/>
        </w:rPr>
        <w:t>经济开发区</w:t>
      </w:r>
      <w:r>
        <w:rPr>
          <w:rFonts w:hint="eastAsia" w:ascii="仿宋_GB2312" w:hAnsi="宋体" w:eastAsia="仿宋_GB2312"/>
          <w:sz w:val="32"/>
          <w:szCs w:val="32"/>
        </w:rPr>
        <w:t>建设、玫瑰</w:t>
      </w:r>
      <w:r>
        <w:rPr>
          <w:rFonts w:hint="eastAsia" w:ascii="仿宋_GB2312" w:hAnsi="宋体" w:eastAsia="仿宋_GB2312"/>
          <w:sz w:val="32"/>
          <w:szCs w:val="32"/>
          <w:lang w:val="en-US" w:eastAsia="zh-CN"/>
        </w:rPr>
        <w:t>阿胶</w:t>
      </w:r>
      <w:r>
        <w:rPr>
          <w:rFonts w:hint="eastAsia" w:ascii="仿宋_GB2312" w:hAnsi="宋体" w:eastAsia="仿宋_GB2312"/>
          <w:sz w:val="32"/>
          <w:szCs w:val="32"/>
        </w:rPr>
        <w:t>产业等领域加强信息公开。着力推进财政预决算、公共资源配置、重大建设项目的批准实施监督等重点领域信息公开。突出做好社会救助、社会福利、社会保险、就业创业、教育医疗、公共文化体育等社会公益事业建设领域信息公开。多渠道公开脱贫攻坚、污染防治、防范化解重大风险等落实情况信息，助力“三大攻坚战”取得决定性胜利。充分利用网站等平台主动公开2020年我县重点任务、重点工程、重点项目工作进展，确保各项工作落实到位。</w:t>
      </w:r>
    </w:p>
    <w:p w14:paraId="6EAFF960">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三</w:t>
      </w:r>
      <w:r>
        <w:rPr>
          <w:rFonts w:hint="eastAsia" w:ascii="楷体_GB2312" w:hAnsi="宋体" w:eastAsia="楷体_GB2312"/>
          <w:sz w:val="32"/>
          <w:szCs w:val="32"/>
        </w:rPr>
        <w:t>）围绕“六稳”“六保”工作加强政策发布解读回应</w:t>
      </w:r>
      <w:r>
        <w:rPr>
          <w:rFonts w:hint="eastAsia" w:ascii="仿宋_GB2312" w:hAnsi="宋体" w:eastAsia="仿宋_GB2312"/>
          <w:sz w:val="32"/>
          <w:szCs w:val="32"/>
        </w:rPr>
        <w:t>。</w:t>
      </w:r>
      <w:r>
        <w:rPr>
          <w:rFonts w:hint="eastAsia" w:ascii="仿宋_GB2312" w:hAnsi="仿宋" w:eastAsia="仿宋_GB2312" w:cs="宋体"/>
          <w:color w:val="000000"/>
          <w:kern w:val="0"/>
          <w:sz w:val="32"/>
          <w:szCs w:val="32"/>
        </w:rPr>
        <w:t>加大政策解读力度，全面阐释稳就业、稳金融、稳外贸、稳外资、稳投资、稳预期各项政策举措及其效果，实时发布保居民就业、保基本民生、保</w:t>
      </w:r>
      <w:r>
        <w:rPr>
          <w:rFonts w:hint="eastAsia" w:ascii="仿宋_GB2312" w:hAnsi="仿宋" w:eastAsia="仿宋_GB2312" w:cs="宋体"/>
          <w:color w:val="000000"/>
          <w:kern w:val="0"/>
          <w:sz w:val="32"/>
          <w:szCs w:val="32"/>
          <w:lang w:val="en-US" w:eastAsia="zh-CN"/>
        </w:rPr>
        <w:t>市</w:t>
      </w:r>
      <w:r>
        <w:rPr>
          <w:rFonts w:hint="eastAsia" w:ascii="仿宋_GB2312" w:hAnsi="仿宋" w:eastAsia="仿宋_GB2312" w:cs="宋体"/>
          <w:color w:val="000000"/>
          <w:kern w:val="0"/>
          <w:sz w:val="32"/>
          <w:szCs w:val="32"/>
        </w:rPr>
        <w:t>场主体、保粮食能源安全、保产业链供应链稳定、保基层运转等相关政策信息。拓宽发布渠道，丰富内容形式，充分阐释经济运行总体平稳，稳中有进，长期向好态势、有效提振</w:t>
      </w:r>
      <w:r>
        <w:rPr>
          <w:rFonts w:hint="eastAsia" w:ascii="仿宋_GB2312" w:hAnsi="仿宋" w:eastAsia="仿宋_GB2312" w:cs="宋体"/>
          <w:color w:val="000000"/>
          <w:kern w:val="0"/>
          <w:sz w:val="32"/>
          <w:szCs w:val="32"/>
          <w:lang w:val="en-US" w:eastAsia="zh-CN"/>
        </w:rPr>
        <w:t>市</w:t>
      </w:r>
      <w:r>
        <w:rPr>
          <w:rFonts w:hint="eastAsia" w:ascii="仿宋_GB2312" w:hAnsi="仿宋" w:eastAsia="仿宋_GB2312" w:cs="宋体"/>
          <w:color w:val="000000"/>
          <w:kern w:val="0"/>
          <w:sz w:val="32"/>
          <w:szCs w:val="32"/>
        </w:rPr>
        <w:t>场信心。落实政务舆情回应责任，加强舆论引导，对经济社会发展热点、群众办事堵点痛点，敢于直面问题，主动回应社会关切。</w:t>
      </w:r>
    </w:p>
    <w:p w14:paraId="4AA8A1AD">
      <w:pPr>
        <w:spacing w:line="620" w:lineRule="exact"/>
        <w:ind w:firstLine="640" w:firstLineChars="200"/>
        <w:rPr>
          <w:rFonts w:hint="default" w:ascii="仿宋_GB2312" w:hAnsi="仿宋" w:eastAsia="仿宋_GB2312" w:cs="宋体"/>
          <w:color w:val="000000"/>
          <w:kern w:val="0"/>
          <w:sz w:val="32"/>
          <w:szCs w:val="32"/>
          <w:lang w:val="en-US" w:eastAsia="zh-CN"/>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四</w:t>
      </w:r>
      <w:r>
        <w:rPr>
          <w:rFonts w:hint="eastAsia" w:ascii="楷体_GB2312" w:hAnsi="宋体" w:eastAsia="楷体_GB2312"/>
          <w:sz w:val="32"/>
          <w:szCs w:val="32"/>
        </w:rPr>
        <w:t>）围绕疫情防控加强信息公开。</w:t>
      </w:r>
      <w:r>
        <w:rPr>
          <w:rFonts w:hint="eastAsia" w:ascii="仿宋_GB2312" w:hAnsi="仿宋" w:eastAsia="仿宋_GB2312" w:cs="宋体"/>
          <w:color w:val="000000"/>
          <w:kern w:val="0"/>
          <w:sz w:val="32"/>
          <w:szCs w:val="32"/>
        </w:rPr>
        <w:t>融合信息发布渠道，按照各级党委政府疫情防控领导小组（指挥部）相关要求，做好新冠肺炎疫情防控常态化下复工复产复学</w:t>
      </w:r>
      <w:r>
        <w:rPr>
          <w:rFonts w:hint="eastAsia" w:ascii="仿宋_GB2312" w:hAnsi="仿宋" w:eastAsia="仿宋_GB2312" w:cs="宋体"/>
          <w:color w:val="000000"/>
          <w:kern w:val="0"/>
          <w:sz w:val="32"/>
          <w:szCs w:val="32"/>
          <w:lang w:val="en-US" w:eastAsia="zh-CN"/>
        </w:rPr>
        <w:t>等</w:t>
      </w:r>
      <w:r>
        <w:rPr>
          <w:rFonts w:hint="eastAsia" w:ascii="仿宋_GB2312" w:hAnsi="仿宋" w:eastAsia="仿宋_GB2312" w:cs="宋体"/>
          <w:color w:val="000000"/>
          <w:kern w:val="0"/>
          <w:sz w:val="32"/>
          <w:szCs w:val="32"/>
        </w:rPr>
        <w:t>防控信息发布工作，</w:t>
      </w:r>
      <w:r>
        <w:rPr>
          <w:rFonts w:hint="eastAsia" w:ascii="仿宋_GB2312" w:hAnsi="仿宋" w:eastAsia="仿宋_GB2312" w:cs="宋体"/>
          <w:color w:val="000000"/>
          <w:kern w:val="0"/>
          <w:sz w:val="32"/>
          <w:szCs w:val="32"/>
          <w:lang w:val="en-US" w:eastAsia="zh-CN"/>
        </w:rPr>
        <w:t>各级各部门各单位主要负责人要带头发声，依法做到及时、准确、公开、透明，</w:t>
      </w:r>
      <w:r>
        <w:rPr>
          <w:rFonts w:hint="eastAsia" w:ascii="仿宋_GB2312" w:hAnsi="仿宋" w:eastAsia="仿宋_GB2312" w:cs="宋体"/>
          <w:color w:val="000000"/>
          <w:kern w:val="0"/>
          <w:sz w:val="32"/>
          <w:szCs w:val="32"/>
        </w:rPr>
        <w:t>让群众</w:t>
      </w:r>
      <w:r>
        <w:rPr>
          <w:rFonts w:hint="eastAsia" w:ascii="仿宋_GB2312" w:hAnsi="仿宋" w:eastAsia="仿宋_GB2312" w:cs="宋体"/>
          <w:color w:val="000000"/>
          <w:kern w:val="0"/>
          <w:sz w:val="32"/>
          <w:szCs w:val="32"/>
          <w:lang w:val="en-US" w:eastAsia="zh-CN"/>
        </w:rPr>
        <w:t>实</w:t>
      </w:r>
      <w:r>
        <w:rPr>
          <w:rFonts w:hint="eastAsia" w:ascii="仿宋_GB2312" w:hAnsi="仿宋" w:eastAsia="仿宋_GB2312" w:cs="宋体"/>
          <w:color w:val="000000"/>
          <w:kern w:val="0"/>
          <w:sz w:val="32"/>
          <w:szCs w:val="32"/>
        </w:rPr>
        <w:t>时了解工作动态。做好疫情防控资金物资来源、分配和使用情况等信息公开。全方位解读国家、省、</w:t>
      </w:r>
      <w:r>
        <w:rPr>
          <w:rFonts w:hint="eastAsia" w:ascii="仿宋_GB2312" w:hAnsi="仿宋" w:eastAsia="仿宋_GB2312" w:cs="宋体"/>
          <w:color w:val="000000"/>
          <w:kern w:val="0"/>
          <w:sz w:val="32"/>
          <w:szCs w:val="32"/>
          <w:lang w:val="en-US" w:eastAsia="zh-CN"/>
        </w:rPr>
        <w:t>市</w:t>
      </w:r>
      <w:r>
        <w:rPr>
          <w:rFonts w:hint="eastAsia" w:ascii="仿宋_GB2312" w:hAnsi="仿宋" w:eastAsia="仿宋_GB2312" w:cs="宋体"/>
          <w:color w:val="000000"/>
          <w:kern w:val="0"/>
          <w:sz w:val="32"/>
          <w:szCs w:val="32"/>
        </w:rPr>
        <w:t>、县支持疫情防控、企业纾困和复工复产复学等重要决策部署，确保各项政策落地见效。加强各级各类应急预案公开和公共卫生知识普及，</w:t>
      </w:r>
      <w:r>
        <w:rPr>
          <w:rFonts w:hint="eastAsia" w:ascii="仿宋_GB2312" w:hAnsi="仿宋" w:eastAsia="仿宋_GB2312" w:cs="宋体"/>
          <w:color w:val="000000"/>
          <w:kern w:val="0"/>
          <w:sz w:val="32"/>
          <w:szCs w:val="32"/>
          <w:lang w:val="en-US" w:eastAsia="zh-CN"/>
        </w:rPr>
        <w:t>有针对性地加强宣传培训，增强群众特别是应急预案执行人员的风险防范意识和能力，切实发挥应急预案实际效用。大力加强公共卫生知识日常普及工作，</w:t>
      </w:r>
      <w:r>
        <w:rPr>
          <w:rFonts w:hint="eastAsia" w:ascii="仿宋_GB2312" w:hAnsi="仿宋" w:eastAsia="仿宋_GB2312" w:cs="宋体"/>
          <w:color w:val="000000"/>
          <w:kern w:val="0"/>
          <w:sz w:val="32"/>
          <w:szCs w:val="32"/>
        </w:rPr>
        <w:t>引导群众养成良好习惯，提高群众</w:t>
      </w:r>
      <w:r>
        <w:rPr>
          <w:rFonts w:hint="eastAsia" w:ascii="仿宋_GB2312" w:hAnsi="仿宋" w:eastAsia="仿宋_GB2312" w:cs="宋体"/>
          <w:color w:val="000000"/>
          <w:kern w:val="0"/>
          <w:sz w:val="32"/>
          <w:szCs w:val="32"/>
          <w:lang w:val="en-US" w:eastAsia="zh-CN"/>
        </w:rPr>
        <w:t>对传染病的</w:t>
      </w:r>
      <w:r>
        <w:rPr>
          <w:rFonts w:hint="eastAsia" w:ascii="仿宋_GB2312" w:hAnsi="仿宋" w:eastAsia="仿宋_GB2312" w:cs="宋体"/>
          <w:color w:val="000000"/>
          <w:kern w:val="0"/>
          <w:sz w:val="32"/>
          <w:szCs w:val="32"/>
        </w:rPr>
        <w:t>防治意识和应对能力。</w:t>
      </w:r>
      <w:r>
        <w:rPr>
          <w:rFonts w:hint="eastAsia" w:ascii="仿宋_GB2312" w:hAnsi="仿宋" w:eastAsia="仿宋_GB2312" w:cs="宋体"/>
          <w:color w:val="000000"/>
          <w:kern w:val="0"/>
          <w:sz w:val="32"/>
          <w:szCs w:val="32"/>
          <w:lang w:val="en-US" w:eastAsia="zh-CN"/>
        </w:rPr>
        <w:t>妥善办理涉及公共卫生事件的政府信息公开申请，除公开后将损害公共利益、侵犯他人合法权益等法定禁止公开情形外，最大限度向申请人提供相关信息，更好满足群众知情权，维护政府公信力。加强个人信息保护，对因疫情防控工作需要收集的个人信息，要严格落实个人信息保护有关规定，采取有效措施保管并妥善处理。</w:t>
      </w:r>
    </w:p>
    <w:p w14:paraId="0FAA5E74">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五</w:t>
      </w:r>
      <w:r>
        <w:rPr>
          <w:rFonts w:hint="eastAsia" w:ascii="楷体_GB2312" w:hAnsi="宋体" w:eastAsia="楷体_GB2312"/>
          <w:sz w:val="32"/>
          <w:szCs w:val="32"/>
        </w:rPr>
        <w:t>）围绕优化营商环境加强信息公开。</w:t>
      </w:r>
      <w:r>
        <w:rPr>
          <w:rFonts w:hint="eastAsia" w:ascii="仿宋_GB2312" w:hAnsi="仿宋" w:eastAsia="仿宋_GB2312"/>
          <w:sz w:val="32"/>
          <w:szCs w:val="32"/>
        </w:rPr>
        <w:t>深化“放管服”改革，力推“清单之外无证明”“秒批秒办”，全面公开</w:t>
      </w:r>
      <w:r>
        <w:rPr>
          <w:rFonts w:hint="eastAsia" w:ascii="仿宋_GB2312" w:hAnsi="仿宋" w:eastAsia="仿宋_GB2312"/>
          <w:sz w:val="32"/>
          <w:szCs w:val="32"/>
          <w:lang w:val="en-US" w:eastAsia="zh-CN"/>
        </w:rPr>
        <w:t>市</w:t>
      </w:r>
      <w:r>
        <w:rPr>
          <w:rFonts w:hint="eastAsia" w:ascii="仿宋_GB2312" w:hAnsi="仿宋" w:eastAsia="仿宋_GB2312"/>
          <w:sz w:val="32"/>
          <w:szCs w:val="32"/>
        </w:rPr>
        <w:t>场监管规则</w:t>
      </w:r>
      <w:r>
        <w:rPr>
          <w:rFonts w:hint="eastAsia" w:ascii="仿宋_GB2312" w:hAnsi="仿宋" w:eastAsia="仿宋_GB2312"/>
          <w:sz w:val="32"/>
          <w:szCs w:val="32"/>
          <w:lang w:val="en-US" w:eastAsia="zh-CN"/>
        </w:rPr>
        <w:t>和</w:t>
      </w:r>
      <w:r>
        <w:rPr>
          <w:rFonts w:hint="eastAsia" w:ascii="仿宋_GB2312" w:hAnsi="仿宋" w:eastAsia="仿宋_GB2312"/>
          <w:sz w:val="32"/>
          <w:szCs w:val="32"/>
        </w:rPr>
        <w:t>标准，以监管规则</w:t>
      </w:r>
      <w:r>
        <w:rPr>
          <w:rFonts w:hint="eastAsia" w:ascii="仿宋_GB2312" w:hAnsi="仿宋" w:eastAsia="仿宋_GB2312"/>
          <w:sz w:val="32"/>
          <w:szCs w:val="32"/>
          <w:lang w:val="en-US" w:eastAsia="zh-CN"/>
        </w:rPr>
        <w:t>和</w:t>
      </w:r>
      <w:r>
        <w:rPr>
          <w:rFonts w:hint="eastAsia" w:ascii="仿宋_GB2312" w:hAnsi="仿宋" w:eastAsia="仿宋_GB2312"/>
          <w:sz w:val="32"/>
          <w:szCs w:val="32"/>
        </w:rPr>
        <w:t>标准的确定性保障</w:t>
      </w:r>
      <w:r>
        <w:rPr>
          <w:rFonts w:hint="eastAsia" w:ascii="仿宋_GB2312" w:hAnsi="仿宋" w:eastAsia="仿宋_GB2312"/>
          <w:sz w:val="32"/>
          <w:szCs w:val="32"/>
          <w:lang w:val="en-US" w:eastAsia="zh-CN"/>
        </w:rPr>
        <w:t>市</w:t>
      </w:r>
      <w:r>
        <w:rPr>
          <w:rFonts w:hint="eastAsia" w:ascii="仿宋_GB2312" w:hAnsi="仿宋" w:eastAsia="仿宋_GB2312"/>
          <w:sz w:val="32"/>
          <w:szCs w:val="32"/>
        </w:rPr>
        <w:t>场监管的公正性。</w:t>
      </w:r>
      <w:r>
        <w:rPr>
          <w:rFonts w:hint="eastAsia" w:ascii="仿宋_GB2312" w:hAnsi="仿宋" w:eastAsia="仿宋_GB2312"/>
          <w:sz w:val="32"/>
          <w:szCs w:val="32"/>
          <w:lang w:val="en-US" w:eastAsia="zh-CN"/>
        </w:rPr>
        <w:t>窗口</w:t>
      </w:r>
      <w:r>
        <w:rPr>
          <w:rFonts w:hint="eastAsia" w:ascii="仿宋_GB2312" w:hAnsi="仿宋" w:eastAsia="仿宋_GB2312"/>
          <w:sz w:val="32"/>
          <w:szCs w:val="32"/>
        </w:rPr>
        <w:t>部门要优化</w:t>
      </w:r>
      <w:r>
        <w:rPr>
          <w:rFonts w:hint="eastAsia" w:ascii="仿宋_GB2312" w:hAnsi="仿宋" w:eastAsia="仿宋_GB2312"/>
          <w:sz w:val="32"/>
          <w:szCs w:val="32"/>
          <w:lang w:val="en-US" w:eastAsia="zh-CN"/>
        </w:rPr>
        <w:t>提升</w:t>
      </w:r>
      <w:r>
        <w:rPr>
          <w:rFonts w:hint="eastAsia" w:ascii="仿宋_GB2312" w:hAnsi="仿宋" w:eastAsia="仿宋_GB2312"/>
          <w:sz w:val="32"/>
          <w:szCs w:val="32"/>
        </w:rPr>
        <w:t>服务</w:t>
      </w:r>
      <w:r>
        <w:rPr>
          <w:rFonts w:hint="eastAsia" w:ascii="仿宋_GB2312" w:hAnsi="仿宋" w:eastAsia="仿宋_GB2312"/>
          <w:sz w:val="32"/>
          <w:szCs w:val="32"/>
          <w:lang w:val="en-US" w:eastAsia="zh-CN"/>
        </w:rPr>
        <w:t>质量</w:t>
      </w:r>
      <w:r>
        <w:rPr>
          <w:rFonts w:hint="eastAsia" w:ascii="仿宋_GB2312" w:hAnsi="仿宋" w:eastAsia="仿宋_GB2312"/>
          <w:sz w:val="32"/>
          <w:szCs w:val="32"/>
        </w:rPr>
        <w:t>，为</w:t>
      </w:r>
      <w:r>
        <w:rPr>
          <w:rFonts w:hint="eastAsia" w:ascii="仿宋_GB2312" w:hAnsi="仿宋" w:eastAsia="仿宋_GB2312"/>
          <w:sz w:val="32"/>
          <w:szCs w:val="32"/>
          <w:lang w:val="en-US" w:eastAsia="zh-CN"/>
        </w:rPr>
        <w:t>市</w:t>
      </w:r>
      <w:r>
        <w:rPr>
          <w:rFonts w:hint="eastAsia" w:ascii="仿宋_GB2312" w:hAnsi="仿宋" w:eastAsia="仿宋_GB2312"/>
          <w:sz w:val="32"/>
          <w:szCs w:val="32"/>
        </w:rPr>
        <w:t>场主体提供更加精准、便捷的政策咨询。</w:t>
      </w:r>
      <w:r>
        <w:rPr>
          <w:rFonts w:hint="eastAsia" w:ascii="仿宋_GB2312" w:hAnsi="仿宋" w:eastAsia="仿宋_GB2312"/>
          <w:sz w:val="32"/>
          <w:szCs w:val="32"/>
          <w:lang w:val="en-US" w:eastAsia="zh-CN"/>
        </w:rPr>
        <w:t>全面优化办事流程，通过互联网等技术手段让办事人动态掌握办事进展，最大限度实现网络化、透明化办事。及时更新并公开办事方式、办事条件等信息，</w:t>
      </w:r>
      <w:r>
        <w:rPr>
          <w:rFonts w:hint="eastAsia" w:ascii="仿宋_GB2312" w:hAnsi="仿宋" w:eastAsia="仿宋_GB2312"/>
          <w:sz w:val="32"/>
          <w:szCs w:val="32"/>
        </w:rPr>
        <w:t>在</w:t>
      </w:r>
      <w:r>
        <w:rPr>
          <w:rFonts w:hint="eastAsia" w:ascii="仿宋_GB2312" w:hAnsi="仿宋" w:eastAsia="仿宋_GB2312" w:cs="宋体"/>
          <w:color w:val="000000"/>
          <w:kern w:val="0"/>
          <w:sz w:val="32"/>
          <w:szCs w:val="32"/>
        </w:rPr>
        <w:t>政府网站、新媒体等同步发布涉企政策，公开惠企政策申请条件、申报材料清单、办理流程、承办部门、联系方式、起止时间等信息。每季度定期梳理涉企政策，集中推送相关企业。精简涉企经营许可事项，规范涉企收费和中介服务，按规定公示我县实行政府定价或政府指导价的涉企收费目录清单，及时发布行政审批中介服务事项目录。完善公共资源交易制度，及时公开交易目录、程序、结果等信息。各级各部门要梳理公布证明事项清单，全面推行证明事项告知承诺制。提升经济政策发布质量，注重对一线政策执行人员开展政策解读和培训，确保减税降费等各项经济政策在实际执行环节不遗漏不走样，全面及时惠及</w:t>
      </w:r>
      <w:r>
        <w:rPr>
          <w:rFonts w:hint="eastAsia" w:ascii="仿宋_GB2312" w:hAnsi="仿宋" w:eastAsia="仿宋_GB2312" w:cs="宋体"/>
          <w:color w:val="000000"/>
          <w:kern w:val="0"/>
          <w:sz w:val="32"/>
          <w:szCs w:val="32"/>
          <w:lang w:val="en-US" w:eastAsia="zh-CN"/>
        </w:rPr>
        <w:t>市</w:t>
      </w:r>
      <w:r>
        <w:rPr>
          <w:rFonts w:hint="eastAsia" w:ascii="仿宋_GB2312" w:hAnsi="仿宋" w:eastAsia="仿宋_GB2312" w:cs="宋体"/>
          <w:color w:val="000000"/>
          <w:kern w:val="0"/>
          <w:sz w:val="32"/>
          <w:szCs w:val="32"/>
        </w:rPr>
        <w:t>场主体。注重增强经济政策解读回应渠道的权威性，进一步提升解读回应的实际效果</w:t>
      </w:r>
      <w:r>
        <w:rPr>
          <w:rFonts w:hint="eastAsia" w:ascii="仿宋_GB2312" w:hAnsi="仿宋" w:eastAsia="仿宋_GB2312"/>
          <w:sz w:val="32"/>
          <w:szCs w:val="32"/>
        </w:rPr>
        <w:t>。</w:t>
      </w:r>
    </w:p>
    <w:p w14:paraId="525D5692">
      <w:pPr>
        <w:spacing w:line="620" w:lineRule="exact"/>
        <w:ind w:firstLine="640" w:firstLineChars="200"/>
        <w:rPr>
          <w:rFonts w:ascii="黑体" w:hAnsi="黑体" w:eastAsia="黑体"/>
          <w:sz w:val="32"/>
          <w:szCs w:val="32"/>
        </w:rPr>
      </w:pPr>
      <w:r>
        <w:rPr>
          <w:rFonts w:hint="eastAsia" w:ascii="黑体" w:hAnsi="黑体" w:eastAsia="黑体"/>
          <w:sz w:val="32"/>
          <w:szCs w:val="32"/>
        </w:rPr>
        <w:t>二、推进行政决策、执行、管理、服务和结果全过程公开</w:t>
      </w:r>
    </w:p>
    <w:p w14:paraId="0853E751">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（一）推进行政决策公开。</w:t>
      </w:r>
      <w:r>
        <w:rPr>
          <w:rFonts w:hint="eastAsia" w:ascii="仿宋_GB2312" w:hAnsi="仿宋" w:eastAsia="仿宋_GB2312" w:cs="宋体"/>
          <w:color w:val="000000"/>
          <w:kern w:val="0"/>
          <w:sz w:val="32"/>
          <w:szCs w:val="32"/>
        </w:rPr>
        <w:t>制定并发布重大行政决策事项目录，</w:t>
      </w:r>
      <w:r>
        <w:rPr>
          <w:rFonts w:hint="eastAsia" w:ascii="仿宋_GB2312" w:hAnsi="仿宋" w:eastAsia="仿宋_GB2312" w:cs="宋体"/>
          <w:color w:val="000000"/>
          <w:kern w:val="0"/>
          <w:sz w:val="32"/>
          <w:szCs w:val="32"/>
          <w:lang w:val="en-US" w:eastAsia="zh-CN"/>
        </w:rPr>
        <w:t>构建行政决策公众参与机制，</w:t>
      </w:r>
      <w:r>
        <w:rPr>
          <w:rFonts w:hint="eastAsia" w:ascii="仿宋_GB2312" w:hAnsi="仿宋" w:eastAsia="仿宋_GB2312" w:cs="宋体"/>
          <w:color w:val="000000"/>
          <w:kern w:val="0"/>
          <w:sz w:val="32"/>
          <w:szCs w:val="32"/>
        </w:rPr>
        <w:t>做好重大决策预公开工作。按照“谁起草谁解读”原则，认真落实政策文件与解读方案、解读材料同步组织、同步审签、同步部署工作机制。常态化落实邀请利益相关方、群众代表、专家、媒体等列席政府常务会议、部门办公会议制度。持续深化开展政府开放日、网络问政、电视问政等多形式的公众参与和监督活动。对涉及群众切身利益、需要社会广泛知晓的公共政策措施、公共建设项目，采取座谈会、听证会、向社会公开征求意见等方式，扩大公众参与度、提高政策透明度。</w:t>
      </w:r>
    </w:p>
    <w:p w14:paraId="1DF0EB9A">
      <w:pPr>
        <w:spacing w:line="620" w:lineRule="exact"/>
        <w:ind w:firstLine="640" w:firstLineChars="200"/>
        <w:rPr>
          <w:rFonts w:ascii="仿宋_GB2312" w:hAnsi="仿宋" w:eastAsia="仿宋_GB2312"/>
          <w:color w:val="000000"/>
          <w:sz w:val="32"/>
          <w:szCs w:val="32"/>
        </w:rPr>
      </w:pPr>
      <w:r>
        <w:rPr>
          <w:rFonts w:hint="eastAsia" w:ascii="楷体_GB2312" w:hAnsi="宋体" w:eastAsia="楷体_GB2312"/>
          <w:sz w:val="32"/>
          <w:szCs w:val="32"/>
        </w:rPr>
        <w:t>（二）推进行政管理和服务公开。</w:t>
      </w:r>
      <w:r>
        <w:rPr>
          <w:rFonts w:hint="eastAsia" w:ascii="仿宋_GB2312" w:hAnsi="仿宋" w:eastAsia="仿宋_GB2312" w:cs="宋体"/>
          <w:color w:val="000000"/>
          <w:kern w:val="0"/>
          <w:sz w:val="32"/>
          <w:szCs w:val="32"/>
        </w:rPr>
        <w:t>建立规章和规范性文件定期清理和公开制度</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逐步整理形成制度文件汇编并集中统一对外公开，服务县域治理体系和治理能力现代化</w:t>
      </w:r>
      <w:r>
        <w:rPr>
          <w:rFonts w:hint="eastAsia" w:ascii="仿宋_GB2312" w:hAnsi="仿宋" w:eastAsia="仿宋_GB2312" w:cs="宋体"/>
          <w:color w:val="000000"/>
          <w:kern w:val="0"/>
          <w:sz w:val="32"/>
          <w:szCs w:val="32"/>
        </w:rPr>
        <w:t>。全面贯彻落实行政执法公示制度。深化“双随机、一公开”监管、“互联网</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监管”和“信用监管”等监管信息公开。</w:t>
      </w:r>
      <w:r>
        <w:rPr>
          <w:rFonts w:hint="eastAsia" w:ascii="仿宋_GB2312" w:hAnsi="仿宋" w:eastAsia="仿宋_GB2312"/>
          <w:color w:val="000000"/>
          <w:sz w:val="32"/>
          <w:szCs w:val="32"/>
        </w:rPr>
        <w:t>持续推进国资监管和国企改革信息公开。做好政务服务“一网通办”、政务大厅“一窗受理”、民生服务“一链办理”、重点高频民生事项“掌上办”、</w:t>
      </w:r>
      <w:r>
        <w:rPr>
          <w:rFonts w:hint="eastAsia" w:ascii="仿宋_GB2312" w:hAnsi="仿宋_GB2312" w:eastAsia="仿宋_GB2312" w:cs="仿宋_GB2312"/>
          <w:color w:val="000000"/>
          <w:sz w:val="32"/>
          <w:szCs w:val="32"/>
        </w:rPr>
        <w:t>优化政务服务流程</w:t>
      </w:r>
      <w:r>
        <w:rPr>
          <w:rFonts w:hint="eastAsia" w:ascii="仿宋_GB2312" w:hAnsi="仿宋" w:eastAsia="仿宋_GB2312"/>
          <w:color w:val="000000"/>
          <w:sz w:val="32"/>
          <w:szCs w:val="32"/>
        </w:rPr>
        <w:t>等方面的信息公开。积极推动在政务服务大厅、便民服务中心等场所设立政务公开专区，公开政务服务事项，并提供信息公开申请、办事咨询等服务。建立健全政务服务“好差评”制度，定期公开政务服务情况、企业群众评价和差评处理结果</w:t>
      </w:r>
      <w:r>
        <w:rPr>
          <w:rFonts w:hint="eastAsia" w:ascii="仿宋_GB2312" w:hAnsi="仿宋" w:eastAsia="仿宋_GB2312"/>
          <w:sz w:val="32"/>
          <w:szCs w:val="32"/>
        </w:rPr>
        <w:t>，全力打造“在平阴、您放心”服务品牌。</w:t>
      </w:r>
    </w:p>
    <w:p w14:paraId="7186FC66">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（三）推进行政执行和结果公开。</w:t>
      </w:r>
      <w:r>
        <w:rPr>
          <w:rFonts w:hint="eastAsia" w:ascii="仿宋_GB2312" w:hAnsi="仿宋" w:eastAsia="仿宋_GB2312" w:cs="宋体"/>
          <w:kern w:val="0"/>
          <w:sz w:val="32"/>
          <w:szCs w:val="32"/>
        </w:rPr>
        <w:t>定期公开政府工作报告重点任务、民生实事项目、重大工程项目的执行情况。做好督查和</w:t>
      </w:r>
      <w:r>
        <w:rPr>
          <w:rFonts w:hint="eastAsia" w:ascii="仿宋_GB2312" w:hAnsi="仿宋" w:eastAsia="仿宋_GB2312" w:cs="宋体"/>
          <w:color w:val="000000"/>
          <w:kern w:val="0"/>
          <w:sz w:val="32"/>
          <w:szCs w:val="32"/>
        </w:rPr>
        <w:t>审计发现问题及整改落实情况的公开。及时公开人大代表建议和政协委员提案办理结果。建立重大决策执行效果跟踪反馈和后评估机制，积极开展决策执行效果评估，科学评价政策落实效果，并将相关情况向社会公开。</w:t>
      </w:r>
    </w:p>
    <w:p w14:paraId="7B4FDF4A">
      <w:pPr>
        <w:spacing w:line="620" w:lineRule="exact"/>
        <w:ind w:firstLine="640" w:firstLineChars="200"/>
        <w:rPr>
          <w:rFonts w:hint="eastAsia" w:ascii="黑体" w:hAnsi="黑体" w:eastAsia="黑体"/>
          <w:color w:val="auto"/>
          <w:sz w:val="32"/>
          <w:szCs w:val="32"/>
          <w:lang w:val="en-US" w:eastAsia="zh-CN"/>
        </w:rPr>
      </w:pPr>
      <w:r>
        <w:rPr>
          <w:rFonts w:hint="eastAsia" w:ascii="黑体" w:hAnsi="黑体" w:eastAsia="黑体"/>
          <w:color w:val="auto"/>
          <w:sz w:val="32"/>
          <w:szCs w:val="32"/>
        </w:rPr>
        <w:t>三、</w:t>
      </w:r>
      <w:r>
        <w:rPr>
          <w:rFonts w:hint="eastAsia" w:ascii="黑体" w:hAnsi="黑体" w:eastAsia="黑体"/>
          <w:color w:val="auto"/>
          <w:sz w:val="32"/>
          <w:szCs w:val="32"/>
          <w:lang w:val="en-US" w:eastAsia="zh-CN"/>
        </w:rPr>
        <w:t>落实新修订的政府信息公开条例</w:t>
      </w:r>
    </w:p>
    <w:p w14:paraId="4D6D5F5B">
      <w:pPr>
        <w:spacing w:line="620" w:lineRule="exact"/>
        <w:ind w:firstLine="640" w:firstLineChars="200"/>
        <w:rPr>
          <w:rFonts w:hint="eastAsia" w:ascii="仿宋_GB2312" w:hAnsi="仿宋" w:eastAsia="仿宋_GB2312" w:cs="宋体"/>
          <w:color w:val="auto"/>
          <w:kern w:val="0"/>
          <w:sz w:val="32"/>
          <w:szCs w:val="32"/>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落实政府信息主动公开新要求。</w:t>
      </w:r>
      <w:r>
        <w:rPr>
          <w:rFonts w:hint="eastAsia" w:ascii="仿宋_GB2312" w:hAnsi="仿宋" w:eastAsia="仿宋_GB2312" w:cs="宋体"/>
          <w:color w:val="auto"/>
          <w:kern w:val="0"/>
          <w:sz w:val="32"/>
          <w:szCs w:val="32"/>
          <w:lang w:val="en-US" w:eastAsia="zh-CN"/>
        </w:rPr>
        <w:t>正确执行关于主动公开的新规定，以政府信息公开平台为依托，</w:t>
      </w:r>
      <w:r>
        <w:rPr>
          <w:rFonts w:hint="eastAsia" w:ascii="仿宋_GB2312" w:hAnsi="仿宋" w:eastAsia="仿宋_GB2312" w:cs="宋体"/>
          <w:color w:val="auto"/>
          <w:kern w:val="0"/>
          <w:sz w:val="32"/>
          <w:szCs w:val="32"/>
        </w:rPr>
        <w:t>做好重点领域、政策解读、公众参与、建议提案办理、会议公开等专栏建设和内容维护，创新政务公开多元展现模式，并将法定公开内容全部公开到位。</w:t>
      </w:r>
    </w:p>
    <w:p w14:paraId="41FB73B5">
      <w:pPr>
        <w:spacing w:line="620" w:lineRule="exact"/>
        <w:ind w:firstLine="640" w:firstLineChars="200"/>
        <w:rPr>
          <w:rFonts w:hint="eastAsia" w:ascii="仿宋_GB2312" w:hAnsi="仿宋" w:eastAsia="仿宋_GB2312" w:cs="宋体"/>
          <w:color w:val="auto"/>
          <w:kern w:val="0"/>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二</w:t>
      </w:r>
      <w:r>
        <w:rPr>
          <w:rFonts w:hint="eastAsia" w:ascii="楷体_GB2312" w:hAnsi="宋体" w:eastAsia="楷体_GB2312"/>
          <w:color w:val="auto"/>
          <w:sz w:val="32"/>
          <w:szCs w:val="32"/>
        </w:rPr>
        <w:t>）规范依申请公开工作。</w:t>
      </w:r>
      <w:r>
        <w:rPr>
          <w:rFonts w:hint="eastAsia" w:ascii="仿宋_GB2312" w:hAnsi="仿宋" w:eastAsia="仿宋_GB2312" w:cs="宋体"/>
          <w:color w:val="auto"/>
          <w:kern w:val="0"/>
          <w:sz w:val="32"/>
          <w:szCs w:val="32"/>
          <w:lang w:val="en-US" w:eastAsia="zh-CN"/>
        </w:rPr>
        <w:t>以完善内部制度为抓手，以规范答复文书格式为重点，</w:t>
      </w:r>
      <w:r>
        <w:rPr>
          <w:rFonts w:hint="eastAsia" w:ascii="仿宋_GB2312" w:hAnsi="仿宋" w:eastAsia="仿宋_GB2312" w:cs="宋体"/>
          <w:color w:val="auto"/>
          <w:kern w:val="0"/>
          <w:sz w:val="32"/>
          <w:szCs w:val="32"/>
        </w:rPr>
        <w:t>做好依申请公开接收、登记、办理、调查、答复等各个环节工作。注重程序规范和实体规范，推动行政机关依申请办理的程序化、规范化、标准化。提高依申请办理协查的准确性、全面性，严防出现因协查不力引发败诉的情况。完善疑难件办理会商机制，加强与相关部门的会商，提高答复精准度。</w:t>
      </w:r>
      <w:r>
        <w:rPr>
          <w:rFonts w:hint="eastAsia" w:ascii="仿宋_GB2312" w:hAnsi="仿宋" w:eastAsia="仿宋_GB2312" w:cs="宋体"/>
          <w:color w:val="auto"/>
          <w:kern w:val="0"/>
          <w:sz w:val="32"/>
          <w:szCs w:val="32"/>
          <w:lang w:val="en-US" w:eastAsia="zh-CN"/>
        </w:rPr>
        <w:t>从严把握不予公开范围，对法定不予公开条款坚持最小化适用原则，切实做到以公开为常态、不公开为例外。</w:t>
      </w:r>
      <w:r>
        <w:rPr>
          <w:rFonts w:hint="eastAsia" w:ascii="仿宋_GB2312" w:hAnsi="仿宋" w:eastAsia="仿宋_GB2312" w:cs="宋体"/>
          <w:color w:val="auto"/>
          <w:kern w:val="0"/>
          <w:sz w:val="32"/>
          <w:szCs w:val="32"/>
        </w:rPr>
        <w:t>积极探索依申请办理的新做法，总结新经验，不断提升工作实效。</w:t>
      </w:r>
    </w:p>
    <w:p w14:paraId="7587A4CB">
      <w:pPr>
        <w:spacing w:line="620" w:lineRule="exact"/>
        <w:ind w:firstLine="640" w:firstLineChars="200"/>
        <w:rPr>
          <w:rFonts w:ascii="仿宋_GB2312" w:hAnsi="仿宋" w:eastAsia="仿宋_GB2312" w:cs="宋体"/>
          <w:color w:val="auto"/>
          <w:kern w:val="0"/>
          <w:sz w:val="32"/>
          <w:szCs w:val="32"/>
        </w:rPr>
      </w:pPr>
      <w:r>
        <w:rPr>
          <w:rFonts w:hint="eastAsia" w:ascii="楷体_GB2312" w:hAnsi="宋体" w:eastAsia="楷体_GB2312"/>
          <w:color w:val="auto"/>
          <w:sz w:val="32"/>
          <w:szCs w:val="32"/>
        </w:rPr>
        <w:t>（三）推动政府公报创新发展。</w:t>
      </w:r>
      <w:r>
        <w:rPr>
          <w:rFonts w:hint="eastAsia" w:ascii="仿宋_GB2312" w:hAnsi="仿宋" w:eastAsia="仿宋_GB2312" w:cs="宋体"/>
          <w:color w:val="auto"/>
          <w:kern w:val="0"/>
          <w:sz w:val="32"/>
          <w:szCs w:val="32"/>
        </w:rPr>
        <w:t>增强政府公报规范性，加快推进政府公报数字化工作，实现创刊以来刊登内容全部入库管理。突出政府公报权威性，使其在多样化的传播渠道中更好地发出政府权威声音。提高政府公报时效性，缩短出刊周期，优化出刊方式。强化政府公报服务公众功能，做好政府公报的赠阅发行。</w:t>
      </w:r>
    </w:p>
    <w:p w14:paraId="26B85B9B">
      <w:pPr>
        <w:spacing w:line="6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四、持续优化政务公开平台建设</w:t>
      </w:r>
    </w:p>
    <w:p w14:paraId="7F99A70E">
      <w:pPr>
        <w:spacing w:line="620" w:lineRule="exact"/>
        <w:ind w:firstLine="640" w:firstLineChars="200"/>
        <w:rPr>
          <w:rFonts w:hint="eastAsia" w:ascii="仿宋_GB2312" w:hAnsi="仿宋" w:eastAsia="仿宋_GB2312" w:cs="宋体"/>
          <w:color w:val="000000"/>
          <w:kern w:val="0"/>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一</w:t>
      </w:r>
      <w:r>
        <w:rPr>
          <w:rFonts w:hint="eastAsia" w:ascii="楷体_GB2312" w:hAnsi="宋体" w:eastAsia="楷体_GB2312"/>
          <w:sz w:val="32"/>
          <w:szCs w:val="32"/>
        </w:rPr>
        <w:t>）加强政府网站</w:t>
      </w:r>
      <w:r>
        <w:rPr>
          <w:rFonts w:hint="eastAsia" w:ascii="楷体_GB2312" w:hAnsi="宋体" w:eastAsia="楷体_GB2312"/>
          <w:sz w:val="32"/>
          <w:szCs w:val="32"/>
          <w:lang w:val="en-US" w:eastAsia="zh-CN"/>
        </w:rPr>
        <w:t>与政务新媒体</w:t>
      </w:r>
      <w:r>
        <w:rPr>
          <w:rFonts w:hint="eastAsia" w:ascii="楷体_GB2312" w:hAnsi="宋体" w:eastAsia="楷体_GB2312"/>
          <w:sz w:val="32"/>
          <w:szCs w:val="32"/>
        </w:rPr>
        <w:t>建设。</w:t>
      </w:r>
      <w:r>
        <w:rPr>
          <w:rFonts w:hint="eastAsia" w:ascii="仿宋_GB2312" w:hAnsi="仿宋" w:eastAsia="仿宋_GB2312" w:cs="宋体"/>
          <w:color w:val="000000"/>
          <w:kern w:val="0"/>
          <w:sz w:val="32"/>
          <w:szCs w:val="32"/>
          <w:lang w:val="en-US" w:eastAsia="zh-CN"/>
        </w:rPr>
        <w:t>加强政府网站和政务新媒体内容保障，更多发布权威准确、通俗易懂、形式多样、易于传播的政策解读产品，不断提高政策知晓度。强化网络安全责任，抓好政府网站和政务新媒体安全防护，</w:t>
      </w:r>
      <w:r>
        <w:rPr>
          <w:rFonts w:hint="eastAsia" w:ascii="仿宋_GB2312" w:hAnsi="仿宋" w:eastAsia="仿宋_GB2312" w:cs="宋体"/>
          <w:color w:val="000000"/>
          <w:kern w:val="0"/>
          <w:sz w:val="32"/>
          <w:szCs w:val="32"/>
        </w:rPr>
        <w:t>明确政务新媒体功能定位,强化发布、传播、互动、引导、办事等功能，严格内容发布审核制度，严把政治关、法律关、保密关、文字关。加强政府网站无障碍访问能力建设，提升网站的可感知性、可操作性、可理解性及兼容性。</w:t>
      </w:r>
    </w:p>
    <w:p w14:paraId="0F947F80">
      <w:pPr>
        <w:numPr>
          <w:ilvl w:val="0"/>
          <w:numId w:val="0"/>
        </w:numPr>
        <w:spacing w:line="620" w:lineRule="exact"/>
        <w:ind w:firstLine="640" w:firstLineChars="200"/>
        <w:rPr>
          <w:rFonts w:hint="eastAsia" w:ascii="仿宋_GB2312" w:hAnsi="仿宋" w:eastAsia="仿宋_GB2312" w:cs="宋体"/>
          <w:color w:val="000000"/>
          <w:kern w:val="0"/>
          <w:sz w:val="32"/>
          <w:szCs w:val="32"/>
        </w:rPr>
      </w:pPr>
      <w:r>
        <w:rPr>
          <w:rFonts w:hint="eastAsia" w:ascii="楷体_GB2312" w:hAnsi="宋体" w:eastAsia="楷体_GB2312"/>
          <w:sz w:val="32"/>
          <w:szCs w:val="32"/>
          <w:lang w:eastAsia="zh-CN"/>
        </w:rPr>
        <w:t>（</w:t>
      </w:r>
      <w:r>
        <w:rPr>
          <w:rFonts w:hint="eastAsia" w:ascii="楷体_GB2312" w:hAnsi="宋体" w:eastAsia="楷体_GB2312"/>
          <w:sz w:val="32"/>
          <w:szCs w:val="32"/>
          <w:lang w:val="en-US" w:eastAsia="zh-CN"/>
        </w:rPr>
        <w:t>二</w:t>
      </w:r>
      <w:r>
        <w:rPr>
          <w:rFonts w:hint="eastAsia" w:ascii="楷体_GB2312" w:hAnsi="宋体" w:eastAsia="楷体_GB2312"/>
          <w:sz w:val="32"/>
          <w:szCs w:val="32"/>
          <w:lang w:eastAsia="zh-CN"/>
        </w:rPr>
        <w:t>）</w:t>
      </w:r>
      <w:r>
        <w:rPr>
          <w:rFonts w:hint="eastAsia" w:ascii="楷体_GB2312" w:hAnsi="宋体" w:eastAsia="楷体_GB2312"/>
          <w:sz w:val="32"/>
          <w:szCs w:val="32"/>
        </w:rPr>
        <w:t>规范政府信息公开专栏设置。</w:t>
      </w:r>
      <w:r>
        <w:rPr>
          <w:rFonts w:hint="eastAsia" w:ascii="仿宋_GB2312" w:hAnsi="仿宋" w:eastAsia="仿宋_GB2312" w:cs="宋体"/>
          <w:color w:val="000000"/>
          <w:kern w:val="0"/>
          <w:sz w:val="32"/>
          <w:szCs w:val="32"/>
        </w:rPr>
        <w:t>规范政府网站政府信息公开专栏设置，统一命名为“政府信息公开”，在网站首页位置展示。专栏需涵盖政府信息公开指南、政府信息公开制度、法定主动公开内容和政府信息公开年报四部分，页面设计根据中国政府网运行中心的参考方案完善。</w:t>
      </w:r>
    </w:p>
    <w:p w14:paraId="63BA9815">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三</w:t>
      </w:r>
      <w:r>
        <w:rPr>
          <w:rFonts w:hint="eastAsia" w:ascii="楷体_GB2312" w:hAnsi="宋体" w:eastAsia="楷体_GB2312"/>
          <w:sz w:val="32"/>
          <w:szCs w:val="32"/>
        </w:rPr>
        <w:t>）充分利用各级各类新闻媒体平台。</w:t>
      </w:r>
      <w:r>
        <w:rPr>
          <w:rFonts w:hint="eastAsia" w:ascii="仿宋_GB2312" w:hAnsi="仿宋" w:eastAsia="仿宋_GB2312" w:cs="宋体"/>
          <w:color w:val="000000"/>
          <w:kern w:val="0"/>
          <w:sz w:val="32"/>
          <w:szCs w:val="32"/>
        </w:rPr>
        <w:t>加强与宣传、网信等部门以及新闻媒体的沟通联系，运用各类新闻媒体资源做好政务公开工作。充分发挥新闻发布会作用，增强政府信息发布的主动性、权威性和时效性。通过主动向媒体提供素材，召开媒体通气会，畅通媒体采访渠道，更好地发挥新闻媒体的公开平台作用。</w:t>
      </w:r>
    </w:p>
    <w:p w14:paraId="637CE2AA">
      <w:pPr>
        <w:spacing w:line="620" w:lineRule="exact"/>
        <w:ind w:firstLine="640" w:firstLineChars="200"/>
        <w:rPr>
          <w:rFonts w:ascii="黑体" w:hAnsi="黑体" w:eastAsia="黑体"/>
          <w:sz w:val="32"/>
          <w:szCs w:val="32"/>
        </w:rPr>
      </w:pPr>
      <w:r>
        <w:rPr>
          <w:rFonts w:hint="eastAsia" w:ascii="黑体" w:hAnsi="黑体" w:eastAsia="黑体"/>
          <w:sz w:val="32"/>
          <w:szCs w:val="32"/>
        </w:rPr>
        <w:t>五、不断完善政务公开保障机制</w:t>
      </w:r>
    </w:p>
    <w:p w14:paraId="7C8EB56D">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（一）加强组织领导。</w:t>
      </w:r>
      <w:r>
        <w:rPr>
          <w:rFonts w:hint="eastAsia" w:ascii="仿宋_GB2312" w:hAnsi="仿宋" w:eastAsia="仿宋_GB2312" w:cs="宋体"/>
          <w:color w:val="000000"/>
          <w:kern w:val="0"/>
          <w:sz w:val="32"/>
          <w:szCs w:val="32"/>
          <w:lang w:val="en-US" w:eastAsia="zh-CN"/>
        </w:rPr>
        <w:t>县</w:t>
      </w:r>
      <w:r>
        <w:rPr>
          <w:rFonts w:hint="eastAsia" w:ascii="仿宋_GB2312" w:hAnsi="仿宋" w:eastAsia="仿宋_GB2312" w:cs="宋体"/>
          <w:color w:val="000000"/>
          <w:kern w:val="0"/>
          <w:sz w:val="32"/>
          <w:szCs w:val="32"/>
        </w:rPr>
        <w:t>政府办公室作为政府信息公开工作主管部门，要依法确定一名负责同志履行本机关政府信息公开工作领导职责，设置政务公开科作为政府信息公开工作机构，配齐配强工作力量。强化</w:t>
      </w:r>
      <w:r>
        <w:rPr>
          <w:rFonts w:hint="eastAsia" w:ascii="仿宋_GB2312" w:hAnsi="仿宋" w:eastAsia="仿宋_GB2312" w:cs="宋体"/>
          <w:color w:val="000000"/>
          <w:kern w:val="0"/>
          <w:sz w:val="32"/>
          <w:szCs w:val="32"/>
          <w:lang w:val="en-US" w:eastAsia="zh-CN"/>
        </w:rPr>
        <w:t>县</w:t>
      </w:r>
      <w:r>
        <w:rPr>
          <w:rFonts w:hint="eastAsia" w:ascii="仿宋_GB2312" w:hAnsi="仿宋" w:eastAsia="仿宋_GB2312" w:cs="宋体"/>
          <w:color w:val="000000"/>
          <w:kern w:val="0"/>
          <w:sz w:val="32"/>
          <w:szCs w:val="32"/>
        </w:rPr>
        <w:t>政府办公室政务公开工作主管部门职责，加大组织协调、指导推进、监督检查力度，建立与宣传、网信、融媒体中心等的协调联动机制。各级各部门要及时调整本单位政务公开工作领导小组，明确分管负责人和专（兼）职工作人员，落实具体职责，确保政务公开工作有序运转、无缝衔接。</w:t>
      </w:r>
    </w:p>
    <w:p w14:paraId="2A535A1A">
      <w:pPr>
        <w:spacing w:line="620" w:lineRule="exact"/>
        <w:ind w:firstLine="640" w:firstLineChars="200"/>
        <w:rPr>
          <w:rFonts w:ascii="仿宋_GB2312" w:hAnsi="仿宋" w:eastAsia="仿宋_GB2312" w:cs="宋体"/>
          <w:color w:val="000000"/>
          <w:kern w:val="0"/>
          <w:sz w:val="32"/>
          <w:szCs w:val="32"/>
        </w:rPr>
      </w:pPr>
      <w:r>
        <w:rPr>
          <w:rFonts w:hint="eastAsia" w:ascii="楷体_GB2312" w:hAnsi="宋体" w:eastAsia="楷体_GB2312"/>
          <w:sz w:val="32"/>
          <w:szCs w:val="32"/>
        </w:rPr>
        <w:t>（二）完善制度规范。</w:t>
      </w:r>
      <w:r>
        <w:rPr>
          <w:rFonts w:hint="eastAsia" w:ascii="仿宋_GB2312" w:hAnsi="仿宋" w:eastAsia="仿宋_GB2312" w:cs="宋体"/>
          <w:color w:val="000000"/>
          <w:kern w:val="0"/>
          <w:sz w:val="32"/>
          <w:szCs w:val="32"/>
        </w:rPr>
        <w:t>各级各部门要按照要求高质量做好政府信息公开工作年度报告编制、报送和发布工作。及时更新政府信息公开指南，并明确标注更新日期。继续完善主动公开基本目录，并动态调整更新。健全完善政务信息制作、获取、保存、处理等方面的制度，对政务信息实施全生命周期的规范管理。建立规章、规范性文件等集中发布平台，并根据立、改、废等情况动态调整更新。定期对本单位不予公开的信息及依申请公开较为集中的信息进行全面自查，发现应公开未公开的信息应当公开，可转为主动公开的应当主动公开。探索建立政务公开负面清单，细化明确不予公开范围，负面清单外的事项原则上都要依法依规予以公开。公共企事业单位信息公开由行业主管部门作为行政监管事项，提出要求并负责落实。</w:t>
      </w:r>
    </w:p>
    <w:p w14:paraId="5FD3524C">
      <w:pPr>
        <w:spacing w:line="620" w:lineRule="exact"/>
        <w:ind w:firstLine="640" w:firstLineChars="200"/>
        <w:rPr>
          <w:rFonts w:ascii="仿宋_GB2312" w:hAnsi="仿宋" w:eastAsia="仿宋_GB2312" w:cs="宋体"/>
          <w:color w:val="auto"/>
          <w:kern w:val="0"/>
          <w:sz w:val="32"/>
          <w:szCs w:val="32"/>
        </w:rPr>
      </w:pPr>
      <w:r>
        <w:rPr>
          <w:rFonts w:hint="eastAsia" w:ascii="楷体_GB2312" w:hAnsi="宋体" w:eastAsia="楷体_GB2312"/>
          <w:color w:val="auto"/>
          <w:sz w:val="32"/>
          <w:szCs w:val="32"/>
        </w:rPr>
        <w:t>（三）强化监督评估。</w:t>
      </w:r>
      <w:r>
        <w:rPr>
          <w:rFonts w:hint="eastAsia" w:ascii="仿宋_GB2312" w:hAnsi="仿宋" w:eastAsia="仿宋_GB2312" w:cs="宋体"/>
          <w:color w:val="auto"/>
          <w:kern w:val="0"/>
          <w:sz w:val="32"/>
          <w:szCs w:val="32"/>
        </w:rPr>
        <w:t>要定期对政务公开工作开展情况进行督查，对政务公开工作推动有力、积极参与的单位和个人按照有关规定进行表彰；对重要信息不发布、重大政策不解读、热点回应不及时的，要严肃批评、公开通报；对弄虚作假、隐瞒实情、欺骗公众，造成严重社会影响的依纪依法追究相关单位和人员责任。健全完善第三方评估机制</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结合《平阴县</w:t>
      </w:r>
      <w:r>
        <w:rPr>
          <w:rFonts w:ascii="仿宋_GB2312" w:hAnsi="仿宋" w:eastAsia="仿宋_GB2312" w:cs="宋体"/>
          <w:color w:val="auto"/>
          <w:kern w:val="0"/>
          <w:sz w:val="32"/>
          <w:szCs w:val="32"/>
        </w:rPr>
        <w:t>2020</w:t>
      </w:r>
      <w:r>
        <w:rPr>
          <w:rFonts w:hint="eastAsia" w:ascii="仿宋_GB2312" w:hAnsi="仿宋" w:eastAsia="仿宋_GB2312" w:cs="宋体"/>
          <w:color w:val="auto"/>
          <w:kern w:val="0"/>
          <w:sz w:val="32"/>
          <w:szCs w:val="32"/>
        </w:rPr>
        <w:t>年政务公开考法办法（试行）》认真梳理绩效考核体系中政务公开各项指标，根据中央、省市要求进行调整完善，将信息公开、政策解读、媒体参与等作为政务公开的重要内容纳入绩效考核体系。</w:t>
      </w:r>
    </w:p>
    <w:p w14:paraId="3183EE7D">
      <w:pPr>
        <w:spacing w:line="620" w:lineRule="exact"/>
        <w:ind w:firstLine="640" w:firstLineChars="200"/>
        <w:rPr>
          <w:rFonts w:ascii="仿宋_GB2312" w:hAnsi="仿宋" w:eastAsia="仿宋_GB2312"/>
          <w:sz w:val="32"/>
          <w:szCs w:val="32"/>
        </w:rPr>
      </w:pPr>
      <w:r>
        <w:rPr>
          <w:rFonts w:hint="eastAsia" w:ascii="楷体_GB2312" w:hAnsi="宋体" w:eastAsia="楷体_GB2312"/>
          <w:sz w:val="32"/>
          <w:szCs w:val="32"/>
        </w:rPr>
        <w:t>（四）加强培训交流。</w:t>
      </w:r>
      <w:r>
        <w:rPr>
          <w:rFonts w:hint="eastAsia" w:ascii="仿宋_GB2312" w:hAnsi="仿宋" w:eastAsia="仿宋_GB2312"/>
          <w:sz w:val="32"/>
          <w:szCs w:val="32"/>
        </w:rPr>
        <w:t>要将政府信息公开条例列入领导干部、公务员和政府工作人员培训内容，提升政务公开意识和能力。</w:t>
      </w:r>
      <w:r>
        <w:rPr>
          <w:rFonts w:hint="eastAsia" w:ascii="仿宋_GB2312" w:hAnsi="仿宋" w:eastAsia="仿宋_GB2312" w:cs="宋体"/>
          <w:color w:val="000000"/>
          <w:kern w:val="0"/>
          <w:sz w:val="32"/>
          <w:szCs w:val="32"/>
        </w:rPr>
        <w:t>要</w:t>
      </w:r>
      <w:r>
        <w:rPr>
          <w:rFonts w:hint="eastAsia" w:ascii="仿宋_GB2312" w:hAnsi="仿宋" w:eastAsia="仿宋_GB2312"/>
          <w:sz w:val="32"/>
          <w:szCs w:val="32"/>
        </w:rPr>
        <w:t>改进培训方式，增强培训的针对性、科学性、实效性，合理设置培训课程，提升培训效果。要探索创新，及时总结，积极向国办《政务公开工作交流》电子刊物和“政务公开看山东”“政务公开看平阴”专栏报送可复制可推广的经验和案例，加大交流力度，全面提升政务公开水平。</w:t>
      </w:r>
    </w:p>
    <w:p w14:paraId="099D9590">
      <w:pPr>
        <w:spacing w:line="620" w:lineRule="exact"/>
        <w:ind w:firstLine="640" w:firstLineChars="200"/>
        <w:rPr>
          <w:rFonts w:ascii="仿宋_GB2312" w:hAnsi="仿宋" w:eastAsia="仿宋_GB2312"/>
          <w:sz w:val="32"/>
          <w:szCs w:val="32"/>
        </w:rPr>
      </w:pPr>
    </w:p>
    <w:p w14:paraId="1B0FF2A6">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附：平阴县</w:t>
      </w:r>
      <w:r>
        <w:rPr>
          <w:rFonts w:ascii="仿宋_GB2312" w:hAnsi="仿宋" w:eastAsia="仿宋_GB2312"/>
          <w:sz w:val="32"/>
          <w:szCs w:val="32"/>
        </w:rPr>
        <w:t>2020</w:t>
      </w:r>
      <w:r>
        <w:rPr>
          <w:rFonts w:hint="eastAsia" w:ascii="仿宋_GB2312" w:hAnsi="仿宋" w:eastAsia="仿宋_GB2312"/>
          <w:sz w:val="32"/>
          <w:szCs w:val="32"/>
        </w:rPr>
        <w:t>年政务公开重点工作任务分解表</w:t>
      </w:r>
    </w:p>
    <w:p w14:paraId="7BC2384E">
      <w:pPr>
        <w:spacing w:line="620" w:lineRule="exact"/>
        <w:rPr>
          <w:rFonts w:ascii="仿宋_GB2312" w:hAnsi="仿宋" w:eastAsia="仿宋_GB2312"/>
          <w:sz w:val="32"/>
          <w:szCs w:val="32"/>
        </w:rPr>
        <w:sectPr>
          <w:footerReference r:id="rId3" w:type="default"/>
          <w:pgSz w:w="11906" w:h="16838"/>
          <w:pgMar w:top="1417" w:right="1417" w:bottom="1417" w:left="1417" w:header="851" w:footer="992" w:gutter="0"/>
          <w:cols w:space="425" w:num="1"/>
          <w:docGrid w:type="lines" w:linePitch="312" w:charSpace="0"/>
        </w:sectPr>
      </w:pPr>
    </w:p>
    <w:p w14:paraId="2783F900">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平阴县</w:t>
      </w: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年政务公开重点工作任务分解表</w:t>
      </w:r>
    </w:p>
    <w:p w14:paraId="0422A42A">
      <w:pPr>
        <w:spacing w:line="620" w:lineRule="exact"/>
        <w:jc w:val="center"/>
        <w:rPr>
          <w:rFonts w:hint="eastAsia" w:ascii="方正小标宋简体" w:hAnsi="方正小标宋简体" w:eastAsia="方正小标宋简体" w:cs="方正小标宋简体"/>
          <w:sz w:val="44"/>
          <w:szCs w:val="4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65"/>
        <w:gridCol w:w="7399"/>
        <w:gridCol w:w="4099"/>
      </w:tblGrid>
      <w:tr w14:paraId="3FA2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957" w:type="pct"/>
            <w:gridSpan w:val="2"/>
            <w:vAlign w:val="center"/>
          </w:tcPr>
          <w:p w14:paraId="74C1A200">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工作任务</w:t>
            </w:r>
          </w:p>
        </w:tc>
        <w:tc>
          <w:tcPr>
            <w:tcW w:w="2601" w:type="pct"/>
            <w:vAlign w:val="center"/>
          </w:tcPr>
          <w:p w14:paraId="5023550B">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具体要求</w:t>
            </w:r>
          </w:p>
        </w:tc>
        <w:tc>
          <w:tcPr>
            <w:tcW w:w="1441" w:type="pct"/>
            <w:vAlign w:val="center"/>
          </w:tcPr>
          <w:p w14:paraId="02ECE31D">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责任单位</w:t>
            </w:r>
          </w:p>
        </w:tc>
      </w:tr>
      <w:tr w14:paraId="00D8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77" w:type="pct"/>
            <w:vMerge w:val="restart"/>
            <w:vAlign w:val="center"/>
          </w:tcPr>
          <w:p w14:paraId="49DD887D">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围绕中心工作和重点领域，推进高质量政务公开</w:t>
            </w:r>
          </w:p>
        </w:tc>
        <w:tc>
          <w:tcPr>
            <w:tcW w:w="479" w:type="pct"/>
            <w:vMerge w:val="restart"/>
            <w:vAlign w:val="center"/>
          </w:tcPr>
          <w:p w14:paraId="18999837">
            <w:pPr>
              <w:widowControl/>
              <w:jc w:val="center"/>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围绕贯彻落实党的十九届四中全会精神加强用权公开</w:t>
            </w:r>
          </w:p>
        </w:tc>
        <w:tc>
          <w:tcPr>
            <w:tcW w:w="2601" w:type="pct"/>
            <w:vAlign w:val="center"/>
          </w:tcPr>
          <w:p w14:paraId="0CDFFCE2">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对照法律法规规章，全面梳理本单位依法行使的行政权力和依法承担的公共服务职责，更新完善权责清单并按要求公开。</w:t>
            </w:r>
          </w:p>
        </w:tc>
        <w:tc>
          <w:tcPr>
            <w:tcW w:w="1441" w:type="pct"/>
            <w:vAlign w:val="center"/>
          </w:tcPr>
          <w:p w14:paraId="30D49F41">
            <w:pPr>
              <w:widowControl/>
              <w:jc w:val="left"/>
              <w:rPr>
                <w:rFonts w:hint="default"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县委编办、</w:t>
            </w:r>
            <w:r>
              <w:rPr>
                <w:rFonts w:hint="eastAsia" w:ascii="仿宋_GB2312" w:eastAsia="仿宋_GB2312" w:cs="宋体"/>
                <w:color w:val="000000"/>
                <w:kern w:val="0"/>
                <w:sz w:val="24"/>
                <w:szCs w:val="24"/>
              </w:rPr>
              <w:t>各相关部门、各镇（街道）</w:t>
            </w:r>
          </w:p>
        </w:tc>
      </w:tr>
      <w:tr w14:paraId="3A40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77" w:type="pct"/>
            <w:vMerge w:val="continue"/>
            <w:vAlign w:val="center"/>
          </w:tcPr>
          <w:p w14:paraId="5CA1636C">
            <w:pPr>
              <w:widowControl/>
              <w:jc w:val="center"/>
              <w:rPr>
                <w:rFonts w:hint="eastAsia" w:ascii="仿宋_GB2312" w:eastAsia="仿宋_GB2312" w:cs="宋体"/>
                <w:color w:val="000000"/>
                <w:kern w:val="0"/>
                <w:sz w:val="24"/>
                <w:szCs w:val="24"/>
              </w:rPr>
            </w:pPr>
          </w:p>
        </w:tc>
        <w:tc>
          <w:tcPr>
            <w:tcW w:w="479" w:type="pct"/>
            <w:vMerge w:val="continue"/>
            <w:vAlign w:val="center"/>
          </w:tcPr>
          <w:p w14:paraId="6A49AEDB">
            <w:pPr>
              <w:widowControl/>
              <w:jc w:val="center"/>
              <w:rPr>
                <w:rFonts w:hint="eastAsia" w:ascii="仿宋_GB2312" w:eastAsia="仿宋_GB2312" w:cs="宋体"/>
                <w:color w:val="000000"/>
                <w:kern w:val="0"/>
                <w:sz w:val="24"/>
                <w:szCs w:val="24"/>
              </w:rPr>
            </w:pPr>
          </w:p>
        </w:tc>
        <w:tc>
          <w:tcPr>
            <w:tcW w:w="2601" w:type="pct"/>
            <w:vAlign w:val="center"/>
          </w:tcPr>
          <w:p w14:paraId="24B6CC5B">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各级各部门各单位依法公开工作职能、机构设置等信息，组织编写县级政府行政机关机构职能目录并向社会公开。</w:t>
            </w:r>
          </w:p>
        </w:tc>
        <w:tc>
          <w:tcPr>
            <w:tcW w:w="1441" w:type="pct"/>
            <w:vAlign w:val="center"/>
          </w:tcPr>
          <w:p w14:paraId="6678383A">
            <w:pPr>
              <w:widowControl/>
              <w:jc w:val="left"/>
              <w:rPr>
                <w:rFonts w:hint="eastAsia" w:ascii="仿宋_GB2312" w:hAnsi="等线" w:eastAsia="仿宋_GB2312" w:cs="宋体"/>
                <w:color w:val="000000"/>
                <w:kern w:val="0"/>
                <w:sz w:val="24"/>
                <w:szCs w:val="24"/>
                <w:lang w:val="en-US" w:eastAsia="zh-CN" w:bidi="ar-SA"/>
              </w:rPr>
            </w:pPr>
            <w:r>
              <w:rPr>
                <w:rFonts w:hint="eastAsia" w:ascii="仿宋_GB2312" w:eastAsia="仿宋_GB2312" w:cs="宋体"/>
                <w:color w:val="000000"/>
                <w:kern w:val="0"/>
                <w:sz w:val="24"/>
                <w:szCs w:val="24"/>
                <w:lang w:val="en-US" w:eastAsia="zh-CN"/>
              </w:rPr>
              <w:t>县委编办、</w:t>
            </w:r>
            <w:r>
              <w:rPr>
                <w:rFonts w:hint="eastAsia" w:ascii="仿宋_GB2312" w:eastAsia="仿宋_GB2312" w:cs="宋体"/>
                <w:color w:val="000000"/>
                <w:kern w:val="0"/>
                <w:sz w:val="24"/>
                <w:szCs w:val="24"/>
              </w:rPr>
              <w:t>各相关部门、各镇（街道）</w:t>
            </w:r>
          </w:p>
        </w:tc>
      </w:tr>
      <w:tr w14:paraId="095A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477" w:type="pct"/>
            <w:vMerge w:val="continue"/>
            <w:vAlign w:val="center"/>
          </w:tcPr>
          <w:p w14:paraId="161A02EB">
            <w:pPr>
              <w:widowControl/>
              <w:jc w:val="center"/>
              <w:rPr>
                <w:rFonts w:hint="eastAsia" w:ascii="仿宋_GB2312" w:eastAsia="仿宋_GB2312" w:cs="宋体"/>
                <w:color w:val="000000"/>
                <w:kern w:val="0"/>
                <w:sz w:val="24"/>
                <w:szCs w:val="24"/>
              </w:rPr>
            </w:pPr>
          </w:p>
        </w:tc>
        <w:tc>
          <w:tcPr>
            <w:tcW w:w="479" w:type="pct"/>
            <w:vMerge w:val="continue"/>
            <w:vAlign w:val="center"/>
          </w:tcPr>
          <w:p w14:paraId="7FCE4350">
            <w:pPr>
              <w:widowControl/>
              <w:jc w:val="center"/>
              <w:rPr>
                <w:rFonts w:hint="eastAsia" w:ascii="仿宋_GB2312" w:eastAsia="仿宋_GB2312" w:cs="宋体"/>
                <w:color w:val="000000"/>
                <w:kern w:val="0"/>
                <w:sz w:val="24"/>
                <w:szCs w:val="24"/>
              </w:rPr>
            </w:pPr>
          </w:p>
        </w:tc>
        <w:tc>
          <w:tcPr>
            <w:tcW w:w="2601" w:type="pct"/>
            <w:vAlign w:val="center"/>
          </w:tcPr>
          <w:p w14:paraId="65859345">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对照国务院部门制定的26个试点领域标准指引，结合政府权责清单和公共服务事项清单，全面梳理细化相关领域政务公开事项，2020年12月底前，编制完成政务公开事项标准目录，并通过政府网站向社会公布。</w:t>
            </w:r>
          </w:p>
        </w:tc>
        <w:tc>
          <w:tcPr>
            <w:tcW w:w="1441" w:type="pct"/>
            <w:vAlign w:val="center"/>
          </w:tcPr>
          <w:p w14:paraId="21A85E6D">
            <w:pPr>
              <w:widowControl/>
              <w:jc w:val="left"/>
              <w:rPr>
                <w:rFonts w:hint="eastAsia" w:ascii="仿宋_GB2312" w:hAnsi="等线" w:eastAsia="仿宋_GB2312" w:cs="宋体"/>
                <w:color w:val="000000"/>
                <w:kern w:val="0"/>
                <w:sz w:val="24"/>
                <w:szCs w:val="24"/>
                <w:lang w:val="en-US" w:eastAsia="zh-CN" w:bidi="ar-SA"/>
              </w:rPr>
            </w:pPr>
            <w:r>
              <w:rPr>
                <w:rFonts w:hint="eastAsia" w:ascii="仿宋_GB2312" w:eastAsia="仿宋_GB2312" w:cs="宋体"/>
                <w:color w:val="000000"/>
                <w:kern w:val="0"/>
                <w:sz w:val="24"/>
                <w:szCs w:val="24"/>
              </w:rPr>
              <w:t>各相关部门</w:t>
            </w:r>
          </w:p>
        </w:tc>
      </w:tr>
      <w:tr w14:paraId="5061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77" w:type="pct"/>
            <w:vMerge w:val="continue"/>
            <w:vAlign w:val="center"/>
          </w:tcPr>
          <w:p w14:paraId="75C9ACC0">
            <w:pPr>
              <w:widowControl/>
              <w:jc w:val="center"/>
              <w:rPr>
                <w:rFonts w:ascii="仿宋_GB2312" w:eastAsia="仿宋_GB2312" w:cs="宋体"/>
                <w:color w:val="000000"/>
                <w:kern w:val="0"/>
                <w:sz w:val="24"/>
                <w:szCs w:val="24"/>
              </w:rPr>
            </w:pPr>
          </w:p>
        </w:tc>
        <w:tc>
          <w:tcPr>
            <w:tcW w:w="479" w:type="pct"/>
            <w:vMerge w:val="restart"/>
            <w:vAlign w:val="center"/>
          </w:tcPr>
          <w:p w14:paraId="4D9B7B23">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围绕中心工作加强信息公开</w:t>
            </w:r>
          </w:p>
        </w:tc>
        <w:tc>
          <w:tcPr>
            <w:tcW w:w="2601" w:type="pct"/>
            <w:vAlign w:val="center"/>
          </w:tcPr>
          <w:p w14:paraId="644C57CA">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深入推进全县“</w:t>
            </w:r>
            <w:r>
              <w:rPr>
                <w:rFonts w:ascii="仿宋_GB2312" w:eastAsia="仿宋_GB2312" w:cs="宋体"/>
                <w:color w:val="000000"/>
                <w:kern w:val="0"/>
                <w:sz w:val="24"/>
                <w:szCs w:val="24"/>
              </w:rPr>
              <w:t>1463</w:t>
            </w:r>
            <w:r>
              <w:rPr>
                <w:rFonts w:hint="eastAsia" w:ascii="仿宋_GB2312" w:eastAsia="仿宋_GB2312" w:cs="宋体"/>
                <w:color w:val="000000"/>
                <w:kern w:val="0"/>
                <w:sz w:val="24"/>
                <w:szCs w:val="24"/>
              </w:rPr>
              <w:t>”工作体系，重点围绕新旧动能转换、乡村振兴、双招双引、城</w:t>
            </w:r>
            <w:r>
              <w:rPr>
                <w:rFonts w:hint="eastAsia" w:ascii="仿宋_GB2312" w:eastAsia="仿宋_GB2312" w:cs="宋体"/>
                <w:color w:val="000000"/>
                <w:kern w:val="0"/>
                <w:sz w:val="24"/>
                <w:szCs w:val="24"/>
                <w:lang w:val="en-US" w:eastAsia="zh-CN"/>
              </w:rPr>
              <w:t>市建设</w:t>
            </w:r>
            <w:r>
              <w:rPr>
                <w:rFonts w:hint="eastAsia" w:ascii="仿宋_GB2312" w:eastAsia="仿宋_GB2312" w:cs="宋体"/>
                <w:color w:val="000000"/>
                <w:kern w:val="0"/>
                <w:sz w:val="24"/>
                <w:szCs w:val="24"/>
              </w:rPr>
              <w:t>管理、</w:t>
            </w:r>
            <w:r>
              <w:rPr>
                <w:rFonts w:hint="eastAsia" w:ascii="仿宋_GB2312" w:eastAsia="仿宋_GB2312" w:cs="宋体"/>
                <w:color w:val="000000"/>
                <w:kern w:val="0"/>
                <w:sz w:val="24"/>
                <w:szCs w:val="24"/>
                <w:lang w:val="en-US" w:eastAsia="zh-CN"/>
              </w:rPr>
              <w:t>经济开发区</w:t>
            </w:r>
            <w:r>
              <w:rPr>
                <w:rFonts w:hint="eastAsia" w:ascii="仿宋_GB2312" w:eastAsia="仿宋_GB2312" w:cs="宋体"/>
                <w:color w:val="000000"/>
                <w:kern w:val="0"/>
                <w:sz w:val="24"/>
                <w:szCs w:val="24"/>
              </w:rPr>
              <w:t>建设、玫瑰</w:t>
            </w:r>
            <w:r>
              <w:rPr>
                <w:rFonts w:hint="eastAsia" w:ascii="仿宋_GB2312" w:eastAsia="仿宋_GB2312" w:cs="宋体"/>
                <w:color w:val="000000"/>
                <w:kern w:val="0"/>
                <w:sz w:val="24"/>
                <w:szCs w:val="24"/>
                <w:lang w:val="en-US" w:eastAsia="zh-CN"/>
              </w:rPr>
              <w:t>阿胶</w:t>
            </w:r>
            <w:r>
              <w:rPr>
                <w:rFonts w:hint="eastAsia" w:ascii="仿宋_GB2312" w:eastAsia="仿宋_GB2312" w:cs="宋体"/>
                <w:color w:val="000000"/>
                <w:kern w:val="0"/>
                <w:sz w:val="24"/>
                <w:szCs w:val="24"/>
              </w:rPr>
              <w:t>产业等领域加强信息公开。</w:t>
            </w:r>
          </w:p>
        </w:tc>
        <w:tc>
          <w:tcPr>
            <w:tcW w:w="1441" w:type="pct"/>
            <w:vAlign w:val="center"/>
          </w:tcPr>
          <w:p w14:paraId="6CA3018C">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5A8C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pct"/>
            <w:vMerge w:val="continue"/>
            <w:vAlign w:val="center"/>
          </w:tcPr>
          <w:p w14:paraId="72ED2CEE">
            <w:pPr>
              <w:widowControl/>
              <w:jc w:val="center"/>
              <w:rPr>
                <w:rFonts w:ascii="仿宋_GB2312" w:eastAsia="仿宋_GB2312" w:cs="宋体"/>
                <w:color w:val="000000"/>
                <w:kern w:val="0"/>
                <w:sz w:val="24"/>
                <w:szCs w:val="24"/>
              </w:rPr>
            </w:pPr>
          </w:p>
        </w:tc>
        <w:tc>
          <w:tcPr>
            <w:tcW w:w="479" w:type="pct"/>
            <w:vMerge w:val="continue"/>
            <w:vAlign w:val="center"/>
          </w:tcPr>
          <w:p w14:paraId="5CEFB8F8">
            <w:pPr>
              <w:widowControl/>
              <w:jc w:val="center"/>
              <w:rPr>
                <w:rFonts w:ascii="仿宋_GB2312" w:eastAsia="仿宋_GB2312" w:cs="宋体"/>
                <w:color w:val="000000"/>
                <w:kern w:val="0"/>
                <w:sz w:val="24"/>
                <w:szCs w:val="24"/>
              </w:rPr>
            </w:pPr>
          </w:p>
        </w:tc>
        <w:tc>
          <w:tcPr>
            <w:tcW w:w="2601" w:type="pct"/>
            <w:vAlign w:val="center"/>
          </w:tcPr>
          <w:p w14:paraId="36D1C16C">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着力推进财政预决算、公共资源配置、重大建设项目的批准实施监督等重点领域信息公开。</w:t>
            </w:r>
          </w:p>
        </w:tc>
        <w:tc>
          <w:tcPr>
            <w:tcW w:w="1441" w:type="pct"/>
            <w:vAlign w:val="center"/>
          </w:tcPr>
          <w:p w14:paraId="18FF455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5F7C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77" w:type="pct"/>
            <w:vMerge w:val="continue"/>
            <w:vAlign w:val="center"/>
          </w:tcPr>
          <w:p w14:paraId="059BCC59">
            <w:pPr>
              <w:widowControl/>
              <w:jc w:val="center"/>
              <w:rPr>
                <w:rFonts w:ascii="仿宋_GB2312" w:eastAsia="仿宋_GB2312" w:cs="宋体"/>
                <w:color w:val="000000"/>
                <w:kern w:val="0"/>
                <w:sz w:val="24"/>
                <w:szCs w:val="24"/>
              </w:rPr>
            </w:pPr>
          </w:p>
        </w:tc>
        <w:tc>
          <w:tcPr>
            <w:tcW w:w="479" w:type="pct"/>
            <w:vMerge w:val="continue"/>
            <w:vAlign w:val="center"/>
          </w:tcPr>
          <w:p w14:paraId="3F1B645D">
            <w:pPr>
              <w:widowControl/>
              <w:jc w:val="center"/>
              <w:rPr>
                <w:rFonts w:ascii="仿宋_GB2312" w:eastAsia="仿宋_GB2312" w:cs="宋体"/>
                <w:color w:val="000000"/>
                <w:kern w:val="0"/>
                <w:sz w:val="24"/>
                <w:szCs w:val="24"/>
              </w:rPr>
            </w:pPr>
          </w:p>
        </w:tc>
        <w:tc>
          <w:tcPr>
            <w:tcW w:w="2601" w:type="pct"/>
            <w:vAlign w:val="center"/>
          </w:tcPr>
          <w:p w14:paraId="33B00856">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积极推动普惠性学前教育、义务教育招生入学及优质均衡发展、高中教育、民办教育、职业教育高质量规范发展等信息公开。</w:t>
            </w:r>
          </w:p>
        </w:tc>
        <w:tc>
          <w:tcPr>
            <w:tcW w:w="1441" w:type="pct"/>
            <w:vAlign w:val="center"/>
          </w:tcPr>
          <w:p w14:paraId="2DDB357D">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县教体局</w:t>
            </w:r>
          </w:p>
        </w:tc>
      </w:tr>
      <w:tr w14:paraId="088F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77" w:type="pct"/>
            <w:vMerge w:val="continue"/>
            <w:vAlign w:val="center"/>
          </w:tcPr>
          <w:p w14:paraId="65D12001">
            <w:pPr>
              <w:widowControl/>
              <w:jc w:val="center"/>
              <w:rPr>
                <w:rFonts w:ascii="仿宋_GB2312" w:eastAsia="仿宋_GB2312" w:cs="宋体"/>
                <w:color w:val="000000"/>
                <w:kern w:val="0"/>
                <w:sz w:val="24"/>
                <w:szCs w:val="24"/>
              </w:rPr>
            </w:pPr>
          </w:p>
        </w:tc>
        <w:tc>
          <w:tcPr>
            <w:tcW w:w="479" w:type="pct"/>
            <w:vMerge w:val="continue"/>
            <w:vAlign w:val="center"/>
          </w:tcPr>
          <w:p w14:paraId="15B33B9A">
            <w:pPr>
              <w:widowControl/>
              <w:jc w:val="center"/>
              <w:rPr>
                <w:rFonts w:ascii="仿宋_GB2312" w:eastAsia="仿宋_GB2312" w:cs="宋体"/>
                <w:color w:val="000000"/>
                <w:kern w:val="0"/>
                <w:sz w:val="24"/>
                <w:szCs w:val="24"/>
              </w:rPr>
            </w:pPr>
          </w:p>
        </w:tc>
        <w:tc>
          <w:tcPr>
            <w:tcW w:w="2601" w:type="pct"/>
            <w:vAlign w:val="center"/>
          </w:tcPr>
          <w:p w14:paraId="76F48F3E">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着重做好就业创业政策措施公开，加大高校毕业生、农民工、退役军人等就业创业信息公开力度。</w:t>
            </w:r>
          </w:p>
        </w:tc>
        <w:tc>
          <w:tcPr>
            <w:tcW w:w="1441" w:type="pct"/>
            <w:vAlign w:val="center"/>
          </w:tcPr>
          <w:p w14:paraId="3C8EBD39">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县人社局、教体局、退役军人事务局</w:t>
            </w:r>
          </w:p>
        </w:tc>
      </w:tr>
      <w:tr w14:paraId="4152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77" w:type="pct"/>
            <w:vMerge w:val="continue"/>
            <w:vAlign w:val="center"/>
          </w:tcPr>
          <w:p w14:paraId="48D680D8">
            <w:pPr>
              <w:widowControl/>
              <w:jc w:val="center"/>
              <w:rPr>
                <w:rFonts w:ascii="仿宋_GB2312" w:eastAsia="仿宋_GB2312" w:cs="宋体"/>
                <w:color w:val="000000"/>
                <w:kern w:val="0"/>
                <w:sz w:val="24"/>
                <w:szCs w:val="24"/>
              </w:rPr>
            </w:pPr>
          </w:p>
        </w:tc>
        <w:tc>
          <w:tcPr>
            <w:tcW w:w="479" w:type="pct"/>
            <w:vMerge w:val="continue"/>
            <w:vAlign w:val="center"/>
          </w:tcPr>
          <w:p w14:paraId="068AB802">
            <w:pPr>
              <w:widowControl/>
              <w:jc w:val="center"/>
              <w:rPr>
                <w:rFonts w:ascii="仿宋_GB2312" w:eastAsia="仿宋_GB2312" w:cs="宋体"/>
                <w:color w:val="000000"/>
                <w:kern w:val="0"/>
                <w:sz w:val="24"/>
                <w:szCs w:val="24"/>
              </w:rPr>
            </w:pPr>
          </w:p>
        </w:tc>
        <w:tc>
          <w:tcPr>
            <w:tcW w:w="2601" w:type="pct"/>
            <w:vAlign w:val="center"/>
          </w:tcPr>
          <w:p w14:paraId="5B349675">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稳步推进企业职工基本养老保险基金省级统收统支、工伤保险基金省级统筹和医保异地就医联网医疗机构公开。</w:t>
            </w:r>
          </w:p>
        </w:tc>
        <w:tc>
          <w:tcPr>
            <w:tcW w:w="1441" w:type="pct"/>
            <w:vAlign w:val="center"/>
          </w:tcPr>
          <w:p w14:paraId="1B1F812C">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县人社局、医保局</w:t>
            </w:r>
          </w:p>
        </w:tc>
      </w:tr>
      <w:tr w14:paraId="6B3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7" w:type="pct"/>
            <w:vMerge w:val="continue"/>
            <w:vAlign w:val="center"/>
          </w:tcPr>
          <w:p w14:paraId="4B99DC92">
            <w:pPr>
              <w:widowControl/>
              <w:jc w:val="center"/>
              <w:rPr>
                <w:rFonts w:ascii="仿宋_GB2312" w:eastAsia="仿宋_GB2312" w:cs="宋体"/>
                <w:color w:val="000000"/>
                <w:kern w:val="0"/>
                <w:sz w:val="24"/>
                <w:szCs w:val="24"/>
              </w:rPr>
            </w:pPr>
          </w:p>
        </w:tc>
        <w:tc>
          <w:tcPr>
            <w:tcW w:w="479" w:type="pct"/>
            <w:vMerge w:val="continue"/>
            <w:vAlign w:val="center"/>
          </w:tcPr>
          <w:p w14:paraId="79CF0179">
            <w:pPr>
              <w:widowControl/>
              <w:jc w:val="center"/>
              <w:rPr>
                <w:rFonts w:ascii="仿宋_GB2312" w:eastAsia="仿宋_GB2312" w:cs="宋体"/>
                <w:color w:val="000000"/>
                <w:kern w:val="0"/>
                <w:sz w:val="24"/>
                <w:szCs w:val="24"/>
              </w:rPr>
            </w:pPr>
          </w:p>
        </w:tc>
        <w:tc>
          <w:tcPr>
            <w:tcW w:w="2601" w:type="pct"/>
            <w:vAlign w:val="center"/>
          </w:tcPr>
          <w:p w14:paraId="50B1D057">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深化城乡低保、特困人员救助、</w:t>
            </w:r>
            <w:r>
              <w:rPr>
                <w:rFonts w:hint="eastAsia" w:ascii="仿宋_GB2312" w:eastAsia="仿宋_GB2312" w:cs="宋体"/>
                <w:color w:val="000000"/>
                <w:kern w:val="0"/>
                <w:sz w:val="24"/>
                <w:szCs w:val="24"/>
                <w:lang w:val="en-US" w:eastAsia="zh-CN"/>
              </w:rPr>
              <w:t>医疗救助、</w:t>
            </w:r>
            <w:r>
              <w:rPr>
                <w:rFonts w:hint="eastAsia" w:ascii="仿宋_GB2312" w:eastAsia="仿宋_GB2312" w:cs="宋体"/>
                <w:color w:val="000000"/>
                <w:kern w:val="0"/>
                <w:sz w:val="24"/>
                <w:szCs w:val="24"/>
              </w:rPr>
              <w:t>临时救助、孤儿、农村留守儿童、残疾人、老年人等社会救助和社会福利信息公开。做好</w:t>
            </w:r>
            <w:r>
              <w:rPr>
                <w:rFonts w:hint="eastAsia" w:ascii="仿宋_GB2312" w:eastAsia="仿宋_GB2312" w:cs="宋体"/>
                <w:color w:val="000000"/>
                <w:kern w:val="0"/>
                <w:sz w:val="24"/>
                <w:szCs w:val="24"/>
                <w:lang w:val="en-US" w:eastAsia="zh-CN"/>
              </w:rPr>
              <w:t>社会救助、社会福利</w:t>
            </w:r>
            <w:r>
              <w:rPr>
                <w:rFonts w:hint="eastAsia" w:ascii="仿宋_GB2312" w:eastAsia="仿宋_GB2312" w:cs="宋体"/>
                <w:color w:val="000000"/>
                <w:kern w:val="0"/>
                <w:sz w:val="24"/>
                <w:szCs w:val="24"/>
              </w:rPr>
              <w:t>服务领域政策指引，公开</w:t>
            </w:r>
            <w:r>
              <w:rPr>
                <w:rFonts w:hint="eastAsia" w:ascii="仿宋_GB2312" w:eastAsia="仿宋_GB2312" w:cs="宋体"/>
                <w:color w:val="000000"/>
                <w:kern w:val="0"/>
                <w:sz w:val="24"/>
                <w:szCs w:val="24"/>
                <w:lang w:val="en-US" w:eastAsia="zh-CN"/>
              </w:rPr>
              <w:t>服务</w:t>
            </w:r>
            <w:r>
              <w:rPr>
                <w:rFonts w:hint="eastAsia" w:ascii="仿宋_GB2312" w:eastAsia="仿宋_GB2312" w:cs="宋体"/>
                <w:color w:val="000000"/>
                <w:kern w:val="0"/>
                <w:sz w:val="24"/>
                <w:szCs w:val="24"/>
              </w:rPr>
              <w:t>清单、服务指南、服务标准</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lang w:val="en-US" w:eastAsia="zh-CN"/>
              </w:rPr>
              <w:t>资金支出</w:t>
            </w:r>
            <w:r>
              <w:rPr>
                <w:rFonts w:hint="eastAsia" w:ascii="仿宋_GB2312" w:eastAsia="仿宋_GB2312" w:cs="宋体"/>
                <w:color w:val="000000"/>
                <w:kern w:val="0"/>
                <w:sz w:val="24"/>
                <w:szCs w:val="24"/>
              </w:rPr>
              <w:t>等信息。</w:t>
            </w:r>
          </w:p>
        </w:tc>
        <w:tc>
          <w:tcPr>
            <w:tcW w:w="1441" w:type="pct"/>
            <w:vAlign w:val="center"/>
          </w:tcPr>
          <w:p w14:paraId="27AF01C4">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县民政局、</w:t>
            </w:r>
            <w:r>
              <w:rPr>
                <w:rFonts w:hint="eastAsia" w:ascii="仿宋_GB2312" w:eastAsia="仿宋_GB2312" w:cs="宋体"/>
                <w:color w:val="000000"/>
                <w:kern w:val="0"/>
                <w:sz w:val="24"/>
                <w:szCs w:val="24"/>
                <w:lang w:val="en-US" w:eastAsia="zh-CN"/>
              </w:rPr>
              <w:t>卫健局、</w:t>
            </w:r>
            <w:r>
              <w:rPr>
                <w:rFonts w:hint="eastAsia" w:ascii="仿宋_GB2312" w:eastAsia="仿宋_GB2312" w:cs="宋体"/>
                <w:color w:val="000000"/>
                <w:kern w:val="0"/>
                <w:sz w:val="24"/>
                <w:szCs w:val="24"/>
              </w:rPr>
              <w:t>医保局、</w:t>
            </w:r>
            <w:r>
              <w:rPr>
                <w:rFonts w:hint="eastAsia" w:ascii="仿宋_GB2312" w:eastAsia="仿宋_GB2312" w:cs="宋体"/>
                <w:color w:val="000000"/>
                <w:kern w:val="0"/>
                <w:sz w:val="24"/>
                <w:szCs w:val="24"/>
                <w:lang w:val="en-US" w:eastAsia="zh-CN"/>
              </w:rPr>
              <w:t>残联</w:t>
            </w:r>
          </w:p>
        </w:tc>
      </w:tr>
      <w:tr w14:paraId="7C7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7" w:type="pct"/>
            <w:vMerge w:val="continue"/>
            <w:vAlign w:val="center"/>
          </w:tcPr>
          <w:p w14:paraId="24FFB315">
            <w:pPr>
              <w:widowControl/>
              <w:jc w:val="center"/>
              <w:rPr>
                <w:rFonts w:ascii="仿宋_GB2312" w:eastAsia="仿宋_GB2312" w:cs="宋体"/>
                <w:color w:val="000000"/>
                <w:kern w:val="0"/>
                <w:sz w:val="24"/>
                <w:szCs w:val="24"/>
              </w:rPr>
            </w:pPr>
          </w:p>
        </w:tc>
        <w:tc>
          <w:tcPr>
            <w:tcW w:w="479" w:type="pct"/>
            <w:vMerge w:val="continue"/>
            <w:vAlign w:val="center"/>
          </w:tcPr>
          <w:p w14:paraId="284D4B2D">
            <w:pPr>
              <w:widowControl/>
              <w:jc w:val="center"/>
              <w:rPr>
                <w:rFonts w:ascii="仿宋_GB2312" w:eastAsia="仿宋_GB2312" w:cs="宋体"/>
                <w:color w:val="000000"/>
                <w:kern w:val="0"/>
                <w:sz w:val="24"/>
                <w:szCs w:val="24"/>
              </w:rPr>
            </w:pPr>
          </w:p>
        </w:tc>
        <w:tc>
          <w:tcPr>
            <w:tcW w:w="2601" w:type="pct"/>
            <w:vAlign w:val="center"/>
          </w:tcPr>
          <w:p w14:paraId="415FF12F">
            <w:pPr>
              <w:widowControl/>
              <w:jc w:val="left"/>
              <w:rPr>
                <w:rFonts w:ascii="仿宋_GB2312" w:eastAsia="仿宋_GB2312" w:cs="宋体"/>
                <w:color w:val="auto"/>
                <w:kern w:val="0"/>
                <w:sz w:val="24"/>
                <w:szCs w:val="24"/>
              </w:rPr>
            </w:pPr>
            <w:r>
              <w:rPr>
                <w:rFonts w:hint="eastAsia" w:ascii="仿宋_GB2312" w:eastAsia="仿宋_GB2312" w:cs="宋体"/>
                <w:color w:val="auto"/>
                <w:kern w:val="0"/>
                <w:sz w:val="24"/>
                <w:szCs w:val="24"/>
              </w:rPr>
              <w:t>推进健康扶贫、医疗服务、公共卫生</w:t>
            </w:r>
            <w:r>
              <w:rPr>
                <w:rFonts w:hint="eastAsia" w:ascii="仿宋_GB2312" w:eastAsia="仿宋_GB2312" w:cs="宋体"/>
                <w:color w:val="auto"/>
                <w:kern w:val="0"/>
                <w:sz w:val="24"/>
                <w:szCs w:val="24"/>
                <w:lang w:eastAsia="zh-CN"/>
              </w:rPr>
              <w:t>、</w:t>
            </w:r>
            <w:r>
              <w:rPr>
                <w:rFonts w:hint="eastAsia" w:ascii="仿宋_GB2312" w:eastAsia="仿宋_GB2312" w:cs="宋体"/>
                <w:color w:val="auto"/>
                <w:kern w:val="0"/>
                <w:sz w:val="24"/>
                <w:szCs w:val="24"/>
              </w:rPr>
              <w:t>重大疾病防治、药品安全、医保监管等方面信息公开。落实药品、医用耗材价格监测和医疗服务价格信息发布制度。</w:t>
            </w:r>
          </w:p>
        </w:tc>
        <w:tc>
          <w:tcPr>
            <w:tcW w:w="1441" w:type="pct"/>
            <w:vAlign w:val="center"/>
          </w:tcPr>
          <w:p w14:paraId="1C426E9E">
            <w:pPr>
              <w:widowControl/>
              <w:jc w:val="left"/>
              <w:rPr>
                <w:rFonts w:hint="default"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rPr>
              <w:t>县卫健局、医保局、市场监管局</w:t>
            </w:r>
            <w:r>
              <w:rPr>
                <w:rFonts w:hint="eastAsia" w:ascii="仿宋_GB2312" w:eastAsia="仿宋_GB2312" w:cs="宋体"/>
                <w:color w:val="auto"/>
                <w:kern w:val="0"/>
                <w:sz w:val="24"/>
                <w:szCs w:val="24"/>
                <w:lang w:eastAsia="zh-CN"/>
              </w:rPr>
              <w:t>、</w:t>
            </w:r>
            <w:r>
              <w:rPr>
                <w:rFonts w:hint="eastAsia" w:ascii="仿宋_GB2312" w:eastAsia="仿宋_GB2312" w:cs="宋体"/>
                <w:color w:val="auto"/>
                <w:kern w:val="0"/>
                <w:sz w:val="24"/>
                <w:szCs w:val="24"/>
                <w:lang w:val="en-US" w:eastAsia="zh-CN"/>
              </w:rPr>
              <w:t>发改局</w:t>
            </w:r>
          </w:p>
        </w:tc>
      </w:tr>
      <w:tr w14:paraId="1814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77" w:type="pct"/>
            <w:vMerge w:val="continue"/>
            <w:vAlign w:val="center"/>
          </w:tcPr>
          <w:p w14:paraId="10455AF7">
            <w:pPr>
              <w:widowControl/>
              <w:jc w:val="center"/>
              <w:rPr>
                <w:rFonts w:ascii="仿宋_GB2312" w:eastAsia="仿宋_GB2312" w:cs="宋体"/>
                <w:color w:val="000000"/>
                <w:kern w:val="0"/>
                <w:sz w:val="24"/>
                <w:szCs w:val="24"/>
              </w:rPr>
            </w:pPr>
          </w:p>
        </w:tc>
        <w:tc>
          <w:tcPr>
            <w:tcW w:w="479" w:type="pct"/>
            <w:vMerge w:val="continue"/>
            <w:vAlign w:val="center"/>
          </w:tcPr>
          <w:p w14:paraId="5465088A">
            <w:pPr>
              <w:widowControl/>
              <w:jc w:val="center"/>
              <w:rPr>
                <w:rFonts w:ascii="仿宋_GB2312" w:eastAsia="仿宋_GB2312" w:cs="宋体"/>
                <w:color w:val="000000"/>
                <w:kern w:val="0"/>
                <w:sz w:val="24"/>
                <w:szCs w:val="24"/>
              </w:rPr>
            </w:pPr>
          </w:p>
        </w:tc>
        <w:tc>
          <w:tcPr>
            <w:tcW w:w="2601" w:type="pct"/>
            <w:vAlign w:val="center"/>
          </w:tcPr>
          <w:p w14:paraId="1892748B">
            <w:pPr>
              <w:widowControl/>
              <w:jc w:val="left"/>
              <w:rPr>
                <w:rFonts w:ascii="仿宋_GB2312" w:eastAsia="仿宋_GB2312" w:cs="宋体"/>
                <w:color w:val="auto"/>
                <w:kern w:val="0"/>
                <w:sz w:val="24"/>
                <w:szCs w:val="24"/>
              </w:rPr>
            </w:pPr>
            <w:r>
              <w:rPr>
                <w:rFonts w:hint="eastAsia" w:ascii="仿宋_GB2312" w:eastAsia="仿宋_GB2312" w:cs="宋体"/>
                <w:color w:val="auto"/>
                <w:kern w:val="0"/>
                <w:sz w:val="24"/>
                <w:szCs w:val="24"/>
              </w:rPr>
              <w:t>多渠道公开脱贫攻坚、污染防治、防范化解重大风险信息公开，助力“三大攻坚战”取得决定性胜利。</w:t>
            </w:r>
          </w:p>
        </w:tc>
        <w:tc>
          <w:tcPr>
            <w:tcW w:w="1441" w:type="pct"/>
            <w:vAlign w:val="center"/>
          </w:tcPr>
          <w:p w14:paraId="4BDD8B64">
            <w:pPr>
              <w:widowControl/>
              <w:jc w:val="left"/>
              <w:rPr>
                <w:rFonts w:ascii="仿宋_GB2312" w:eastAsia="仿宋_GB2312" w:cs="宋体"/>
                <w:color w:val="auto"/>
                <w:kern w:val="0"/>
                <w:sz w:val="24"/>
                <w:szCs w:val="24"/>
              </w:rPr>
            </w:pPr>
            <w:r>
              <w:rPr>
                <w:rFonts w:hint="eastAsia" w:ascii="仿宋_GB2312" w:eastAsia="仿宋_GB2312" w:cs="宋体"/>
                <w:color w:val="auto"/>
                <w:kern w:val="0"/>
                <w:sz w:val="24"/>
                <w:szCs w:val="24"/>
              </w:rPr>
              <w:t>县扶贫办、生态环境局平阴分局、发改局、财政局、应急局、公安局、</w:t>
            </w:r>
            <w:r>
              <w:rPr>
                <w:rFonts w:hint="eastAsia" w:ascii="仿宋_GB2312" w:eastAsia="仿宋_GB2312" w:cs="宋体"/>
                <w:color w:val="auto"/>
                <w:kern w:val="0"/>
                <w:sz w:val="24"/>
                <w:szCs w:val="24"/>
                <w:lang w:val="en-US" w:eastAsia="zh-CN"/>
              </w:rPr>
              <w:t>金融事业发展中心、</w:t>
            </w:r>
            <w:r>
              <w:rPr>
                <w:rFonts w:hint="eastAsia" w:ascii="仿宋_GB2312" w:eastAsia="仿宋_GB2312" w:cs="宋体"/>
                <w:color w:val="auto"/>
                <w:kern w:val="0"/>
                <w:sz w:val="24"/>
                <w:szCs w:val="24"/>
              </w:rPr>
              <w:t>各镇（街道）</w:t>
            </w:r>
          </w:p>
        </w:tc>
      </w:tr>
      <w:tr w14:paraId="75A1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7" w:type="pct"/>
            <w:vMerge w:val="continue"/>
            <w:vAlign w:val="center"/>
          </w:tcPr>
          <w:p w14:paraId="3AF7A5D0">
            <w:pPr>
              <w:widowControl/>
              <w:jc w:val="center"/>
              <w:rPr>
                <w:rFonts w:ascii="仿宋_GB2312" w:eastAsia="仿宋_GB2312" w:cs="宋体"/>
                <w:color w:val="000000"/>
                <w:kern w:val="0"/>
                <w:sz w:val="24"/>
                <w:szCs w:val="24"/>
              </w:rPr>
            </w:pPr>
          </w:p>
        </w:tc>
        <w:tc>
          <w:tcPr>
            <w:tcW w:w="479" w:type="pct"/>
            <w:vMerge w:val="continue"/>
            <w:vAlign w:val="center"/>
          </w:tcPr>
          <w:p w14:paraId="7D488A96">
            <w:pPr>
              <w:widowControl/>
              <w:jc w:val="center"/>
              <w:rPr>
                <w:rFonts w:ascii="仿宋_GB2312" w:eastAsia="仿宋_GB2312" w:cs="宋体"/>
                <w:color w:val="000000"/>
                <w:kern w:val="0"/>
                <w:sz w:val="24"/>
                <w:szCs w:val="24"/>
              </w:rPr>
            </w:pPr>
          </w:p>
        </w:tc>
        <w:tc>
          <w:tcPr>
            <w:tcW w:w="2601" w:type="pct"/>
            <w:vAlign w:val="center"/>
          </w:tcPr>
          <w:p w14:paraId="79655357">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充分利用网站等平台主动公开</w:t>
            </w:r>
            <w:r>
              <w:rPr>
                <w:rFonts w:ascii="仿宋_GB2312" w:eastAsia="仿宋_GB2312" w:cs="宋体"/>
                <w:color w:val="000000"/>
                <w:kern w:val="0"/>
                <w:sz w:val="24"/>
                <w:szCs w:val="24"/>
              </w:rPr>
              <w:t>2020</w:t>
            </w:r>
            <w:r>
              <w:rPr>
                <w:rFonts w:hint="eastAsia" w:ascii="仿宋_GB2312" w:eastAsia="仿宋_GB2312" w:cs="宋体"/>
                <w:color w:val="000000"/>
                <w:kern w:val="0"/>
                <w:sz w:val="24"/>
                <w:szCs w:val="24"/>
              </w:rPr>
              <w:t>年我县重点任务、重点工程、重点项目工作进展，确保各项工作落实到位。</w:t>
            </w:r>
          </w:p>
        </w:tc>
        <w:tc>
          <w:tcPr>
            <w:tcW w:w="1441" w:type="pct"/>
            <w:vAlign w:val="center"/>
          </w:tcPr>
          <w:p w14:paraId="01E49F4F">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682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7" w:type="pct"/>
            <w:vMerge w:val="continue"/>
            <w:vAlign w:val="center"/>
          </w:tcPr>
          <w:p w14:paraId="3E61AF47">
            <w:pPr>
              <w:widowControl/>
              <w:jc w:val="center"/>
              <w:rPr>
                <w:rFonts w:ascii="仿宋_GB2312" w:eastAsia="仿宋_GB2312" w:cs="宋体"/>
                <w:color w:val="000000"/>
                <w:kern w:val="0"/>
                <w:sz w:val="24"/>
                <w:szCs w:val="24"/>
              </w:rPr>
            </w:pPr>
          </w:p>
        </w:tc>
        <w:tc>
          <w:tcPr>
            <w:tcW w:w="479" w:type="pct"/>
            <w:vMerge w:val="restart"/>
            <w:vAlign w:val="center"/>
          </w:tcPr>
          <w:p w14:paraId="14480BDB">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围绕“六稳”“六保”工作加强政策发布解读回应</w:t>
            </w:r>
          </w:p>
        </w:tc>
        <w:tc>
          <w:tcPr>
            <w:tcW w:w="2601" w:type="pct"/>
            <w:vAlign w:val="center"/>
          </w:tcPr>
          <w:p w14:paraId="6DF68531">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加大政策解读力度，全面阐释稳就业、稳金融、稳外贸、稳外资、稳投资、稳预期各项政策举措及其效果，实时发布保居民就业、保基本民生、保市场主体、保粮食能源安全、保产业链供应链稳定、保基层运转等相关政策信息。</w:t>
            </w:r>
          </w:p>
        </w:tc>
        <w:tc>
          <w:tcPr>
            <w:tcW w:w="1441" w:type="pct"/>
            <w:vAlign w:val="center"/>
          </w:tcPr>
          <w:p w14:paraId="2D507D65">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4453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7" w:type="pct"/>
            <w:vMerge w:val="continue"/>
            <w:vAlign w:val="center"/>
          </w:tcPr>
          <w:p w14:paraId="78F291FF">
            <w:pPr>
              <w:widowControl/>
              <w:jc w:val="center"/>
              <w:rPr>
                <w:rFonts w:ascii="仿宋_GB2312" w:eastAsia="仿宋_GB2312" w:cs="宋体"/>
                <w:color w:val="000000"/>
                <w:kern w:val="0"/>
                <w:sz w:val="24"/>
                <w:szCs w:val="24"/>
              </w:rPr>
            </w:pPr>
          </w:p>
        </w:tc>
        <w:tc>
          <w:tcPr>
            <w:tcW w:w="479" w:type="pct"/>
            <w:vMerge w:val="continue"/>
            <w:vAlign w:val="center"/>
          </w:tcPr>
          <w:p w14:paraId="6CC03042">
            <w:pPr>
              <w:widowControl/>
              <w:jc w:val="center"/>
              <w:rPr>
                <w:rFonts w:ascii="仿宋_GB2312" w:eastAsia="仿宋_GB2312" w:cs="宋体"/>
                <w:color w:val="000000"/>
                <w:kern w:val="0"/>
                <w:sz w:val="24"/>
                <w:szCs w:val="24"/>
              </w:rPr>
            </w:pPr>
          </w:p>
        </w:tc>
        <w:tc>
          <w:tcPr>
            <w:tcW w:w="2601" w:type="pct"/>
            <w:vAlign w:val="center"/>
          </w:tcPr>
          <w:p w14:paraId="2294DD80">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拓宽发布渠道，丰富内容形式，充分阐释经济运行总体平稳，稳中有进，长期向好态势、有效提振市场信心。落实政务舆情回应责任，加强舆论引导，对经济社会发展热点、群众办事堵点痛点，敢于直面问题，主动回应社会关切。</w:t>
            </w:r>
          </w:p>
        </w:tc>
        <w:tc>
          <w:tcPr>
            <w:tcW w:w="1441" w:type="pct"/>
            <w:vAlign w:val="center"/>
          </w:tcPr>
          <w:p w14:paraId="0DCBBAFE">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4792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77" w:type="pct"/>
            <w:vMerge w:val="continue"/>
            <w:vAlign w:val="center"/>
          </w:tcPr>
          <w:p w14:paraId="2EEDC6EC">
            <w:pPr>
              <w:widowControl/>
              <w:jc w:val="center"/>
              <w:rPr>
                <w:rFonts w:ascii="仿宋_GB2312" w:eastAsia="仿宋_GB2312" w:cs="宋体"/>
                <w:color w:val="000000"/>
                <w:kern w:val="0"/>
                <w:sz w:val="24"/>
                <w:szCs w:val="24"/>
              </w:rPr>
            </w:pPr>
          </w:p>
        </w:tc>
        <w:tc>
          <w:tcPr>
            <w:tcW w:w="479" w:type="pct"/>
            <w:vMerge w:val="restart"/>
            <w:vAlign w:val="center"/>
          </w:tcPr>
          <w:p w14:paraId="0F1BFBFE">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围绕疫情防控加强信息公开</w:t>
            </w:r>
          </w:p>
        </w:tc>
        <w:tc>
          <w:tcPr>
            <w:tcW w:w="2601" w:type="pct"/>
            <w:vAlign w:val="center"/>
          </w:tcPr>
          <w:p w14:paraId="761F1401">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融合信息发布渠道，做好新冠肺炎疫情防控常态化下复工复产复学</w:t>
            </w:r>
            <w:r>
              <w:rPr>
                <w:rFonts w:hint="eastAsia" w:ascii="仿宋_GB2312" w:eastAsia="仿宋_GB2312" w:cs="宋体"/>
                <w:color w:val="000000"/>
                <w:kern w:val="0"/>
                <w:sz w:val="24"/>
                <w:szCs w:val="24"/>
                <w:lang w:val="en-US" w:eastAsia="zh-CN"/>
              </w:rPr>
              <w:t>等</w:t>
            </w:r>
            <w:r>
              <w:rPr>
                <w:rFonts w:hint="eastAsia" w:ascii="仿宋_GB2312" w:eastAsia="仿宋_GB2312" w:cs="宋体"/>
                <w:color w:val="000000"/>
                <w:kern w:val="0"/>
                <w:sz w:val="24"/>
                <w:szCs w:val="24"/>
              </w:rPr>
              <w:t>防控信息发布工作</w:t>
            </w:r>
            <w:r>
              <w:rPr>
                <w:rFonts w:hint="eastAsia" w:ascii="仿宋_GB2312" w:eastAsia="仿宋_GB2312" w:cs="宋体"/>
                <w:color w:val="000000"/>
                <w:kern w:val="0"/>
                <w:sz w:val="24"/>
                <w:szCs w:val="24"/>
                <w:lang w:eastAsia="zh-CN"/>
              </w:rPr>
              <w:t>。</w:t>
            </w:r>
          </w:p>
        </w:tc>
        <w:tc>
          <w:tcPr>
            <w:tcW w:w="1441" w:type="pct"/>
            <w:vAlign w:val="center"/>
          </w:tcPr>
          <w:p w14:paraId="42DFA7CA">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20BB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77" w:type="pct"/>
            <w:vMerge w:val="continue"/>
            <w:vAlign w:val="center"/>
          </w:tcPr>
          <w:p w14:paraId="2F7ED945">
            <w:pPr>
              <w:widowControl/>
              <w:jc w:val="center"/>
              <w:rPr>
                <w:rFonts w:ascii="仿宋_GB2312" w:eastAsia="仿宋_GB2312" w:cs="宋体"/>
                <w:color w:val="000000"/>
                <w:kern w:val="0"/>
                <w:sz w:val="24"/>
                <w:szCs w:val="24"/>
              </w:rPr>
            </w:pPr>
          </w:p>
        </w:tc>
        <w:tc>
          <w:tcPr>
            <w:tcW w:w="479" w:type="pct"/>
            <w:vMerge w:val="continue"/>
            <w:vAlign w:val="center"/>
          </w:tcPr>
          <w:p w14:paraId="7B49F488">
            <w:pPr>
              <w:widowControl/>
              <w:jc w:val="center"/>
              <w:rPr>
                <w:rFonts w:hint="eastAsia" w:ascii="仿宋_GB2312" w:eastAsia="仿宋_GB2312" w:cs="宋体"/>
                <w:color w:val="000000"/>
                <w:kern w:val="0"/>
                <w:sz w:val="24"/>
                <w:szCs w:val="24"/>
              </w:rPr>
            </w:pPr>
          </w:p>
        </w:tc>
        <w:tc>
          <w:tcPr>
            <w:tcW w:w="2601" w:type="pct"/>
            <w:vAlign w:val="center"/>
          </w:tcPr>
          <w:p w14:paraId="1AA48707">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各级各部门各单位主要负责人要带头发声，依法做到及时、准确、公开、透明，</w:t>
            </w:r>
            <w:r>
              <w:rPr>
                <w:rFonts w:hint="eastAsia" w:ascii="仿宋_GB2312" w:eastAsia="仿宋_GB2312" w:cs="宋体"/>
                <w:color w:val="000000"/>
                <w:kern w:val="0"/>
                <w:sz w:val="24"/>
                <w:szCs w:val="24"/>
              </w:rPr>
              <w:t>让群众</w:t>
            </w:r>
            <w:r>
              <w:rPr>
                <w:rFonts w:hint="eastAsia" w:ascii="仿宋_GB2312" w:eastAsia="仿宋_GB2312" w:cs="宋体"/>
                <w:color w:val="000000"/>
                <w:kern w:val="0"/>
                <w:sz w:val="24"/>
                <w:szCs w:val="24"/>
                <w:lang w:val="en-US" w:eastAsia="zh-CN"/>
              </w:rPr>
              <w:t>实</w:t>
            </w:r>
            <w:r>
              <w:rPr>
                <w:rFonts w:hint="eastAsia" w:ascii="仿宋_GB2312" w:eastAsia="仿宋_GB2312" w:cs="宋体"/>
                <w:color w:val="000000"/>
                <w:kern w:val="0"/>
                <w:sz w:val="24"/>
                <w:szCs w:val="24"/>
              </w:rPr>
              <w:t>时了解工作动态。做好疫情防控资金物资来源、分配和使用情况等信息公开。全方位解读国家、省、</w:t>
            </w:r>
            <w:r>
              <w:rPr>
                <w:rFonts w:hint="eastAsia" w:ascii="仿宋_GB2312" w:eastAsia="仿宋_GB2312" w:cs="宋体"/>
                <w:color w:val="000000"/>
                <w:kern w:val="0"/>
                <w:sz w:val="24"/>
                <w:szCs w:val="24"/>
                <w:lang w:val="en-US" w:eastAsia="zh-CN"/>
              </w:rPr>
              <w:t>市</w:t>
            </w:r>
            <w:r>
              <w:rPr>
                <w:rFonts w:hint="eastAsia" w:ascii="仿宋_GB2312" w:eastAsia="仿宋_GB2312" w:cs="宋体"/>
                <w:color w:val="000000"/>
                <w:kern w:val="0"/>
                <w:sz w:val="24"/>
                <w:szCs w:val="24"/>
              </w:rPr>
              <w:t>、县支持疫情防控、企业纾困和复工复产复学等重要决策部署，确保各项政策落地见效。</w:t>
            </w:r>
          </w:p>
        </w:tc>
        <w:tc>
          <w:tcPr>
            <w:tcW w:w="1441" w:type="pct"/>
            <w:vAlign w:val="center"/>
          </w:tcPr>
          <w:p w14:paraId="7601C49A">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3CB5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77" w:type="pct"/>
            <w:vMerge w:val="continue"/>
            <w:vAlign w:val="center"/>
          </w:tcPr>
          <w:p w14:paraId="07390B77">
            <w:pPr>
              <w:widowControl/>
              <w:jc w:val="center"/>
              <w:rPr>
                <w:rFonts w:ascii="仿宋_GB2312" w:eastAsia="仿宋_GB2312" w:cs="宋体"/>
                <w:color w:val="000000"/>
                <w:kern w:val="0"/>
                <w:sz w:val="24"/>
                <w:szCs w:val="24"/>
              </w:rPr>
            </w:pPr>
          </w:p>
        </w:tc>
        <w:tc>
          <w:tcPr>
            <w:tcW w:w="479" w:type="pct"/>
            <w:vMerge w:val="continue"/>
            <w:vAlign w:val="center"/>
          </w:tcPr>
          <w:p w14:paraId="7D8945D3">
            <w:pPr>
              <w:widowControl/>
              <w:jc w:val="center"/>
              <w:rPr>
                <w:rFonts w:hint="eastAsia" w:ascii="仿宋_GB2312" w:eastAsia="仿宋_GB2312" w:cs="宋体"/>
                <w:color w:val="000000"/>
                <w:kern w:val="0"/>
                <w:sz w:val="24"/>
                <w:szCs w:val="24"/>
              </w:rPr>
            </w:pPr>
          </w:p>
        </w:tc>
        <w:tc>
          <w:tcPr>
            <w:tcW w:w="2601" w:type="pct"/>
            <w:vAlign w:val="center"/>
          </w:tcPr>
          <w:p w14:paraId="6F3020E4">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加强各级各类应急预案公开和公共卫生知识普及，</w:t>
            </w:r>
            <w:r>
              <w:rPr>
                <w:rFonts w:hint="eastAsia" w:ascii="仿宋_GB2312" w:eastAsia="仿宋_GB2312" w:cs="宋体"/>
                <w:color w:val="000000"/>
                <w:kern w:val="0"/>
                <w:sz w:val="24"/>
                <w:szCs w:val="24"/>
                <w:lang w:val="en-US" w:eastAsia="zh-CN"/>
              </w:rPr>
              <w:t>有针对性地加强宣传培训，增强群众特别是应急预案执行人员的风险防范意识和能力。大力加强公共卫生知识日常普及工作，</w:t>
            </w:r>
            <w:r>
              <w:rPr>
                <w:rFonts w:hint="eastAsia" w:ascii="仿宋_GB2312" w:eastAsia="仿宋_GB2312" w:cs="宋体"/>
                <w:color w:val="000000"/>
                <w:kern w:val="0"/>
                <w:sz w:val="24"/>
                <w:szCs w:val="24"/>
              </w:rPr>
              <w:t>引导群众养成良好习惯，提高群众</w:t>
            </w:r>
            <w:r>
              <w:rPr>
                <w:rFonts w:hint="eastAsia" w:ascii="仿宋_GB2312" w:eastAsia="仿宋_GB2312" w:cs="宋体"/>
                <w:color w:val="000000"/>
                <w:kern w:val="0"/>
                <w:sz w:val="24"/>
                <w:szCs w:val="24"/>
                <w:lang w:val="en-US" w:eastAsia="zh-CN"/>
              </w:rPr>
              <w:t>对传染病的</w:t>
            </w:r>
            <w:r>
              <w:rPr>
                <w:rFonts w:hint="eastAsia" w:ascii="仿宋_GB2312" w:eastAsia="仿宋_GB2312" w:cs="宋体"/>
                <w:color w:val="000000"/>
                <w:kern w:val="0"/>
                <w:sz w:val="24"/>
                <w:szCs w:val="24"/>
              </w:rPr>
              <w:t>防治意识和应对能力。</w:t>
            </w:r>
          </w:p>
        </w:tc>
        <w:tc>
          <w:tcPr>
            <w:tcW w:w="1441" w:type="pct"/>
            <w:vAlign w:val="center"/>
          </w:tcPr>
          <w:p w14:paraId="75E6E52F">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县卫健局、</w:t>
            </w:r>
            <w:r>
              <w:rPr>
                <w:rFonts w:hint="eastAsia" w:ascii="仿宋_GB2312" w:eastAsia="仿宋_GB2312" w:cs="宋体"/>
                <w:color w:val="000000"/>
                <w:kern w:val="0"/>
                <w:sz w:val="24"/>
                <w:szCs w:val="24"/>
              </w:rPr>
              <w:t>各相关部门、各镇（街道）</w:t>
            </w:r>
          </w:p>
        </w:tc>
      </w:tr>
      <w:tr w14:paraId="1ECF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477" w:type="pct"/>
            <w:vMerge w:val="continue"/>
            <w:vAlign w:val="center"/>
          </w:tcPr>
          <w:p w14:paraId="6B157CF3">
            <w:pPr>
              <w:widowControl/>
              <w:jc w:val="center"/>
              <w:rPr>
                <w:rFonts w:ascii="仿宋_GB2312" w:eastAsia="仿宋_GB2312" w:cs="宋体"/>
                <w:color w:val="000000"/>
                <w:kern w:val="0"/>
                <w:sz w:val="24"/>
                <w:szCs w:val="24"/>
              </w:rPr>
            </w:pPr>
          </w:p>
        </w:tc>
        <w:tc>
          <w:tcPr>
            <w:tcW w:w="479" w:type="pct"/>
            <w:vMerge w:val="continue"/>
            <w:vAlign w:val="center"/>
          </w:tcPr>
          <w:p w14:paraId="4CD934C4">
            <w:pPr>
              <w:widowControl/>
              <w:jc w:val="center"/>
              <w:rPr>
                <w:rFonts w:hint="eastAsia" w:ascii="仿宋_GB2312" w:eastAsia="仿宋_GB2312" w:cs="宋体"/>
                <w:color w:val="000000"/>
                <w:kern w:val="0"/>
                <w:sz w:val="24"/>
                <w:szCs w:val="24"/>
              </w:rPr>
            </w:pPr>
          </w:p>
        </w:tc>
        <w:tc>
          <w:tcPr>
            <w:tcW w:w="2601" w:type="pct"/>
            <w:vAlign w:val="center"/>
          </w:tcPr>
          <w:p w14:paraId="52E87B8E">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妥善办理涉及公共卫生事件的政府信息公开申请，除公开后将损害公共利益、侵犯他人合法权益等法定禁止公开情形外，最大限度向申请人提供相关信息，更好满足群众知情权，维护政府公信力。加强个人信息保护，对因疫情防控工作需要收集的个人信息，要严格落实个人信息保护有关规定，采取有效措施保管并妥善处理。</w:t>
            </w:r>
          </w:p>
        </w:tc>
        <w:tc>
          <w:tcPr>
            <w:tcW w:w="1441" w:type="pct"/>
            <w:vAlign w:val="center"/>
          </w:tcPr>
          <w:p w14:paraId="081B64E8">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50AF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77" w:type="pct"/>
            <w:vMerge w:val="continue"/>
            <w:vAlign w:val="center"/>
          </w:tcPr>
          <w:p w14:paraId="66F58BF9">
            <w:pPr>
              <w:widowControl/>
              <w:jc w:val="center"/>
              <w:rPr>
                <w:rFonts w:ascii="仿宋_GB2312" w:eastAsia="仿宋_GB2312" w:cs="宋体"/>
                <w:color w:val="000000"/>
                <w:kern w:val="0"/>
                <w:sz w:val="24"/>
                <w:szCs w:val="24"/>
              </w:rPr>
            </w:pPr>
          </w:p>
        </w:tc>
        <w:tc>
          <w:tcPr>
            <w:tcW w:w="479" w:type="pct"/>
            <w:vMerge w:val="restart"/>
            <w:vAlign w:val="center"/>
          </w:tcPr>
          <w:p w14:paraId="3B0BA86F">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围绕优化营商环境加强信息公开</w:t>
            </w:r>
          </w:p>
        </w:tc>
        <w:tc>
          <w:tcPr>
            <w:tcW w:w="2601" w:type="pct"/>
            <w:vAlign w:val="center"/>
          </w:tcPr>
          <w:p w14:paraId="1A97620C">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深化“放管服”改革，全面公开市场监管规则</w:t>
            </w:r>
            <w:r>
              <w:rPr>
                <w:rFonts w:hint="eastAsia" w:ascii="仿宋_GB2312" w:eastAsia="仿宋_GB2312" w:cs="宋体"/>
                <w:color w:val="000000"/>
                <w:kern w:val="0"/>
                <w:sz w:val="24"/>
                <w:szCs w:val="24"/>
                <w:lang w:val="en-US" w:eastAsia="zh-CN"/>
              </w:rPr>
              <w:t>和</w:t>
            </w:r>
            <w:r>
              <w:rPr>
                <w:rFonts w:hint="eastAsia" w:ascii="仿宋_GB2312" w:eastAsia="仿宋_GB2312" w:cs="宋体"/>
                <w:color w:val="000000"/>
                <w:kern w:val="0"/>
                <w:sz w:val="24"/>
                <w:szCs w:val="24"/>
              </w:rPr>
              <w:t>标准，以监管规则</w:t>
            </w:r>
            <w:r>
              <w:rPr>
                <w:rFonts w:hint="eastAsia" w:ascii="仿宋_GB2312" w:eastAsia="仿宋_GB2312" w:cs="宋体"/>
                <w:color w:val="000000"/>
                <w:kern w:val="0"/>
                <w:sz w:val="24"/>
                <w:szCs w:val="24"/>
                <w:lang w:val="en-US" w:eastAsia="zh-CN"/>
              </w:rPr>
              <w:t>和</w:t>
            </w:r>
            <w:r>
              <w:rPr>
                <w:rFonts w:hint="eastAsia" w:ascii="仿宋_GB2312" w:eastAsia="仿宋_GB2312" w:cs="宋体"/>
                <w:color w:val="000000"/>
                <w:kern w:val="0"/>
                <w:sz w:val="24"/>
                <w:szCs w:val="24"/>
              </w:rPr>
              <w:t>标准的确定性保障市场监管的公正性。优化窗口服务，为市场主体提供更加精准、便捷的政策咨询。</w:t>
            </w:r>
          </w:p>
        </w:tc>
        <w:tc>
          <w:tcPr>
            <w:tcW w:w="1441" w:type="pct"/>
            <w:vAlign w:val="center"/>
          </w:tcPr>
          <w:p w14:paraId="277BCB15">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县行政审批局</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lang w:val="en-US" w:eastAsia="zh-CN"/>
              </w:rPr>
              <w:t>市场监管局</w:t>
            </w:r>
            <w:r>
              <w:rPr>
                <w:rFonts w:hint="eastAsia" w:ascii="仿宋_GB2312" w:eastAsia="仿宋_GB2312" w:cs="宋体"/>
                <w:color w:val="000000"/>
                <w:kern w:val="0"/>
                <w:sz w:val="24"/>
                <w:szCs w:val="24"/>
              </w:rPr>
              <w:t>、各镇（街道）</w:t>
            </w:r>
          </w:p>
        </w:tc>
      </w:tr>
      <w:tr w14:paraId="0F09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77" w:type="pct"/>
            <w:vMerge w:val="continue"/>
            <w:vAlign w:val="center"/>
          </w:tcPr>
          <w:p w14:paraId="03679A1F">
            <w:pPr>
              <w:widowControl/>
              <w:jc w:val="center"/>
              <w:rPr>
                <w:rFonts w:ascii="仿宋_GB2312" w:eastAsia="仿宋_GB2312" w:cs="宋体"/>
                <w:color w:val="000000"/>
                <w:kern w:val="0"/>
                <w:sz w:val="24"/>
                <w:szCs w:val="24"/>
              </w:rPr>
            </w:pPr>
          </w:p>
        </w:tc>
        <w:tc>
          <w:tcPr>
            <w:tcW w:w="479" w:type="pct"/>
            <w:vMerge w:val="continue"/>
            <w:vAlign w:val="center"/>
          </w:tcPr>
          <w:p w14:paraId="3B2C6CB7">
            <w:pPr>
              <w:widowControl/>
              <w:jc w:val="center"/>
              <w:rPr>
                <w:rFonts w:ascii="仿宋_GB2312" w:eastAsia="仿宋_GB2312" w:cs="宋体"/>
                <w:color w:val="000000"/>
                <w:kern w:val="0"/>
                <w:sz w:val="24"/>
                <w:szCs w:val="24"/>
              </w:rPr>
            </w:pPr>
          </w:p>
        </w:tc>
        <w:tc>
          <w:tcPr>
            <w:tcW w:w="2601" w:type="pct"/>
            <w:vAlign w:val="center"/>
          </w:tcPr>
          <w:p w14:paraId="333F9E7F">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全面优化办事流程，通过互联网等技术手段让办事人动态掌握办事进展，最大限度实现网络化、透明化办事。及时更新并公开办事方式、办事条件等信息，</w:t>
            </w:r>
            <w:r>
              <w:rPr>
                <w:rFonts w:hint="eastAsia" w:ascii="仿宋_GB2312" w:eastAsia="仿宋_GB2312" w:cs="宋体"/>
                <w:color w:val="000000"/>
                <w:kern w:val="0"/>
                <w:sz w:val="24"/>
                <w:szCs w:val="24"/>
              </w:rPr>
              <w:t>在政府网站、新媒体等同步发布涉企政策，公开惠企政策申请条件、申报材料清单、办理流程、承办部门、联系方式、起止时间等信息。每季度定期梳理涉企政策，集中推送相关企业。精简涉企经营许可事项，规范涉企收费和中介服务，按规定公示我县实行政府定价或政府指导价的涉企收费目录清单，及时发布行政审批中介服务事项目录。完善公共资源交易制度，及时公开交易目录、程序、结果等信息。梳理公布证明事项清单，全面推行证明事项告知承诺制。</w:t>
            </w:r>
          </w:p>
        </w:tc>
        <w:tc>
          <w:tcPr>
            <w:tcW w:w="1441" w:type="pct"/>
            <w:vAlign w:val="center"/>
          </w:tcPr>
          <w:p w14:paraId="202E9EAB">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152F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477" w:type="pct"/>
            <w:vMerge w:val="continue"/>
            <w:vAlign w:val="center"/>
          </w:tcPr>
          <w:p w14:paraId="76BF83A3">
            <w:pPr>
              <w:widowControl/>
              <w:jc w:val="center"/>
              <w:rPr>
                <w:rFonts w:ascii="仿宋_GB2312" w:eastAsia="仿宋_GB2312" w:cs="宋体"/>
                <w:color w:val="000000"/>
                <w:kern w:val="0"/>
                <w:sz w:val="24"/>
                <w:szCs w:val="24"/>
              </w:rPr>
            </w:pPr>
          </w:p>
        </w:tc>
        <w:tc>
          <w:tcPr>
            <w:tcW w:w="479" w:type="pct"/>
            <w:vMerge w:val="continue"/>
            <w:vAlign w:val="center"/>
          </w:tcPr>
          <w:p w14:paraId="088200E9">
            <w:pPr>
              <w:widowControl/>
              <w:jc w:val="center"/>
              <w:rPr>
                <w:rFonts w:ascii="仿宋_GB2312" w:eastAsia="仿宋_GB2312" w:cs="宋体"/>
                <w:color w:val="000000"/>
                <w:kern w:val="0"/>
                <w:sz w:val="24"/>
                <w:szCs w:val="24"/>
              </w:rPr>
            </w:pPr>
          </w:p>
        </w:tc>
        <w:tc>
          <w:tcPr>
            <w:tcW w:w="2601" w:type="pct"/>
            <w:vAlign w:val="center"/>
          </w:tcPr>
          <w:p w14:paraId="2E6A2CD6">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提升经济政策发布质量，注重对一线政策执行人员开展政策解读和培训，全面及时惠及市场主体。注重增强经济政策解读回应渠道的权威性，进一步提升解读回应的实际效果。</w:t>
            </w:r>
          </w:p>
        </w:tc>
        <w:tc>
          <w:tcPr>
            <w:tcW w:w="1441" w:type="pct"/>
            <w:vAlign w:val="center"/>
          </w:tcPr>
          <w:p w14:paraId="51B165BB">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7C53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7" w:type="pct"/>
            <w:vMerge w:val="restart"/>
            <w:vAlign w:val="center"/>
          </w:tcPr>
          <w:p w14:paraId="3631BCD9">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推进行政决策、执行、管理、服务和结果全过程公开</w:t>
            </w:r>
          </w:p>
        </w:tc>
        <w:tc>
          <w:tcPr>
            <w:tcW w:w="479" w:type="pct"/>
            <w:vAlign w:val="center"/>
          </w:tcPr>
          <w:p w14:paraId="6AA31F71">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推进行政决策公开</w:t>
            </w:r>
          </w:p>
        </w:tc>
        <w:tc>
          <w:tcPr>
            <w:tcW w:w="2601" w:type="pct"/>
            <w:vAlign w:val="center"/>
          </w:tcPr>
          <w:p w14:paraId="6C941980">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制定并发布重大行政决策事项目录，</w:t>
            </w:r>
            <w:r>
              <w:rPr>
                <w:rFonts w:hint="eastAsia" w:ascii="仿宋_GB2312" w:eastAsia="仿宋_GB2312" w:cs="宋体"/>
                <w:color w:val="000000"/>
                <w:kern w:val="0"/>
                <w:sz w:val="24"/>
                <w:szCs w:val="24"/>
                <w:lang w:val="en-US" w:eastAsia="zh-CN"/>
              </w:rPr>
              <w:t>构建行政决策公众参与机制，</w:t>
            </w:r>
            <w:r>
              <w:rPr>
                <w:rFonts w:hint="eastAsia" w:ascii="仿宋_GB2312" w:eastAsia="仿宋_GB2312" w:cs="宋体"/>
                <w:color w:val="000000"/>
                <w:kern w:val="0"/>
                <w:sz w:val="24"/>
                <w:szCs w:val="24"/>
              </w:rPr>
              <w:t>做好重大决策预公开工作。按照“谁起草谁解读”原则，认真落实政策文件与解读方案、解读材料同步组织、同步审签、同步部署工作机制。常态化落实邀请利益相关方、群众代表、专家、媒体等列席政府常务会议、部门办公会议制度。持续深化开展政府开放日、网络问政、电视问政等多形式的公众参与和监督活动。对涉及群众切身利益、需要社会广泛知晓的公共政策措施、公共建设项目，采取座谈会、听证会、向社会公开征求意见等方式，扩大公众参与度、提高政策透明度。</w:t>
            </w:r>
          </w:p>
        </w:tc>
        <w:tc>
          <w:tcPr>
            <w:tcW w:w="1441" w:type="pct"/>
            <w:vAlign w:val="center"/>
          </w:tcPr>
          <w:p w14:paraId="5B580615">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166E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477" w:type="pct"/>
            <w:vMerge w:val="continue"/>
            <w:vAlign w:val="center"/>
          </w:tcPr>
          <w:p w14:paraId="4ED28409">
            <w:pPr>
              <w:widowControl/>
              <w:jc w:val="center"/>
              <w:rPr>
                <w:rFonts w:ascii="仿宋_GB2312" w:eastAsia="仿宋_GB2312" w:cs="宋体"/>
                <w:color w:val="000000"/>
                <w:kern w:val="0"/>
                <w:sz w:val="24"/>
                <w:szCs w:val="24"/>
              </w:rPr>
            </w:pPr>
          </w:p>
        </w:tc>
        <w:tc>
          <w:tcPr>
            <w:tcW w:w="479" w:type="pct"/>
            <w:vMerge w:val="restart"/>
            <w:vAlign w:val="center"/>
          </w:tcPr>
          <w:p w14:paraId="25666653">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推进行政管理和服务公开</w:t>
            </w:r>
          </w:p>
        </w:tc>
        <w:tc>
          <w:tcPr>
            <w:tcW w:w="2601" w:type="pct"/>
            <w:vAlign w:val="center"/>
          </w:tcPr>
          <w:p w14:paraId="67F4898C">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建立规章和规范性文件定期清理和公开制度</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lang w:val="en-US" w:eastAsia="zh-CN"/>
              </w:rPr>
              <w:t>逐步整理形成制度文件汇编并集中统一对外公开，服务县域治理体系和治理能力现代化</w:t>
            </w:r>
            <w:r>
              <w:rPr>
                <w:rFonts w:hint="eastAsia" w:ascii="仿宋_GB2312" w:eastAsia="仿宋_GB2312" w:cs="宋体"/>
                <w:color w:val="000000"/>
                <w:kern w:val="0"/>
                <w:sz w:val="24"/>
                <w:szCs w:val="24"/>
              </w:rPr>
              <w:t>。</w:t>
            </w:r>
          </w:p>
        </w:tc>
        <w:tc>
          <w:tcPr>
            <w:tcW w:w="1441" w:type="pct"/>
            <w:vAlign w:val="center"/>
          </w:tcPr>
          <w:p w14:paraId="0741D8B9">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县司法局</w:t>
            </w:r>
          </w:p>
        </w:tc>
      </w:tr>
      <w:tr w14:paraId="0019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7" w:type="pct"/>
            <w:vMerge w:val="continue"/>
            <w:vAlign w:val="center"/>
          </w:tcPr>
          <w:p w14:paraId="0EF6A520">
            <w:pPr>
              <w:widowControl/>
              <w:jc w:val="center"/>
              <w:rPr>
                <w:rFonts w:ascii="仿宋_GB2312" w:eastAsia="仿宋_GB2312" w:cs="宋体"/>
                <w:color w:val="000000"/>
                <w:kern w:val="0"/>
                <w:sz w:val="24"/>
                <w:szCs w:val="24"/>
              </w:rPr>
            </w:pPr>
          </w:p>
        </w:tc>
        <w:tc>
          <w:tcPr>
            <w:tcW w:w="479" w:type="pct"/>
            <w:vMerge w:val="continue"/>
            <w:vAlign w:val="center"/>
          </w:tcPr>
          <w:p w14:paraId="408CF843">
            <w:pPr>
              <w:widowControl/>
              <w:jc w:val="center"/>
              <w:rPr>
                <w:rFonts w:ascii="仿宋_GB2312" w:eastAsia="仿宋_GB2312" w:cs="宋体"/>
                <w:color w:val="000000"/>
                <w:kern w:val="0"/>
                <w:sz w:val="24"/>
                <w:szCs w:val="24"/>
              </w:rPr>
            </w:pPr>
          </w:p>
        </w:tc>
        <w:tc>
          <w:tcPr>
            <w:tcW w:w="2601" w:type="pct"/>
            <w:vAlign w:val="center"/>
          </w:tcPr>
          <w:p w14:paraId="4981D3C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全面贯彻落实行政执法公示制度。</w:t>
            </w:r>
          </w:p>
        </w:tc>
        <w:tc>
          <w:tcPr>
            <w:tcW w:w="1441" w:type="pct"/>
            <w:vAlign w:val="center"/>
          </w:tcPr>
          <w:p w14:paraId="37A8AF01">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5A71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77" w:type="pct"/>
            <w:vMerge w:val="continue"/>
            <w:vAlign w:val="center"/>
          </w:tcPr>
          <w:p w14:paraId="745A7236">
            <w:pPr>
              <w:widowControl/>
              <w:jc w:val="center"/>
              <w:rPr>
                <w:rFonts w:ascii="仿宋_GB2312" w:eastAsia="仿宋_GB2312" w:cs="宋体"/>
                <w:color w:val="000000"/>
                <w:kern w:val="0"/>
                <w:sz w:val="24"/>
                <w:szCs w:val="24"/>
              </w:rPr>
            </w:pPr>
          </w:p>
        </w:tc>
        <w:tc>
          <w:tcPr>
            <w:tcW w:w="479" w:type="pct"/>
            <w:vMerge w:val="continue"/>
            <w:vAlign w:val="center"/>
          </w:tcPr>
          <w:p w14:paraId="36C4CE39">
            <w:pPr>
              <w:widowControl/>
              <w:jc w:val="center"/>
              <w:rPr>
                <w:rFonts w:ascii="仿宋_GB2312" w:eastAsia="仿宋_GB2312" w:cs="宋体"/>
                <w:color w:val="000000"/>
                <w:kern w:val="0"/>
                <w:sz w:val="24"/>
                <w:szCs w:val="24"/>
              </w:rPr>
            </w:pPr>
          </w:p>
        </w:tc>
        <w:tc>
          <w:tcPr>
            <w:tcW w:w="2601" w:type="pct"/>
            <w:vAlign w:val="center"/>
          </w:tcPr>
          <w:p w14:paraId="74449769">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深化“双随机、一公开”监管、“互联网</w:t>
            </w:r>
            <w:r>
              <w:rPr>
                <w:rFonts w:ascii="仿宋_GB2312" w:eastAsia="仿宋_GB2312" w:cs="宋体"/>
                <w:color w:val="000000"/>
                <w:kern w:val="0"/>
                <w:sz w:val="24"/>
                <w:szCs w:val="24"/>
              </w:rPr>
              <w:t>+</w:t>
            </w:r>
            <w:r>
              <w:rPr>
                <w:rFonts w:hint="eastAsia" w:ascii="仿宋_GB2312" w:eastAsia="仿宋_GB2312" w:cs="宋体"/>
                <w:color w:val="000000"/>
                <w:kern w:val="0"/>
                <w:sz w:val="24"/>
                <w:szCs w:val="24"/>
              </w:rPr>
              <w:t>监管”</w:t>
            </w:r>
            <w:r>
              <w:rPr>
                <w:rFonts w:hint="eastAsia" w:ascii="仿宋_GB2312" w:eastAsia="仿宋_GB2312" w:cs="宋体"/>
                <w:color w:val="000000"/>
                <w:kern w:val="0"/>
                <w:sz w:val="24"/>
                <w:szCs w:val="24"/>
                <w:lang w:val="en-US" w:eastAsia="zh-CN"/>
              </w:rPr>
              <w:t>等</w:t>
            </w:r>
            <w:r>
              <w:rPr>
                <w:rFonts w:hint="eastAsia" w:ascii="仿宋_GB2312" w:eastAsia="仿宋_GB2312" w:cs="宋体"/>
                <w:color w:val="000000"/>
                <w:kern w:val="0"/>
                <w:sz w:val="24"/>
                <w:szCs w:val="24"/>
              </w:rPr>
              <w:t>信用监管信息公开。</w:t>
            </w:r>
          </w:p>
        </w:tc>
        <w:tc>
          <w:tcPr>
            <w:tcW w:w="1441" w:type="pct"/>
            <w:vAlign w:val="center"/>
          </w:tcPr>
          <w:p w14:paraId="5720708C">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w:t>
            </w:r>
            <w:r>
              <w:rPr>
                <w:rFonts w:hint="eastAsia" w:ascii="仿宋_GB2312" w:eastAsia="仿宋_GB2312" w:cs="宋体"/>
                <w:color w:val="000000"/>
                <w:kern w:val="0"/>
                <w:sz w:val="24"/>
                <w:szCs w:val="24"/>
                <w:lang w:val="en-US" w:eastAsia="zh-CN"/>
              </w:rPr>
              <w:t>市</w:t>
            </w:r>
            <w:r>
              <w:rPr>
                <w:rFonts w:hint="eastAsia" w:ascii="仿宋_GB2312" w:eastAsia="仿宋_GB2312" w:cs="宋体"/>
                <w:color w:val="000000"/>
                <w:kern w:val="0"/>
                <w:sz w:val="24"/>
                <w:szCs w:val="24"/>
              </w:rPr>
              <w:t>场监管局、</w:t>
            </w:r>
            <w:r>
              <w:rPr>
                <w:rFonts w:hint="eastAsia" w:ascii="仿宋_GB2312" w:eastAsia="仿宋_GB2312" w:cs="宋体"/>
                <w:color w:val="000000"/>
                <w:kern w:val="0"/>
                <w:sz w:val="24"/>
                <w:szCs w:val="24"/>
                <w:lang w:val="en-US" w:eastAsia="zh-CN"/>
              </w:rPr>
              <w:t>行政审批局、各相关部门、</w:t>
            </w:r>
            <w:r>
              <w:rPr>
                <w:rFonts w:hint="eastAsia" w:ascii="仿宋_GB2312" w:eastAsia="仿宋_GB2312" w:cs="宋体"/>
                <w:color w:val="000000"/>
                <w:kern w:val="0"/>
                <w:sz w:val="24"/>
                <w:szCs w:val="24"/>
              </w:rPr>
              <w:t>各镇（街道）</w:t>
            </w:r>
          </w:p>
        </w:tc>
      </w:tr>
      <w:tr w14:paraId="311E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77" w:type="pct"/>
            <w:vMerge w:val="continue"/>
            <w:vAlign w:val="center"/>
          </w:tcPr>
          <w:p w14:paraId="664B767B">
            <w:pPr>
              <w:widowControl/>
              <w:jc w:val="center"/>
              <w:rPr>
                <w:rFonts w:ascii="仿宋_GB2312" w:eastAsia="仿宋_GB2312" w:cs="宋体"/>
                <w:color w:val="000000"/>
                <w:kern w:val="0"/>
                <w:sz w:val="24"/>
                <w:szCs w:val="24"/>
              </w:rPr>
            </w:pPr>
          </w:p>
        </w:tc>
        <w:tc>
          <w:tcPr>
            <w:tcW w:w="479" w:type="pct"/>
            <w:vMerge w:val="continue"/>
            <w:vAlign w:val="center"/>
          </w:tcPr>
          <w:p w14:paraId="4A3A4C7C">
            <w:pPr>
              <w:widowControl/>
              <w:jc w:val="center"/>
              <w:rPr>
                <w:rFonts w:ascii="仿宋_GB2312" w:eastAsia="仿宋_GB2312" w:cs="宋体"/>
                <w:color w:val="000000"/>
                <w:kern w:val="0"/>
                <w:sz w:val="24"/>
                <w:szCs w:val="24"/>
              </w:rPr>
            </w:pPr>
          </w:p>
        </w:tc>
        <w:tc>
          <w:tcPr>
            <w:tcW w:w="2601" w:type="pct"/>
            <w:vAlign w:val="center"/>
          </w:tcPr>
          <w:p w14:paraId="59AED9ED">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持续推进国资监管和国企改革信息公开。</w:t>
            </w:r>
          </w:p>
        </w:tc>
        <w:tc>
          <w:tcPr>
            <w:tcW w:w="1441" w:type="pct"/>
            <w:vAlign w:val="center"/>
          </w:tcPr>
          <w:p w14:paraId="42CDA702">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县财政局</w:t>
            </w:r>
          </w:p>
        </w:tc>
      </w:tr>
      <w:tr w14:paraId="7531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477" w:type="pct"/>
            <w:vMerge w:val="continue"/>
            <w:vAlign w:val="center"/>
          </w:tcPr>
          <w:p w14:paraId="3D04F575">
            <w:pPr>
              <w:widowControl/>
              <w:jc w:val="center"/>
              <w:rPr>
                <w:rFonts w:ascii="仿宋_GB2312" w:eastAsia="仿宋_GB2312" w:cs="宋体"/>
                <w:color w:val="000000"/>
                <w:kern w:val="0"/>
                <w:sz w:val="24"/>
                <w:szCs w:val="24"/>
              </w:rPr>
            </w:pPr>
          </w:p>
        </w:tc>
        <w:tc>
          <w:tcPr>
            <w:tcW w:w="479" w:type="pct"/>
            <w:vMerge w:val="continue"/>
            <w:vAlign w:val="center"/>
          </w:tcPr>
          <w:p w14:paraId="6F535B20">
            <w:pPr>
              <w:widowControl/>
              <w:jc w:val="center"/>
              <w:rPr>
                <w:rFonts w:ascii="仿宋_GB2312" w:eastAsia="仿宋_GB2312" w:cs="宋体"/>
                <w:color w:val="000000"/>
                <w:kern w:val="0"/>
                <w:sz w:val="24"/>
                <w:szCs w:val="24"/>
              </w:rPr>
            </w:pPr>
          </w:p>
        </w:tc>
        <w:tc>
          <w:tcPr>
            <w:tcW w:w="2601" w:type="pct"/>
            <w:vAlign w:val="center"/>
          </w:tcPr>
          <w:p w14:paraId="789DB444">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做好政务服务“一网通办”、政务大厅“一窗受理”、民生服务“一链办理”、重点高频民生事项“掌上办”、优化政务服务流程等方面的信息公开。在政务服务大厅、便民服务中心等场所设立政务公开专区，公开政务服务事项，并提供信息公开申请、办事咨询等服务。建立健全政务服务“好差评”制度，定期公开政务服务情况、企业群众评价和差评处理结果，全力打造“在平阴、您放心”服务品牌。</w:t>
            </w:r>
          </w:p>
        </w:tc>
        <w:tc>
          <w:tcPr>
            <w:tcW w:w="1441" w:type="pct"/>
            <w:vAlign w:val="center"/>
          </w:tcPr>
          <w:p w14:paraId="4C103800">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县行政审批服务局、司法局、市场监管局、发改局、住建局、财政局、各镇（街道）</w:t>
            </w:r>
          </w:p>
        </w:tc>
      </w:tr>
      <w:tr w14:paraId="3AD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77" w:type="pct"/>
            <w:vMerge w:val="continue"/>
            <w:vAlign w:val="center"/>
          </w:tcPr>
          <w:p w14:paraId="41DB757C">
            <w:pPr>
              <w:widowControl/>
              <w:jc w:val="center"/>
              <w:rPr>
                <w:rFonts w:ascii="仿宋_GB2312" w:eastAsia="仿宋_GB2312" w:cs="宋体"/>
                <w:color w:val="000000"/>
                <w:kern w:val="0"/>
                <w:sz w:val="24"/>
                <w:szCs w:val="24"/>
              </w:rPr>
            </w:pPr>
          </w:p>
        </w:tc>
        <w:tc>
          <w:tcPr>
            <w:tcW w:w="479" w:type="pct"/>
            <w:vAlign w:val="center"/>
          </w:tcPr>
          <w:p w14:paraId="682E637B">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推进行政执行和结果公开</w:t>
            </w:r>
          </w:p>
        </w:tc>
        <w:tc>
          <w:tcPr>
            <w:tcW w:w="2601" w:type="pct"/>
            <w:vAlign w:val="center"/>
          </w:tcPr>
          <w:p w14:paraId="45109A96">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定期公开政府工作报告重点任务、民生实事项目、重大工程项目的执行情况。做好督查和审计发现问题及整改落实情况的公开。及时公开人大代表建议和政协委员提案办理结果。建立重大决策执行效果跟踪反馈和后评估机制，积极开展决策执行效果评估，科学评价政策落实效果，并将相关情况向社会公开。</w:t>
            </w:r>
          </w:p>
        </w:tc>
        <w:tc>
          <w:tcPr>
            <w:tcW w:w="1441" w:type="pct"/>
            <w:vAlign w:val="center"/>
          </w:tcPr>
          <w:p w14:paraId="29096C70">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086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477" w:type="pct"/>
            <w:vMerge w:val="restart"/>
            <w:vAlign w:val="center"/>
          </w:tcPr>
          <w:p w14:paraId="6AECE4E2">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落实新修订的政府信息公开条例</w:t>
            </w:r>
          </w:p>
        </w:tc>
        <w:tc>
          <w:tcPr>
            <w:tcW w:w="479" w:type="pct"/>
            <w:vAlign w:val="center"/>
          </w:tcPr>
          <w:p w14:paraId="0909DD9B">
            <w:pPr>
              <w:widowControl/>
              <w:jc w:val="center"/>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落实政府信息主动公开新要求</w:t>
            </w:r>
          </w:p>
        </w:tc>
        <w:tc>
          <w:tcPr>
            <w:tcW w:w="2601" w:type="pct"/>
            <w:vAlign w:val="center"/>
          </w:tcPr>
          <w:p w14:paraId="58CE7E86">
            <w:pPr>
              <w:widowControl/>
              <w:jc w:val="left"/>
              <w:rPr>
                <w:rFonts w:hint="eastAsia" w:ascii="仿宋_GB2312" w:eastAsia="仿宋_GB2312" w:cs="宋体"/>
                <w:color w:val="000000"/>
                <w:kern w:val="0"/>
                <w:sz w:val="24"/>
                <w:szCs w:val="24"/>
                <w:lang w:eastAsia="zh-CN"/>
              </w:rPr>
            </w:pPr>
            <w:r>
              <w:rPr>
                <w:rFonts w:hint="eastAsia" w:ascii="仿宋_GB2312" w:eastAsia="仿宋_GB2312" w:cs="宋体"/>
                <w:color w:val="000000"/>
                <w:kern w:val="0"/>
                <w:sz w:val="24"/>
                <w:szCs w:val="24"/>
                <w:lang w:val="en-US" w:eastAsia="zh-CN"/>
              </w:rPr>
              <w:t>正确执行关于主动公开的新规定，以政府信息公开平台为依托，</w:t>
            </w:r>
            <w:r>
              <w:rPr>
                <w:rFonts w:hint="eastAsia" w:ascii="仿宋_GB2312" w:eastAsia="仿宋_GB2312" w:cs="宋体"/>
                <w:color w:val="000000"/>
                <w:kern w:val="0"/>
                <w:sz w:val="24"/>
                <w:szCs w:val="24"/>
              </w:rPr>
              <w:t>做好重点领域、政策解读、公众参与、建议提案办理、会议公开等专栏建设和内容维护，创新政务公开多元展现模式，并将法定公开内容全部公开到位</w:t>
            </w:r>
            <w:r>
              <w:rPr>
                <w:rFonts w:hint="eastAsia" w:ascii="仿宋_GB2312" w:eastAsia="仿宋_GB2312" w:cs="宋体"/>
                <w:color w:val="000000"/>
                <w:kern w:val="0"/>
                <w:sz w:val="24"/>
                <w:szCs w:val="24"/>
                <w:lang w:eastAsia="zh-CN"/>
              </w:rPr>
              <w:t>。</w:t>
            </w:r>
          </w:p>
        </w:tc>
        <w:tc>
          <w:tcPr>
            <w:tcW w:w="1441" w:type="pct"/>
            <w:vAlign w:val="center"/>
          </w:tcPr>
          <w:p w14:paraId="05BA598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0683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7" w:type="pct"/>
            <w:vMerge w:val="continue"/>
            <w:vAlign w:val="center"/>
          </w:tcPr>
          <w:p w14:paraId="2E69E43D">
            <w:pPr>
              <w:widowControl/>
              <w:jc w:val="center"/>
              <w:rPr>
                <w:rFonts w:ascii="仿宋_GB2312" w:eastAsia="仿宋_GB2312" w:cs="宋体"/>
                <w:color w:val="000000"/>
                <w:kern w:val="0"/>
                <w:sz w:val="24"/>
                <w:szCs w:val="24"/>
              </w:rPr>
            </w:pPr>
          </w:p>
        </w:tc>
        <w:tc>
          <w:tcPr>
            <w:tcW w:w="479" w:type="pct"/>
            <w:vMerge w:val="restart"/>
            <w:vAlign w:val="center"/>
          </w:tcPr>
          <w:p w14:paraId="3B4510E7">
            <w:pPr>
              <w:widowControl/>
              <w:jc w:val="center"/>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规范依申请公开工作</w:t>
            </w:r>
          </w:p>
        </w:tc>
        <w:tc>
          <w:tcPr>
            <w:tcW w:w="2601" w:type="pct"/>
            <w:vAlign w:val="center"/>
          </w:tcPr>
          <w:p w14:paraId="67CDF235">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以完善内部制度为抓手，以规范答复文书格式为重点，</w:t>
            </w:r>
            <w:r>
              <w:rPr>
                <w:rFonts w:hint="eastAsia" w:ascii="仿宋_GB2312" w:eastAsia="仿宋_GB2312" w:cs="宋体"/>
                <w:color w:val="000000"/>
                <w:kern w:val="0"/>
                <w:sz w:val="24"/>
                <w:szCs w:val="24"/>
              </w:rPr>
              <w:t>做好依申请公开接收、登记、办理、调查、答复等各个环节工作。</w:t>
            </w:r>
          </w:p>
        </w:tc>
        <w:tc>
          <w:tcPr>
            <w:tcW w:w="1441" w:type="pct"/>
            <w:vAlign w:val="center"/>
          </w:tcPr>
          <w:p w14:paraId="6815B834">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270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77" w:type="pct"/>
            <w:vMerge w:val="continue"/>
            <w:vAlign w:val="center"/>
          </w:tcPr>
          <w:p w14:paraId="5D1AAB44">
            <w:pPr>
              <w:widowControl/>
              <w:jc w:val="center"/>
              <w:rPr>
                <w:rFonts w:ascii="仿宋_GB2312" w:eastAsia="仿宋_GB2312" w:cs="宋体"/>
                <w:color w:val="000000"/>
                <w:kern w:val="0"/>
                <w:sz w:val="24"/>
                <w:szCs w:val="24"/>
              </w:rPr>
            </w:pPr>
          </w:p>
        </w:tc>
        <w:tc>
          <w:tcPr>
            <w:tcW w:w="479" w:type="pct"/>
            <w:vMerge w:val="continue"/>
            <w:vAlign w:val="center"/>
          </w:tcPr>
          <w:p w14:paraId="6D6EB868">
            <w:pPr>
              <w:widowControl/>
              <w:jc w:val="left"/>
              <w:rPr>
                <w:rFonts w:hint="eastAsia" w:ascii="仿宋_GB2312" w:eastAsia="仿宋_GB2312" w:cs="宋体"/>
                <w:color w:val="000000"/>
                <w:kern w:val="0"/>
                <w:sz w:val="24"/>
                <w:szCs w:val="24"/>
              </w:rPr>
            </w:pPr>
          </w:p>
        </w:tc>
        <w:tc>
          <w:tcPr>
            <w:tcW w:w="2601" w:type="pct"/>
            <w:vAlign w:val="center"/>
          </w:tcPr>
          <w:p w14:paraId="445817A1">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注重程序规范和实体规范，推动行政机关依申请办理的程序化、规范化、标准化。提高依申请办理协查的准确性、全面性，严防出现因协查不力引发败诉的情况。完善疑难件办理会商机制，加强与相关部门的会商，提高答复精准度。</w:t>
            </w:r>
          </w:p>
        </w:tc>
        <w:tc>
          <w:tcPr>
            <w:tcW w:w="1441" w:type="pct"/>
            <w:vAlign w:val="center"/>
          </w:tcPr>
          <w:p w14:paraId="1B866CFD">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1E2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77" w:type="pct"/>
            <w:vMerge w:val="continue"/>
            <w:vAlign w:val="center"/>
          </w:tcPr>
          <w:p w14:paraId="77C9F941">
            <w:pPr>
              <w:widowControl/>
              <w:jc w:val="center"/>
              <w:rPr>
                <w:rFonts w:ascii="仿宋_GB2312" w:eastAsia="仿宋_GB2312" w:cs="宋体"/>
                <w:color w:val="000000"/>
                <w:kern w:val="0"/>
                <w:sz w:val="24"/>
                <w:szCs w:val="24"/>
              </w:rPr>
            </w:pPr>
          </w:p>
        </w:tc>
        <w:tc>
          <w:tcPr>
            <w:tcW w:w="479" w:type="pct"/>
            <w:vMerge w:val="continue"/>
            <w:vAlign w:val="center"/>
          </w:tcPr>
          <w:p w14:paraId="2D49EFFF">
            <w:pPr>
              <w:widowControl/>
              <w:jc w:val="left"/>
              <w:rPr>
                <w:rFonts w:hint="eastAsia" w:ascii="仿宋_GB2312" w:eastAsia="仿宋_GB2312" w:cs="宋体"/>
                <w:color w:val="000000"/>
                <w:kern w:val="0"/>
                <w:sz w:val="24"/>
                <w:szCs w:val="24"/>
              </w:rPr>
            </w:pPr>
          </w:p>
        </w:tc>
        <w:tc>
          <w:tcPr>
            <w:tcW w:w="2601" w:type="pct"/>
            <w:vAlign w:val="center"/>
          </w:tcPr>
          <w:p w14:paraId="230B620B">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从严把握不予公开范围，对法定不予公开条款坚持最小化适用原则，切实做到以公开为常态、不公开为例外。</w:t>
            </w:r>
            <w:r>
              <w:rPr>
                <w:rFonts w:hint="eastAsia" w:ascii="仿宋_GB2312" w:eastAsia="仿宋_GB2312" w:cs="宋体"/>
                <w:color w:val="000000"/>
                <w:kern w:val="0"/>
                <w:sz w:val="24"/>
                <w:szCs w:val="24"/>
              </w:rPr>
              <w:t>积极探索依申请办理的新做法，总结新经验，不断提升工作实效。</w:t>
            </w:r>
          </w:p>
        </w:tc>
        <w:tc>
          <w:tcPr>
            <w:tcW w:w="1441" w:type="pct"/>
            <w:vAlign w:val="center"/>
          </w:tcPr>
          <w:p w14:paraId="150554C5">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073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77" w:type="pct"/>
            <w:vMerge w:val="continue"/>
            <w:vAlign w:val="center"/>
          </w:tcPr>
          <w:p w14:paraId="124D4B4F">
            <w:pPr>
              <w:widowControl/>
              <w:jc w:val="center"/>
              <w:rPr>
                <w:rFonts w:ascii="仿宋_GB2312" w:eastAsia="仿宋_GB2312" w:cs="宋体"/>
                <w:color w:val="000000"/>
                <w:kern w:val="0"/>
                <w:sz w:val="24"/>
                <w:szCs w:val="24"/>
              </w:rPr>
            </w:pPr>
          </w:p>
        </w:tc>
        <w:tc>
          <w:tcPr>
            <w:tcW w:w="479" w:type="pct"/>
            <w:vAlign w:val="center"/>
          </w:tcPr>
          <w:p w14:paraId="001A959F">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推动政府公报创新发展</w:t>
            </w:r>
          </w:p>
        </w:tc>
        <w:tc>
          <w:tcPr>
            <w:tcW w:w="2601" w:type="pct"/>
            <w:vAlign w:val="center"/>
          </w:tcPr>
          <w:p w14:paraId="1A67A547">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增强政府公报规范性，加快推进政府公报数字化工作，实现创刊以来刊登内容全部入库管理。突出政府公报权威性，使其在多样化的传播渠道中更好地发出政府权威声音。提高政府公报时效性，缩短出刊周期，优化出刊方式。强化政府公报服务公众功能，做好政府公报的赠阅发行。</w:t>
            </w:r>
          </w:p>
        </w:tc>
        <w:tc>
          <w:tcPr>
            <w:tcW w:w="1441" w:type="pct"/>
            <w:vAlign w:val="center"/>
          </w:tcPr>
          <w:p w14:paraId="336945AE">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县政府办公室</w:t>
            </w:r>
          </w:p>
        </w:tc>
      </w:tr>
      <w:tr w14:paraId="4F5B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77" w:type="pct"/>
            <w:vMerge w:val="restart"/>
            <w:vAlign w:val="center"/>
          </w:tcPr>
          <w:p w14:paraId="12A4ECBA">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持续优化政务公开平台建设</w:t>
            </w:r>
          </w:p>
        </w:tc>
        <w:tc>
          <w:tcPr>
            <w:tcW w:w="479" w:type="pct"/>
            <w:vMerge w:val="restart"/>
            <w:vAlign w:val="center"/>
          </w:tcPr>
          <w:p w14:paraId="29ABB681">
            <w:pPr>
              <w:widowControl/>
              <w:jc w:val="center"/>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加强政府网站</w:t>
            </w:r>
            <w:r>
              <w:rPr>
                <w:rFonts w:hint="eastAsia" w:ascii="仿宋_GB2312" w:eastAsia="仿宋_GB2312" w:cs="宋体"/>
                <w:color w:val="000000"/>
                <w:kern w:val="0"/>
                <w:sz w:val="24"/>
                <w:szCs w:val="24"/>
                <w:lang w:val="en-US" w:eastAsia="zh-CN"/>
              </w:rPr>
              <w:t>与政务新媒体</w:t>
            </w:r>
            <w:r>
              <w:rPr>
                <w:rFonts w:hint="eastAsia" w:ascii="仿宋_GB2312" w:eastAsia="仿宋_GB2312" w:cs="宋体"/>
                <w:color w:val="000000"/>
                <w:kern w:val="0"/>
                <w:sz w:val="24"/>
                <w:szCs w:val="24"/>
              </w:rPr>
              <w:t>建设</w:t>
            </w:r>
          </w:p>
        </w:tc>
        <w:tc>
          <w:tcPr>
            <w:tcW w:w="2601" w:type="pct"/>
            <w:vAlign w:val="center"/>
          </w:tcPr>
          <w:p w14:paraId="66EDB5B0">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加强政府网站和政务新媒体内容保障，更多发布权威准确、通俗易懂、形式多样、易于传播的政策解读产品，不断提高政策知晓度。强化网络安全责任，抓好政府网站和政务新媒体安全防护，</w:t>
            </w:r>
            <w:r>
              <w:rPr>
                <w:rFonts w:hint="eastAsia" w:ascii="仿宋_GB2312" w:eastAsia="仿宋_GB2312" w:cs="宋体"/>
                <w:color w:val="000000"/>
                <w:kern w:val="0"/>
                <w:sz w:val="24"/>
                <w:szCs w:val="24"/>
              </w:rPr>
              <w:t>明确政务新媒体功能定位,强化发布、传播、互动、引导、办事等功能，严格内容发布审核制度，严把政治关、法律关、保密关、文字关。</w:t>
            </w:r>
          </w:p>
        </w:tc>
        <w:tc>
          <w:tcPr>
            <w:tcW w:w="1441" w:type="pct"/>
            <w:vAlign w:val="center"/>
          </w:tcPr>
          <w:p w14:paraId="24C22F47">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0E71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477" w:type="pct"/>
            <w:vMerge w:val="continue"/>
            <w:vAlign w:val="center"/>
          </w:tcPr>
          <w:p w14:paraId="75637754">
            <w:pPr>
              <w:widowControl/>
              <w:jc w:val="left"/>
              <w:rPr>
                <w:rFonts w:hint="eastAsia" w:ascii="仿宋_GB2312" w:eastAsia="仿宋_GB2312" w:cs="宋体"/>
                <w:color w:val="000000"/>
                <w:kern w:val="0"/>
                <w:sz w:val="24"/>
                <w:szCs w:val="24"/>
              </w:rPr>
            </w:pPr>
          </w:p>
        </w:tc>
        <w:tc>
          <w:tcPr>
            <w:tcW w:w="479" w:type="pct"/>
            <w:vMerge w:val="continue"/>
            <w:vAlign w:val="center"/>
          </w:tcPr>
          <w:p w14:paraId="2B637E93">
            <w:pPr>
              <w:widowControl/>
              <w:jc w:val="center"/>
              <w:rPr>
                <w:rFonts w:hint="eastAsia" w:ascii="仿宋_GB2312" w:eastAsia="仿宋_GB2312" w:cs="宋体"/>
                <w:color w:val="000000"/>
                <w:kern w:val="0"/>
                <w:sz w:val="24"/>
                <w:szCs w:val="24"/>
              </w:rPr>
            </w:pPr>
          </w:p>
        </w:tc>
        <w:tc>
          <w:tcPr>
            <w:tcW w:w="2601" w:type="pct"/>
            <w:vAlign w:val="center"/>
          </w:tcPr>
          <w:p w14:paraId="6791F3C7">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加强政府网站无障碍访问能力建设，提升网站的可感知性、可操作性、可理解性及兼容性。</w:t>
            </w:r>
          </w:p>
        </w:tc>
        <w:tc>
          <w:tcPr>
            <w:tcW w:w="1441" w:type="pct"/>
            <w:vAlign w:val="center"/>
          </w:tcPr>
          <w:p w14:paraId="5A05AA1C">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县政府办公室</w:t>
            </w:r>
          </w:p>
        </w:tc>
      </w:tr>
      <w:tr w14:paraId="704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77" w:type="pct"/>
            <w:vMerge w:val="continue"/>
            <w:vAlign w:val="center"/>
          </w:tcPr>
          <w:p w14:paraId="3D65926C">
            <w:pPr>
              <w:widowControl/>
              <w:jc w:val="left"/>
              <w:rPr>
                <w:rFonts w:hint="eastAsia" w:ascii="仿宋_GB2312" w:eastAsia="仿宋_GB2312" w:cs="宋体"/>
                <w:color w:val="000000"/>
                <w:kern w:val="0"/>
                <w:sz w:val="24"/>
                <w:szCs w:val="24"/>
              </w:rPr>
            </w:pPr>
          </w:p>
        </w:tc>
        <w:tc>
          <w:tcPr>
            <w:tcW w:w="479" w:type="pct"/>
            <w:vAlign w:val="center"/>
          </w:tcPr>
          <w:p w14:paraId="4DBEACDA">
            <w:pPr>
              <w:widowControl/>
              <w:jc w:val="center"/>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规范政府信息公开专栏设置</w:t>
            </w:r>
          </w:p>
        </w:tc>
        <w:tc>
          <w:tcPr>
            <w:tcW w:w="2601" w:type="pct"/>
            <w:vAlign w:val="center"/>
          </w:tcPr>
          <w:p w14:paraId="41586305">
            <w:pPr>
              <w:widowControl/>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规范政府网站政府信息公开专栏设置，统一命名为“政府信息公开”，在网站首页位置展示。专栏需涵盖政府信息公开指南、政府信息公开制度、法定主动公开内容和政府信息公开年报四部分，页面设计根据中国政府网运行中心的参考方案完善。</w:t>
            </w:r>
          </w:p>
        </w:tc>
        <w:tc>
          <w:tcPr>
            <w:tcW w:w="1441" w:type="pct"/>
            <w:vAlign w:val="center"/>
          </w:tcPr>
          <w:p w14:paraId="604AE17D">
            <w:pPr>
              <w:widowControl/>
              <w:jc w:val="left"/>
              <w:rPr>
                <w:rFonts w:hint="default"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县政府办公室</w:t>
            </w:r>
          </w:p>
        </w:tc>
      </w:tr>
      <w:tr w14:paraId="010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77" w:type="pct"/>
            <w:vMerge w:val="continue"/>
            <w:vAlign w:val="center"/>
          </w:tcPr>
          <w:p w14:paraId="1485FC05">
            <w:pPr>
              <w:widowControl/>
              <w:jc w:val="center"/>
              <w:rPr>
                <w:rFonts w:hint="eastAsia" w:ascii="仿宋_GB2312" w:eastAsia="仿宋_GB2312" w:cs="宋体"/>
                <w:color w:val="000000"/>
                <w:kern w:val="0"/>
                <w:sz w:val="24"/>
                <w:szCs w:val="24"/>
              </w:rPr>
            </w:pPr>
          </w:p>
        </w:tc>
        <w:tc>
          <w:tcPr>
            <w:tcW w:w="479" w:type="pct"/>
            <w:vAlign w:val="center"/>
          </w:tcPr>
          <w:p w14:paraId="03A40C60">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eastAsia="仿宋_GB2312" w:cs="宋体"/>
                <w:color w:val="000000"/>
                <w:kern w:val="0"/>
                <w:sz w:val="24"/>
                <w:szCs w:val="24"/>
              </w:rPr>
              <w:t>充分利用各级各类新闻媒体平台</w:t>
            </w:r>
          </w:p>
        </w:tc>
        <w:tc>
          <w:tcPr>
            <w:tcW w:w="2601" w:type="pct"/>
            <w:vAlign w:val="center"/>
          </w:tcPr>
          <w:p w14:paraId="1C12DDF0">
            <w:pPr>
              <w:widowControl/>
              <w:jc w:val="left"/>
              <w:rPr>
                <w:rFonts w:hint="eastAsia" w:ascii="仿宋_GB2312" w:hAnsi="等线" w:eastAsia="仿宋_GB2312" w:cs="宋体"/>
                <w:color w:val="000000"/>
                <w:kern w:val="0"/>
                <w:sz w:val="24"/>
                <w:szCs w:val="24"/>
                <w:lang w:val="en-US" w:eastAsia="zh-CN" w:bidi="ar-SA"/>
              </w:rPr>
            </w:pPr>
            <w:r>
              <w:rPr>
                <w:rFonts w:hint="eastAsia" w:ascii="仿宋_GB2312" w:eastAsia="仿宋_GB2312" w:cs="宋体"/>
                <w:color w:val="000000"/>
                <w:kern w:val="0"/>
                <w:sz w:val="24"/>
                <w:szCs w:val="24"/>
              </w:rPr>
              <w:t>加强与宣传、网信等部门以及新闻媒体的沟通联系，运用各类新闻媒体资源做好政务公开工作。充分发挥新闻发布会作用，增强政府信息发布的主动性、权威性和时效性。通过主动向媒体提供素材，召开媒体通气会，畅通媒体采访渠道，更好发挥新闻媒体的公开平台作用。</w:t>
            </w:r>
          </w:p>
        </w:tc>
        <w:tc>
          <w:tcPr>
            <w:tcW w:w="1441" w:type="pct"/>
            <w:vAlign w:val="center"/>
          </w:tcPr>
          <w:p w14:paraId="3122EEAD">
            <w:pPr>
              <w:widowControl/>
              <w:jc w:val="left"/>
              <w:rPr>
                <w:rFonts w:hint="eastAsia" w:ascii="仿宋_GB2312" w:hAnsi="等线" w:eastAsia="仿宋_GB2312" w:cs="宋体"/>
                <w:color w:val="000000"/>
                <w:kern w:val="0"/>
                <w:sz w:val="24"/>
                <w:szCs w:val="24"/>
                <w:lang w:val="en-US" w:eastAsia="zh-CN" w:bidi="ar-SA"/>
              </w:rPr>
            </w:pPr>
            <w:r>
              <w:rPr>
                <w:rFonts w:hint="eastAsia" w:ascii="仿宋_GB2312" w:eastAsia="仿宋_GB2312" w:cs="宋体"/>
                <w:color w:val="000000"/>
                <w:kern w:val="0"/>
                <w:sz w:val="24"/>
                <w:szCs w:val="24"/>
              </w:rPr>
              <w:t>各相关部门、各镇（街道）</w:t>
            </w:r>
          </w:p>
        </w:tc>
      </w:tr>
      <w:tr w14:paraId="1C5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7" w:type="pct"/>
            <w:vMerge w:val="restart"/>
            <w:vAlign w:val="center"/>
          </w:tcPr>
          <w:p w14:paraId="708E9766">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不断完善政务公开保障机制</w:t>
            </w:r>
          </w:p>
          <w:p w14:paraId="54B9D6F4">
            <w:pPr>
              <w:widowControl/>
              <w:jc w:val="center"/>
              <w:rPr>
                <w:rFonts w:ascii="仿宋_GB2312" w:eastAsia="仿宋_GB2312" w:cs="宋体"/>
                <w:color w:val="000000"/>
                <w:kern w:val="0"/>
                <w:sz w:val="24"/>
                <w:szCs w:val="24"/>
              </w:rPr>
            </w:pPr>
          </w:p>
        </w:tc>
        <w:tc>
          <w:tcPr>
            <w:tcW w:w="479" w:type="pct"/>
            <w:vMerge w:val="restart"/>
            <w:vAlign w:val="center"/>
          </w:tcPr>
          <w:p w14:paraId="279D941B">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加强组织领导</w:t>
            </w:r>
          </w:p>
        </w:tc>
        <w:tc>
          <w:tcPr>
            <w:tcW w:w="2601" w:type="pct"/>
            <w:vAlign w:val="center"/>
          </w:tcPr>
          <w:p w14:paraId="4A51A0B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政府办公室作为政府信息公开工作主管部门，要依法确定一名负责同志履行本机关政府信息公开工作领导职责，设置政务公开科作为政府信息公开工作机构，配齐配强工作力量。强化政府办公室政务公开工作主管部门职责，加大组织协调、指导推进、监督检查力度，建立与宣传、网信、融媒体中心等的协调联动机制。</w:t>
            </w:r>
          </w:p>
        </w:tc>
        <w:tc>
          <w:tcPr>
            <w:tcW w:w="1441" w:type="pct"/>
            <w:vAlign w:val="center"/>
          </w:tcPr>
          <w:p w14:paraId="6B6ED37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县政府办公室</w:t>
            </w:r>
          </w:p>
        </w:tc>
      </w:tr>
      <w:tr w14:paraId="1FC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77" w:type="pct"/>
            <w:vMerge w:val="continue"/>
            <w:vAlign w:val="center"/>
          </w:tcPr>
          <w:p w14:paraId="4C6DB5B1">
            <w:pPr>
              <w:widowControl/>
              <w:jc w:val="center"/>
              <w:rPr>
                <w:rFonts w:ascii="仿宋_GB2312" w:eastAsia="仿宋_GB2312" w:cs="宋体"/>
                <w:color w:val="000000"/>
                <w:kern w:val="0"/>
                <w:sz w:val="24"/>
                <w:szCs w:val="24"/>
              </w:rPr>
            </w:pPr>
          </w:p>
        </w:tc>
        <w:tc>
          <w:tcPr>
            <w:tcW w:w="479" w:type="pct"/>
            <w:vMerge w:val="continue"/>
            <w:vAlign w:val="center"/>
          </w:tcPr>
          <w:p w14:paraId="1DC24BBA">
            <w:pPr>
              <w:widowControl/>
              <w:jc w:val="center"/>
              <w:rPr>
                <w:rFonts w:ascii="仿宋_GB2312" w:eastAsia="仿宋_GB2312" w:cs="宋体"/>
                <w:color w:val="000000"/>
                <w:kern w:val="0"/>
                <w:sz w:val="24"/>
                <w:szCs w:val="24"/>
              </w:rPr>
            </w:pPr>
          </w:p>
        </w:tc>
        <w:tc>
          <w:tcPr>
            <w:tcW w:w="2601" w:type="pct"/>
            <w:vAlign w:val="center"/>
          </w:tcPr>
          <w:p w14:paraId="697CD8F2">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各级各部门要及时调整本单位政务公开工作领导小组，明确分管负责人和专（兼）职工作人员，落实具体职责，确保政务公开工作有序运转、无缝衔接。</w:t>
            </w:r>
          </w:p>
        </w:tc>
        <w:tc>
          <w:tcPr>
            <w:tcW w:w="1441" w:type="pct"/>
            <w:vAlign w:val="center"/>
          </w:tcPr>
          <w:p w14:paraId="081F7BD8">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4D54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7" w:type="pct"/>
            <w:vMerge w:val="continue"/>
            <w:vAlign w:val="center"/>
          </w:tcPr>
          <w:p w14:paraId="4C37FF69">
            <w:pPr>
              <w:widowControl/>
              <w:jc w:val="center"/>
              <w:rPr>
                <w:rFonts w:ascii="仿宋_GB2312" w:eastAsia="仿宋_GB2312" w:cs="宋体"/>
                <w:color w:val="000000"/>
                <w:kern w:val="0"/>
                <w:sz w:val="24"/>
                <w:szCs w:val="24"/>
              </w:rPr>
            </w:pPr>
          </w:p>
        </w:tc>
        <w:tc>
          <w:tcPr>
            <w:tcW w:w="479" w:type="pct"/>
            <w:vAlign w:val="center"/>
          </w:tcPr>
          <w:p w14:paraId="76824E28">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完善制度规范</w:t>
            </w:r>
          </w:p>
        </w:tc>
        <w:tc>
          <w:tcPr>
            <w:tcW w:w="2601" w:type="pct"/>
            <w:vAlign w:val="center"/>
          </w:tcPr>
          <w:p w14:paraId="0BAB3C4B">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高质量做好政府信息公开工作年度报告编制、报送和发布工作。及时更新政府信息公开指南，并明确标注更新日期。继续完善主动公开基本目录，并动态调整更新。健全完善政务信息制作、获取、保存、处理等方面的制度，对政务信息实施全生命周期的规范管理。建立规章、规范性文件等集中发布平台，并根据立、改、废等情况动态调整更新。定期对本单位不予公开的信息及依申请公开较为集中的信息进行全面自查，发现应公开未公开的信息应当公开，可转为主动公开的应当主动公开。探索建立政务公开负面清单，细化明确不予公开范围，负面清单外的事项原则上都要依法依规予以公开。公共企事业单位信息公开由行业主管部门作为行政监管事项，提出要求并负责落实。</w:t>
            </w:r>
          </w:p>
        </w:tc>
        <w:tc>
          <w:tcPr>
            <w:tcW w:w="1441" w:type="pct"/>
            <w:vAlign w:val="center"/>
          </w:tcPr>
          <w:p w14:paraId="771F5933">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r w14:paraId="2F8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77" w:type="pct"/>
            <w:vMerge w:val="continue"/>
            <w:vAlign w:val="center"/>
          </w:tcPr>
          <w:p w14:paraId="6DA0D210">
            <w:pPr>
              <w:widowControl/>
              <w:jc w:val="center"/>
              <w:rPr>
                <w:rFonts w:ascii="仿宋_GB2312" w:eastAsia="仿宋_GB2312" w:cs="宋体"/>
                <w:color w:val="000000"/>
                <w:kern w:val="0"/>
                <w:sz w:val="24"/>
                <w:szCs w:val="24"/>
              </w:rPr>
            </w:pPr>
          </w:p>
        </w:tc>
        <w:tc>
          <w:tcPr>
            <w:tcW w:w="479" w:type="pct"/>
            <w:vAlign w:val="center"/>
          </w:tcPr>
          <w:p w14:paraId="74AC6228">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强化监督评估</w:t>
            </w:r>
          </w:p>
        </w:tc>
        <w:tc>
          <w:tcPr>
            <w:tcW w:w="2601" w:type="pct"/>
            <w:vAlign w:val="center"/>
          </w:tcPr>
          <w:p w14:paraId="23A185FE">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要定期对政务公开工作开展情况进行督查，对政务公开工作推动有力、积极参与的单位和个人按照有关规定进行表彰；对重要信息不发布、重大政策不解读、热点回应不及时的，要严肃批评、公开通报；对弄虚作假、隐瞒实情、欺骗公众，造成严重社会影响的依纪依法追究相关单位和人员责任。健全完善第三方评估机制</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rPr>
              <w:t>结合《平阴县2020年政务公开考法办法（试行）》认真梳理绩效考核体系中政务公开各项指标，根据中央、省市要求进行调整完善，将信息公开、政策解读、媒体参与等作为政务公开的重要内容纳入绩效考核体系。</w:t>
            </w:r>
          </w:p>
        </w:tc>
        <w:tc>
          <w:tcPr>
            <w:tcW w:w="1441" w:type="pct"/>
            <w:vAlign w:val="center"/>
          </w:tcPr>
          <w:p w14:paraId="4D906F26">
            <w:pPr>
              <w:widowControl/>
              <w:jc w:val="left"/>
              <w:rPr>
                <w:rFonts w:hint="default"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县政府办公室</w:t>
            </w:r>
          </w:p>
        </w:tc>
      </w:tr>
      <w:tr w14:paraId="79B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77" w:type="pct"/>
            <w:vAlign w:val="center"/>
          </w:tcPr>
          <w:p w14:paraId="75F40694">
            <w:pPr>
              <w:widowControl/>
              <w:jc w:val="center"/>
              <w:rPr>
                <w:rFonts w:ascii="仿宋_GB2312" w:eastAsia="仿宋_GB2312" w:cs="宋体"/>
                <w:color w:val="000000"/>
                <w:kern w:val="0"/>
                <w:sz w:val="24"/>
                <w:szCs w:val="24"/>
              </w:rPr>
            </w:pPr>
          </w:p>
        </w:tc>
        <w:tc>
          <w:tcPr>
            <w:tcW w:w="479" w:type="pct"/>
            <w:vAlign w:val="center"/>
          </w:tcPr>
          <w:p w14:paraId="76CE56CA">
            <w:pPr>
              <w:widowControl/>
              <w:jc w:val="center"/>
              <w:rPr>
                <w:rFonts w:hint="eastAsia" w:ascii="仿宋_GB2312" w:eastAsia="仿宋_GB2312" w:cs="宋体"/>
                <w:color w:val="000000"/>
                <w:kern w:val="0"/>
                <w:sz w:val="24"/>
                <w:szCs w:val="24"/>
                <w:lang w:eastAsia="zh-CN"/>
              </w:rPr>
            </w:pPr>
            <w:r>
              <w:rPr>
                <w:rFonts w:hint="eastAsia" w:ascii="仿宋_GB2312" w:eastAsia="仿宋_GB2312" w:cs="宋体"/>
                <w:color w:val="000000"/>
                <w:kern w:val="0"/>
                <w:sz w:val="24"/>
                <w:szCs w:val="24"/>
              </w:rPr>
              <w:t>加强业务</w:t>
            </w:r>
            <w:r>
              <w:rPr>
                <w:rFonts w:hint="eastAsia" w:ascii="仿宋_GB2312" w:eastAsia="仿宋_GB2312" w:cs="宋体"/>
                <w:color w:val="000000"/>
                <w:kern w:val="0"/>
                <w:sz w:val="24"/>
                <w:szCs w:val="24"/>
                <w:lang w:val="en-US" w:eastAsia="zh-CN"/>
              </w:rPr>
              <w:t>交流</w:t>
            </w:r>
          </w:p>
        </w:tc>
        <w:tc>
          <w:tcPr>
            <w:tcW w:w="2601" w:type="pct"/>
            <w:vAlign w:val="center"/>
          </w:tcPr>
          <w:p w14:paraId="41C7CFE7">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要将政府信息公开条例列入领导干部、公务员和政府工作人员培训内容，提升政务公开意识和能力。要改进培训方式，增强培训的针对性、科学性、实效性，合理设置培训课程，提升培训效果。要探索创新，及时总结，积极向国办《政务公开工作交流》电子刊物和“政务公开看山东”“政务公开看平阴”专栏报送可复制可推广的经验和案例，全面提升政务公开水平。</w:t>
            </w:r>
          </w:p>
        </w:tc>
        <w:tc>
          <w:tcPr>
            <w:tcW w:w="1441" w:type="pct"/>
            <w:vAlign w:val="center"/>
          </w:tcPr>
          <w:p w14:paraId="33760A16">
            <w:pPr>
              <w:widowControl/>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各相关部门、各镇（街道）</w:t>
            </w:r>
          </w:p>
        </w:tc>
      </w:tr>
    </w:tbl>
    <w:p w14:paraId="5911C0A3">
      <w:pPr>
        <w:widowControl/>
        <w:jc w:val="left"/>
        <w:rPr>
          <w:rFonts w:ascii="仿宋_GB2312" w:eastAsia="仿宋_GB2312" w:cs="宋体"/>
          <w:color w:val="000000"/>
          <w:kern w:val="0"/>
          <w:sz w:val="24"/>
          <w:szCs w:val="24"/>
        </w:rPr>
      </w:pPr>
    </w:p>
    <w:p w14:paraId="47675B14">
      <w:pPr>
        <w:widowControl/>
        <w:jc w:val="left"/>
        <w:rPr>
          <w:rFonts w:ascii="仿宋_GB2312" w:eastAsia="仿宋_GB2312" w:cs="宋体"/>
          <w:color w:val="000000"/>
          <w:kern w:val="0"/>
          <w:sz w:val="24"/>
          <w:szCs w:val="24"/>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ABE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497BDF">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E0C"/>
    <w:rsid w:val="000049CF"/>
    <w:rsid w:val="00011A94"/>
    <w:rsid w:val="000259BA"/>
    <w:rsid w:val="00053AA3"/>
    <w:rsid w:val="0005558A"/>
    <w:rsid w:val="00096173"/>
    <w:rsid w:val="000979B8"/>
    <w:rsid w:val="000B7171"/>
    <w:rsid w:val="000D05E2"/>
    <w:rsid w:val="000D6B4E"/>
    <w:rsid w:val="00111734"/>
    <w:rsid w:val="00127294"/>
    <w:rsid w:val="00131D2C"/>
    <w:rsid w:val="001A221F"/>
    <w:rsid w:val="001E1D13"/>
    <w:rsid w:val="00245A72"/>
    <w:rsid w:val="00265BFF"/>
    <w:rsid w:val="00276E17"/>
    <w:rsid w:val="0031733E"/>
    <w:rsid w:val="00320F1C"/>
    <w:rsid w:val="003871F8"/>
    <w:rsid w:val="003B6733"/>
    <w:rsid w:val="003F7312"/>
    <w:rsid w:val="004151AC"/>
    <w:rsid w:val="00460D6A"/>
    <w:rsid w:val="00470027"/>
    <w:rsid w:val="0048143A"/>
    <w:rsid w:val="00484DDA"/>
    <w:rsid w:val="004D6941"/>
    <w:rsid w:val="004E6565"/>
    <w:rsid w:val="00505FF3"/>
    <w:rsid w:val="00507CC1"/>
    <w:rsid w:val="0051108C"/>
    <w:rsid w:val="005207F3"/>
    <w:rsid w:val="00530F9F"/>
    <w:rsid w:val="00534DFB"/>
    <w:rsid w:val="00547A24"/>
    <w:rsid w:val="005606A5"/>
    <w:rsid w:val="00583D25"/>
    <w:rsid w:val="005A1323"/>
    <w:rsid w:val="005D339E"/>
    <w:rsid w:val="005E7AC0"/>
    <w:rsid w:val="005F1806"/>
    <w:rsid w:val="005F2D58"/>
    <w:rsid w:val="00631283"/>
    <w:rsid w:val="00667015"/>
    <w:rsid w:val="0067462E"/>
    <w:rsid w:val="00674783"/>
    <w:rsid w:val="00685D31"/>
    <w:rsid w:val="00686DC2"/>
    <w:rsid w:val="006B3B43"/>
    <w:rsid w:val="00720302"/>
    <w:rsid w:val="00735202"/>
    <w:rsid w:val="00747586"/>
    <w:rsid w:val="0078357E"/>
    <w:rsid w:val="00786AB1"/>
    <w:rsid w:val="007B2B6F"/>
    <w:rsid w:val="007D31C5"/>
    <w:rsid w:val="00801A7D"/>
    <w:rsid w:val="008259CC"/>
    <w:rsid w:val="00856297"/>
    <w:rsid w:val="008578B1"/>
    <w:rsid w:val="00890350"/>
    <w:rsid w:val="008925A7"/>
    <w:rsid w:val="008A5277"/>
    <w:rsid w:val="008D2BB3"/>
    <w:rsid w:val="008F3904"/>
    <w:rsid w:val="00901746"/>
    <w:rsid w:val="009424F1"/>
    <w:rsid w:val="009641E0"/>
    <w:rsid w:val="00976341"/>
    <w:rsid w:val="00991D2A"/>
    <w:rsid w:val="009B07CD"/>
    <w:rsid w:val="009C224F"/>
    <w:rsid w:val="009C4578"/>
    <w:rsid w:val="009D1F83"/>
    <w:rsid w:val="009E7B98"/>
    <w:rsid w:val="00A203B4"/>
    <w:rsid w:val="00A316C6"/>
    <w:rsid w:val="00A37F98"/>
    <w:rsid w:val="00A54AD2"/>
    <w:rsid w:val="00AB1140"/>
    <w:rsid w:val="00AE1E2D"/>
    <w:rsid w:val="00B420B1"/>
    <w:rsid w:val="00B6214B"/>
    <w:rsid w:val="00B8102F"/>
    <w:rsid w:val="00BD386B"/>
    <w:rsid w:val="00C14229"/>
    <w:rsid w:val="00C33188"/>
    <w:rsid w:val="00C4736A"/>
    <w:rsid w:val="00C53DF7"/>
    <w:rsid w:val="00C62F3E"/>
    <w:rsid w:val="00C64823"/>
    <w:rsid w:val="00C66939"/>
    <w:rsid w:val="00C70F69"/>
    <w:rsid w:val="00C97EB6"/>
    <w:rsid w:val="00CA4C7D"/>
    <w:rsid w:val="00CC2139"/>
    <w:rsid w:val="00CF418F"/>
    <w:rsid w:val="00D068F9"/>
    <w:rsid w:val="00D34857"/>
    <w:rsid w:val="00D5556D"/>
    <w:rsid w:val="00DA1476"/>
    <w:rsid w:val="00E00537"/>
    <w:rsid w:val="00E00E0C"/>
    <w:rsid w:val="00E148AC"/>
    <w:rsid w:val="00E34EBC"/>
    <w:rsid w:val="00E4798C"/>
    <w:rsid w:val="00E72C6D"/>
    <w:rsid w:val="00EA3631"/>
    <w:rsid w:val="00EA44AA"/>
    <w:rsid w:val="00EB613E"/>
    <w:rsid w:val="00F103F2"/>
    <w:rsid w:val="00F25616"/>
    <w:rsid w:val="00F70D6E"/>
    <w:rsid w:val="00F935EF"/>
    <w:rsid w:val="00F95290"/>
    <w:rsid w:val="00FB52A9"/>
    <w:rsid w:val="00FE7F3C"/>
    <w:rsid w:val="00FF0D14"/>
    <w:rsid w:val="03167894"/>
    <w:rsid w:val="05034AE8"/>
    <w:rsid w:val="08F43C68"/>
    <w:rsid w:val="0C0F7F02"/>
    <w:rsid w:val="131732CB"/>
    <w:rsid w:val="14CD59A7"/>
    <w:rsid w:val="166241D9"/>
    <w:rsid w:val="17D928D0"/>
    <w:rsid w:val="18AA1D1E"/>
    <w:rsid w:val="1BF34296"/>
    <w:rsid w:val="1C3E38B4"/>
    <w:rsid w:val="1EB42E9B"/>
    <w:rsid w:val="1FE21E4E"/>
    <w:rsid w:val="236702A5"/>
    <w:rsid w:val="23923307"/>
    <w:rsid w:val="23CE539C"/>
    <w:rsid w:val="24590057"/>
    <w:rsid w:val="2655000C"/>
    <w:rsid w:val="27040432"/>
    <w:rsid w:val="293D7687"/>
    <w:rsid w:val="29DC6755"/>
    <w:rsid w:val="2F69543F"/>
    <w:rsid w:val="318F3A34"/>
    <w:rsid w:val="32A976EF"/>
    <w:rsid w:val="349B0B8F"/>
    <w:rsid w:val="35BF7E1D"/>
    <w:rsid w:val="3AE925E4"/>
    <w:rsid w:val="3C3A0FF9"/>
    <w:rsid w:val="3CBB0919"/>
    <w:rsid w:val="3E21248D"/>
    <w:rsid w:val="416B0FA5"/>
    <w:rsid w:val="43AD3AD0"/>
    <w:rsid w:val="43C02984"/>
    <w:rsid w:val="43FB6DAD"/>
    <w:rsid w:val="46F32FD9"/>
    <w:rsid w:val="48F0066E"/>
    <w:rsid w:val="49A83327"/>
    <w:rsid w:val="49E476C3"/>
    <w:rsid w:val="4DC16912"/>
    <w:rsid w:val="50331FB5"/>
    <w:rsid w:val="503F6935"/>
    <w:rsid w:val="51407756"/>
    <w:rsid w:val="51972213"/>
    <w:rsid w:val="552411C0"/>
    <w:rsid w:val="55275B96"/>
    <w:rsid w:val="552B5ED0"/>
    <w:rsid w:val="55BC7C77"/>
    <w:rsid w:val="55C16228"/>
    <w:rsid w:val="57B8328C"/>
    <w:rsid w:val="58A61C9B"/>
    <w:rsid w:val="5C800DED"/>
    <w:rsid w:val="62195558"/>
    <w:rsid w:val="629975B1"/>
    <w:rsid w:val="642018FA"/>
    <w:rsid w:val="65CC64BA"/>
    <w:rsid w:val="669169B3"/>
    <w:rsid w:val="68275034"/>
    <w:rsid w:val="6A02412E"/>
    <w:rsid w:val="6ABD5F9A"/>
    <w:rsid w:val="6BDF4E7C"/>
    <w:rsid w:val="6C503322"/>
    <w:rsid w:val="6EDC7FF3"/>
    <w:rsid w:val="6F8B02C7"/>
    <w:rsid w:val="741A46DA"/>
    <w:rsid w:val="74D1161F"/>
    <w:rsid w:val="761831BE"/>
    <w:rsid w:val="78B941DD"/>
    <w:rsid w:val="79281A78"/>
    <w:rsid w:val="79B37754"/>
    <w:rsid w:val="7AEC1264"/>
    <w:rsid w:val="7EA673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Emphasis"/>
    <w:basedOn w:val="7"/>
    <w:qFormat/>
    <w:uiPriority w:val="99"/>
    <w:rPr>
      <w:rFonts w:cs="Times New Roman"/>
      <w:i/>
    </w:rPr>
  </w:style>
  <w:style w:type="character" w:customStyle="1" w:styleId="10">
    <w:name w:val="Balloon Text Char"/>
    <w:basedOn w:val="7"/>
    <w:link w:val="2"/>
    <w:semiHidden/>
    <w:qFormat/>
    <w:locked/>
    <w:uiPriority w:val="99"/>
    <w:rPr>
      <w:rFonts w:cs="Times New Roman"/>
      <w:sz w:val="18"/>
      <w:szCs w:val="18"/>
    </w:rPr>
  </w:style>
  <w:style w:type="character" w:customStyle="1" w:styleId="11">
    <w:name w:val="Footer Char"/>
    <w:basedOn w:val="7"/>
    <w:link w:val="3"/>
    <w:qFormat/>
    <w:locked/>
    <w:uiPriority w:val="99"/>
    <w:rPr>
      <w:rFonts w:cs="Times New Roman"/>
      <w:sz w:val="18"/>
      <w:szCs w:val="18"/>
    </w:rPr>
  </w:style>
  <w:style w:type="character" w:customStyle="1" w:styleId="12">
    <w:name w:val="Header Char"/>
    <w:basedOn w:val="7"/>
    <w:link w:val="4"/>
    <w:qFormat/>
    <w:locked/>
    <w:uiPriority w:val="99"/>
    <w:rPr>
      <w:rFonts w:cs="Times New Roman"/>
      <w:sz w:val="18"/>
      <w:szCs w:val="18"/>
    </w:rPr>
  </w:style>
  <w:style w:type="paragraph" w:styleId="13">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17</Pages>
  <Words>4886</Words>
  <Characters>4922</Characters>
  <Lines>0</Lines>
  <Paragraphs>0</Paragraphs>
  <TotalTime>58</TotalTime>
  <ScaleCrop>false</ScaleCrop>
  <LinksUpToDate>false</LinksUpToDate>
  <CharactersWithSpaces>4980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2020-07-14T07:41:00Z</dcterms:created>
  <dc:creator>Lenovo</dc:creator>
  <cp:lastModifiedBy>柠檬</cp:lastModifiedBy>
  <cp:lastPrinted>2020-08-10T02:29:00Z</cp:lastPrinted>
  <dcterms:modified xsi:type="dcterms:W3CDTF">2026-03-09T09:28:46Z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eyJoZGlkIjoiZjQxY2VhZDcyODM1MGQyOTE3ZDhlYjMyZjRmNjRlYWIiLCJ1c2VySWQiOiIxMTQ2MTI4NzYxIn0=</vt:lpwstr>
  </property>
  <property fmtid="{D5CDD505-2E9C-101B-9397-08002B2CF9AE}" pid="4" name="ICV">
    <vt:lpwstr>10144A7EAC354C539CF7CA2F1ED70FCE_12</vt:lpwstr>
  </property>
</Properties>
</file>