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F73A1">
      <w:pPr>
        <w:keepNext w:val="0"/>
        <w:keepLines w:val="0"/>
        <w:pageBreakBefore w:val="0"/>
        <w:widowControl w:val="0"/>
        <w:kinsoku/>
        <w:wordWrap/>
        <w:overflowPunct/>
        <w:topLinePunct w:val="0"/>
        <w:autoSpaceDE/>
        <w:autoSpaceDN/>
        <w:bidi w:val="0"/>
        <w:adjustRightInd/>
        <w:snapToGrid/>
        <w:spacing w:before="100" w:beforeAutospacing="1" w:after="100" w:afterAutospacing="1" w:line="660" w:lineRule="exact"/>
        <w:jc w:val="center"/>
        <w:textAlignment w:val="auto"/>
        <w:rPr>
          <w:rFonts w:hint="eastAsia" w:ascii="方正小标宋简体" w:hAnsi="方正小标宋简体" w:eastAsia="方正小标宋简体" w:cs="方正小标宋简体"/>
          <w:b w:val="0"/>
          <w:bCs w:val="0"/>
          <w:sz w:val="44"/>
          <w:szCs w:val="44"/>
        </w:rPr>
      </w:pPr>
      <w:bookmarkStart w:id="0" w:name="_GoBack"/>
      <w:bookmarkEnd w:id="0"/>
      <w:r>
        <w:rPr>
          <w:rFonts w:hint="eastAsia" w:ascii="方正小标宋简体" w:hAnsi="方正小标宋简体" w:eastAsia="方正小标宋简体" w:cs="方正小标宋简体"/>
          <w:b w:val="0"/>
          <w:bCs w:val="0"/>
          <w:sz w:val="44"/>
          <w:szCs w:val="44"/>
          <w:lang w:val="en-US" w:eastAsia="zh-CN"/>
        </w:rPr>
        <w:t>平阴县人力资源和社会保障局</w:t>
      </w:r>
      <w:r>
        <w:rPr>
          <w:rFonts w:hint="eastAsia" w:ascii="方正小标宋简体" w:hAnsi="方正小标宋简体" w:eastAsia="方正小标宋简体" w:cs="方正小标宋简体"/>
          <w:b w:val="0"/>
          <w:bCs w:val="0"/>
          <w:sz w:val="44"/>
          <w:szCs w:val="44"/>
        </w:rPr>
        <w:t>2026年度</w:t>
      </w:r>
      <w:r>
        <w:rPr>
          <w:rFonts w:hint="eastAsia" w:ascii="方正小标宋简体" w:hAnsi="方正小标宋简体" w:eastAsia="方正小标宋简体" w:cs="方正小标宋简体"/>
          <w:b w:val="0"/>
          <w:bCs w:val="0"/>
          <w:sz w:val="44"/>
          <w:szCs w:val="44"/>
        </w:rPr>
        <w:br w:type="textWrapping"/>
      </w:r>
      <w:r>
        <w:rPr>
          <w:rFonts w:hint="eastAsia" w:ascii="方正小标宋简体" w:hAnsi="方正小标宋简体" w:eastAsia="方正小标宋简体" w:cs="方正小标宋简体"/>
          <w:b w:val="0"/>
          <w:bCs w:val="0"/>
          <w:sz w:val="44"/>
          <w:szCs w:val="44"/>
        </w:rPr>
        <w:t>“双随机、一公开”抽查</w:t>
      </w:r>
      <w:r>
        <w:rPr>
          <w:rFonts w:hint="eastAsia" w:ascii="方正小标宋简体" w:hAnsi="方正小标宋简体" w:eastAsia="方正小标宋简体" w:cs="方正小标宋简体"/>
          <w:b w:val="0"/>
          <w:bCs w:val="0"/>
          <w:sz w:val="44"/>
          <w:szCs w:val="44"/>
          <w:lang w:val="en-US" w:eastAsia="zh-CN"/>
        </w:rPr>
        <w:t>工作</w:t>
      </w:r>
      <w:r>
        <w:rPr>
          <w:rFonts w:hint="eastAsia" w:ascii="方正小标宋简体" w:hAnsi="方正小标宋简体" w:eastAsia="方正小标宋简体" w:cs="方正小标宋简体"/>
          <w:b w:val="0"/>
          <w:bCs w:val="0"/>
          <w:sz w:val="44"/>
          <w:szCs w:val="44"/>
        </w:rPr>
        <w:t>计划</w:t>
      </w:r>
    </w:p>
    <w:p w14:paraId="10DB7EF1">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为贯彻落实上级关于规范涉企检查、减轻企业负担的工作部署，全面推行“双随机、一公开”监管机制，进一步规范我县人社领域涉企检查行为，提升监管效能，督促用人单位依法落实劳动保障主体责任，结合我局工作实际，制定本计划。</w:t>
      </w:r>
    </w:p>
    <w:p w14:paraId="51A6A486">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一、检查原则</w:t>
      </w:r>
    </w:p>
    <w:p w14:paraId="51EAE130">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坚持依法监管、公正高效、公开透明原则，以“双随机、一公开”为核心，完善人社领域“一单两库”，对照省级工作指引及执法清单开展检查。恪守规范裁量、文明执法准则，强化执法规范化建设，确保执法行为合法合规、结果公正可溯。</w:t>
      </w:r>
    </w:p>
    <w:p w14:paraId="32C9495D">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二、抽查方法</w:t>
      </w:r>
    </w:p>
    <w:p w14:paraId="280CE71A">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依托省级部门联合监管平台，由业务科室牵头，随机抽取执法人员组建检查组。对用人单位按用工合规度、安全风险等级等实施标签化分类，优先抽查高风险主体，提升监管精准性。</w:t>
      </w:r>
    </w:p>
    <w:p w14:paraId="568629F6">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kern w:val="0"/>
          <w:sz w:val="32"/>
          <w:szCs w:val="32"/>
          <w:lang w:val="en-US" w:eastAsia="zh-CN" w:bidi="ar"/>
        </w:rPr>
        <w:t>（一）依托平台统筹实施。</w:t>
      </w:r>
      <w:r>
        <w:rPr>
          <w:rFonts w:hint="eastAsia" w:ascii="仿宋_GB2312" w:hAnsi="仿宋_GB2312" w:eastAsia="仿宋_GB2312" w:cs="仿宋_GB2312"/>
          <w:kern w:val="0"/>
          <w:sz w:val="32"/>
          <w:szCs w:val="32"/>
          <w:lang w:val="en-US" w:eastAsia="zh-CN" w:bidi="ar"/>
        </w:rPr>
        <w:t>以山东省部门联合“双随机、一公开”监管平台为依托，结合相关政务系统，实现抽查工作全流程线上规范管理，确保各环节可追溯。</w:t>
      </w:r>
    </w:p>
    <w:p w14:paraId="63C9F4CD">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kern w:val="0"/>
          <w:sz w:val="32"/>
          <w:szCs w:val="32"/>
          <w:lang w:val="en-US" w:eastAsia="zh-CN" w:bidi="ar"/>
        </w:rPr>
        <w:t>（二）科学组建检查队伍。</w:t>
      </w:r>
      <w:r>
        <w:rPr>
          <w:rFonts w:hint="eastAsia" w:ascii="仿宋_GB2312" w:hAnsi="仿宋_GB2312" w:eastAsia="仿宋_GB2312" w:cs="仿宋_GB2312"/>
          <w:kern w:val="0"/>
          <w:sz w:val="32"/>
          <w:szCs w:val="32"/>
          <w:lang w:val="en-US" w:eastAsia="zh-CN" w:bidi="ar"/>
        </w:rPr>
        <w:t>根据抽查工作需要，由相关业务科室牵头，从执法人员名录库中随机抽取人员组成检查组，配齐配强执法力量，保障执法专业性。</w:t>
      </w:r>
    </w:p>
    <w:p w14:paraId="05839F72">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eastAsia" w:ascii="仿宋_GB2312" w:hAnsi="仿宋_GB2312" w:eastAsia="仿宋_GB2312" w:cs="仿宋_GB2312"/>
          <w:kern w:val="0"/>
          <w:sz w:val="32"/>
          <w:szCs w:val="32"/>
          <w:lang w:val="en-US" w:eastAsia="zh-CN" w:bidi="ar"/>
        </w:rPr>
      </w:pPr>
      <w:r>
        <w:rPr>
          <w:rFonts w:hint="eastAsia" w:ascii="方正楷体_GB2312" w:hAnsi="方正楷体_GB2312" w:eastAsia="方正楷体_GB2312" w:cs="方正楷体_GB2312"/>
          <w:kern w:val="0"/>
          <w:sz w:val="32"/>
          <w:szCs w:val="32"/>
          <w:lang w:val="en-US" w:eastAsia="zh-CN" w:bidi="ar"/>
        </w:rPr>
        <w:t>（</w:t>
      </w:r>
      <w:r>
        <w:rPr>
          <w:rFonts w:hint="eastAsia" w:ascii="楷体_GB2312" w:hAnsi="楷体_GB2312" w:eastAsia="楷体_GB2312" w:cs="楷体_GB2312"/>
          <w:kern w:val="0"/>
          <w:sz w:val="32"/>
          <w:szCs w:val="32"/>
          <w:lang w:val="en-US" w:eastAsia="zh-CN" w:bidi="ar"/>
        </w:rPr>
        <w:t>三）精准确定抽查对象。</w:t>
      </w:r>
      <w:r>
        <w:rPr>
          <w:rFonts w:hint="eastAsia" w:ascii="仿宋_GB2312" w:hAnsi="仿宋_GB2312" w:eastAsia="仿宋_GB2312" w:cs="仿宋_GB2312"/>
          <w:kern w:val="0"/>
          <w:sz w:val="32"/>
          <w:szCs w:val="32"/>
          <w:lang w:val="en-US" w:eastAsia="zh-CN" w:bidi="ar"/>
        </w:rPr>
        <w:t>对辖区内相关市场主体进行全面摸排梳理，实施标签化、分类分级管理，结合风险情况合理确定抽查范围、比例和频次，突出监管重点。</w:t>
      </w:r>
    </w:p>
    <w:p w14:paraId="17272196">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eastAsia" w:ascii="黑体" w:hAnsi="黑体" w:eastAsia="黑体" w:cs="黑体"/>
          <w:sz w:val="32"/>
          <w:szCs w:val="32"/>
        </w:rPr>
      </w:pPr>
      <w:r>
        <w:rPr>
          <w:rFonts w:hint="eastAsia" w:ascii="黑体" w:hAnsi="黑体" w:eastAsia="黑体" w:cs="黑体"/>
          <w:sz w:val="32"/>
          <w:szCs w:val="32"/>
        </w:rPr>
        <w:t>三、工作要求</w:t>
      </w:r>
    </w:p>
    <w:p w14:paraId="76774826">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kern w:val="0"/>
          <w:sz w:val="32"/>
          <w:szCs w:val="32"/>
          <w:lang w:val="en-US" w:eastAsia="zh-CN" w:bidi="ar"/>
        </w:rPr>
        <w:t>（一）统筹高效推进。</w:t>
      </w:r>
      <w:r>
        <w:rPr>
          <w:rFonts w:hint="eastAsia" w:ascii="仿宋_GB2312" w:hAnsi="仿宋_GB2312" w:eastAsia="仿宋_GB2312" w:cs="仿宋_GB2312"/>
          <w:kern w:val="0"/>
          <w:sz w:val="32"/>
          <w:szCs w:val="32"/>
          <w:lang w:val="en-US" w:eastAsia="zh-CN" w:bidi="ar"/>
        </w:rPr>
        <w:t>科学规划检查时序，提前告知企业检查事宜，督促备好用工、社保、劳动防护等相关资料，确保专人到场配合，避免重复检查、扰企扰民。</w:t>
      </w:r>
    </w:p>
    <w:p w14:paraId="5AF1E401">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方正楷体_GB2312" w:hAnsi="方正楷体_GB2312" w:eastAsia="方正楷体_GB2312" w:cs="方正楷体_GB2312"/>
          <w:kern w:val="0"/>
          <w:sz w:val="32"/>
          <w:szCs w:val="32"/>
          <w:lang w:val="en-US" w:eastAsia="zh-CN" w:bidi="ar"/>
        </w:rPr>
        <w:t>（</w:t>
      </w:r>
      <w:r>
        <w:rPr>
          <w:rFonts w:hint="eastAsia" w:ascii="楷体_GB2312" w:hAnsi="楷体_GB2312" w:eastAsia="楷体_GB2312" w:cs="楷体_GB2312"/>
          <w:kern w:val="0"/>
          <w:sz w:val="32"/>
          <w:szCs w:val="32"/>
          <w:lang w:val="en-US" w:eastAsia="zh-CN" w:bidi="ar"/>
        </w:rPr>
        <w:t>二）严格规范执法。</w:t>
      </w:r>
      <w:r>
        <w:rPr>
          <w:rFonts w:hint="eastAsia" w:ascii="仿宋_GB2312" w:hAnsi="仿宋_GB2312" w:eastAsia="仿宋_GB2312" w:cs="仿宋_GB2312"/>
          <w:kern w:val="0"/>
          <w:sz w:val="32"/>
          <w:szCs w:val="32"/>
          <w:lang w:val="en-US" w:eastAsia="zh-CN" w:bidi="ar"/>
        </w:rPr>
        <w:t>落实执法“三项制度”，按清单检查、全程留痕，规范使用执法文书及“鲁执法”模块。重大执法决定集体研判，不擅自扩围增项，坚守执法底线。</w:t>
      </w:r>
    </w:p>
    <w:p w14:paraId="7B66E22F">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kern w:val="0"/>
          <w:sz w:val="32"/>
          <w:szCs w:val="32"/>
          <w:lang w:val="en-US" w:eastAsia="zh-CN" w:bidi="ar"/>
        </w:rPr>
        <w:t>（三）强化联动公示。</w:t>
      </w:r>
      <w:r>
        <w:rPr>
          <w:rFonts w:hint="eastAsia" w:ascii="仿宋_GB2312" w:hAnsi="仿宋_GB2312" w:eastAsia="仿宋_GB2312" w:cs="仿宋_GB2312"/>
          <w:kern w:val="0"/>
          <w:sz w:val="32"/>
          <w:szCs w:val="32"/>
          <w:lang w:val="en-US" w:eastAsia="zh-CN" w:bidi="ar"/>
        </w:rPr>
        <w:t>健全科室联动机制，共享检查信息、移交跨部门线索，凝聚监管合力。严格执行“谁执法、谁公示”，及时录入并公示检查结果，同步推送至信用平台，接受社会监督。</w:t>
      </w:r>
    </w:p>
    <w:p w14:paraId="5E81E6A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p>
    <w:p w14:paraId="276F89AD">
      <w:pPr>
        <w:keepNext w:val="0"/>
        <w:keepLines w:val="0"/>
        <w:pageBreakBefore w:val="0"/>
        <w:widowControl/>
        <w:suppressLineNumbers w:val="0"/>
        <w:kinsoku/>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附件：平阴县人力资源和社会保障局2026年度“双随机、一公开”抽查计划</w:t>
      </w:r>
    </w:p>
    <w:p w14:paraId="61ED78CA">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outlineLvl w:val="9"/>
        <w:rPr>
          <w:rFonts w:hint="default" w:ascii="仿宋_GB2312" w:hAnsi="仿宋_GB2312" w:eastAsia="仿宋_GB2312" w:cs="仿宋_GB2312"/>
          <w:b w:val="0"/>
          <w:bCs w:val="0"/>
          <w:sz w:val="32"/>
          <w:szCs w:val="32"/>
          <w:lang w:val="en-US" w:eastAsia="zh-CN"/>
        </w:rPr>
      </w:pPr>
    </w:p>
    <w:p w14:paraId="384B6943">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outlineLvl w:val="9"/>
        <w:rPr>
          <w:rFonts w:hint="default" w:ascii="仿宋_GB2312" w:hAnsi="仿宋_GB2312" w:eastAsia="仿宋_GB2312" w:cs="仿宋_GB2312"/>
          <w:b w:val="0"/>
          <w:bCs w:val="0"/>
          <w:sz w:val="32"/>
          <w:szCs w:val="32"/>
          <w:lang w:val="en-US" w:eastAsia="zh-CN"/>
        </w:rPr>
      </w:pPr>
    </w:p>
    <w:p w14:paraId="5D639BA1">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both"/>
        <w:textAlignment w:val="auto"/>
        <w:outlineLvl w:val="9"/>
        <w:rPr>
          <w:rFonts w:hint="default" w:ascii="仿宋_GB2312" w:hAnsi="仿宋_GB2312" w:eastAsia="仿宋_GB2312" w:cs="仿宋_GB2312"/>
          <w:b w:val="0"/>
          <w:bCs w:val="0"/>
          <w:sz w:val="32"/>
          <w:szCs w:val="32"/>
          <w:lang w:val="en-US" w:eastAsia="zh-CN"/>
        </w:rPr>
      </w:pPr>
    </w:p>
    <w:p w14:paraId="7D35942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仿宋_GB2312" w:hAnsi="仿宋_GB2312" w:eastAsia="仿宋_GB2312" w:cs="仿宋_GB2312"/>
          <w:b w:val="0"/>
          <w:bCs w:val="0"/>
          <w:sz w:val="32"/>
          <w:szCs w:val="32"/>
          <w:lang w:val="en-US" w:eastAsia="zh-CN"/>
        </w:rPr>
      </w:pPr>
    </w:p>
    <w:p w14:paraId="0CA10BB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eastAsia" w:ascii="仿宋_GB2312" w:hAnsi="仿宋_GB2312" w:eastAsia="仿宋_GB2312" w:cs="仿宋_GB2312"/>
          <w:b w:val="0"/>
          <w:bCs w:val="0"/>
          <w:sz w:val="32"/>
          <w:szCs w:val="32"/>
          <w:lang w:eastAsia="zh-CN"/>
        </w:rPr>
      </w:pPr>
    </w:p>
    <w:p w14:paraId="1EE6E18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righ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平阴县人力资源和社会保障局</w:t>
      </w:r>
    </w:p>
    <w:p w14:paraId="6C977FE1">
      <w:pPr>
        <w:keepNext w:val="0"/>
        <w:keepLines w:val="0"/>
        <w:pageBreakBefore w:val="0"/>
        <w:widowControl w:val="0"/>
        <w:kinsoku/>
        <w:wordWrap w:val="0"/>
        <w:overflowPunct/>
        <w:topLinePunct w:val="0"/>
        <w:autoSpaceDE/>
        <w:autoSpaceDN/>
        <w:bidi w:val="0"/>
        <w:adjustRightInd/>
        <w:snapToGrid/>
        <w:spacing w:beforeAutospacing="0" w:afterAutospacing="0" w:line="560" w:lineRule="exact"/>
        <w:ind w:firstLine="640" w:firstLineChars="200"/>
        <w:jc w:val="righ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2026年1月29日     </w:t>
      </w:r>
    </w:p>
    <w:p w14:paraId="3486DF47">
      <w:pPr>
        <w:keepNext w:val="0"/>
        <w:keepLines w:val="0"/>
        <w:pageBreakBefore w:val="0"/>
        <w:widowControl w:val="0"/>
        <w:kinsoku/>
        <w:wordWrap/>
        <w:overflowPunct/>
        <w:topLinePunct w:val="0"/>
        <w:autoSpaceDE/>
        <w:autoSpaceDN/>
        <w:bidi w:val="0"/>
        <w:adjustRightInd/>
        <w:snapToGrid/>
        <w:spacing w:beforeAutospacing="0" w:afterAutospacing="0" w:line="540" w:lineRule="exact"/>
        <w:ind w:firstLine="640" w:firstLineChars="200"/>
        <w:jc w:val="both"/>
        <w:textAlignment w:val="auto"/>
        <w:outlineLvl w:val="9"/>
        <w:rPr>
          <w:rFonts w:hint="eastAsia" w:ascii="仿宋_GB2312" w:hAnsi="仿宋_GB2312" w:eastAsia="仿宋_GB2312" w:cs="仿宋_GB2312"/>
          <w:b w:val="0"/>
          <w:bCs w:val="0"/>
          <w:sz w:val="32"/>
          <w:szCs w:val="32"/>
          <w:lang w:val="en-US" w:eastAsia="zh-CN"/>
        </w:rPr>
      </w:pPr>
    </w:p>
    <w:p w14:paraId="7635C38E">
      <w:pPr>
        <w:keepNext w:val="0"/>
        <w:keepLines w:val="0"/>
        <w:pageBreakBefore w:val="0"/>
        <w:widowControl w:val="0"/>
        <w:kinsoku/>
        <w:wordWrap/>
        <w:overflowPunct/>
        <w:topLinePunct w:val="0"/>
        <w:autoSpaceDE/>
        <w:autoSpaceDN/>
        <w:bidi w:val="0"/>
        <w:adjustRightInd/>
        <w:snapToGrid/>
        <w:spacing w:line="540" w:lineRule="exact"/>
        <w:ind w:firstLine="0" w:firstLineChars="0"/>
        <w:jc w:val="both"/>
        <w:textAlignment w:val="auto"/>
        <w:rPr>
          <w:rFonts w:hint="eastAsia" w:ascii="黑体" w:hAnsi="黑体" w:eastAsia="黑体" w:cs="黑体"/>
          <w:i w:val="0"/>
          <w:iCs w:val="0"/>
          <w:caps w:val="0"/>
          <w:color w:val="333333"/>
          <w:spacing w:val="0"/>
          <w:sz w:val="27"/>
          <w:szCs w:val="27"/>
          <w:shd w:val="clear" w:fill="FFFFFF"/>
          <w:lang w:val="en-US" w:eastAsia="zh-CN"/>
        </w:rPr>
        <w:sectPr>
          <w:pgSz w:w="11906" w:h="16838"/>
          <w:pgMar w:top="1417" w:right="1417" w:bottom="1417" w:left="1417" w:header="851" w:footer="992" w:gutter="0"/>
          <w:pgNumType w:fmt="decimal"/>
          <w:cols w:space="425" w:num="1"/>
          <w:docGrid w:type="lines" w:linePitch="312" w:charSpace="0"/>
        </w:sectPr>
      </w:pPr>
    </w:p>
    <w:p w14:paraId="0CDA4920">
      <w:pPr>
        <w:keepNext w:val="0"/>
        <w:keepLines w:val="0"/>
        <w:pageBreakBefore w:val="0"/>
        <w:widowControl w:val="0"/>
        <w:kinsoku/>
        <w:wordWrap/>
        <w:overflowPunct/>
        <w:topLinePunct w:val="0"/>
        <w:autoSpaceDE/>
        <w:autoSpaceDN/>
        <w:bidi w:val="0"/>
        <w:adjustRightInd/>
        <w:snapToGrid/>
        <w:spacing w:line="520" w:lineRule="atLeast"/>
        <w:ind w:firstLine="0" w:firstLineChars="0"/>
        <w:jc w:val="both"/>
        <w:textAlignment w:val="auto"/>
        <w:rPr>
          <w:rFonts w:hint="eastAsia" w:ascii="黑体" w:hAnsi="黑体" w:eastAsia="黑体" w:cs="黑体"/>
          <w:i w:val="0"/>
          <w:iCs w:val="0"/>
          <w:caps w:val="0"/>
          <w:color w:val="333333"/>
          <w:spacing w:val="0"/>
          <w:sz w:val="27"/>
          <w:szCs w:val="27"/>
          <w:shd w:val="clear" w:fill="FFFFFF"/>
          <w:lang w:val="en-US" w:eastAsia="zh-CN"/>
        </w:rPr>
      </w:pPr>
      <w:r>
        <w:rPr>
          <w:rFonts w:hint="eastAsia" w:ascii="黑体" w:hAnsi="黑体" w:eastAsia="黑体" w:cs="黑体"/>
          <w:i w:val="0"/>
          <w:iCs w:val="0"/>
          <w:caps w:val="0"/>
          <w:color w:val="333333"/>
          <w:spacing w:val="0"/>
          <w:sz w:val="27"/>
          <w:szCs w:val="27"/>
          <w:shd w:val="clear" w:fill="FFFFFF"/>
          <w:lang w:val="en-US" w:eastAsia="zh-CN"/>
        </w:rPr>
        <w:t xml:space="preserve">附件：      </w:t>
      </w:r>
    </w:p>
    <w:p w14:paraId="48E1D9FE">
      <w:pPr>
        <w:keepNext w:val="0"/>
        <w:keepLines w:val="0"/>
        <w:pageBreakBefore w:val="0"/>
        <w:widowControl w:val="0"/>
        <w:kinsoku/>
        <w:wordWrap/>
        <w:overflowPunct/>
        <w:topLinePunct w:val="0"/>
        <w:autoSpaceDE/>
        <w:autoSpaceDN/>
        <w:bidi w:val="0"/>
        <w:adjustRightInd/>
        <w:snapToGrid/>
        <w:spacing w:line="520" w:lineRule="atLeast"/>
        <w:ind w:firstLine="0" w:firstLineChars="0"/>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i w:val="0"/>
          <w:iCs w:val="0"/>
          <w:caps w:val="0"/>
          <w:color w:val="333333"/>
          <w:spacing w:val="0"/>
          <w:sz w:val="44"/>
          <w:szCs w:val="44"/>
          <w:shd w:val="clear" w:fill="FFFFFF"/>
          <w:lang w:val="en-US" w:eastAsia="zh-CN"/>
        </w:rPr>
        <w:t>平阴县人社局</w:t>
      </w:r>
      <w:r>
        <w:rPr>
          <w:rFonts w:hint="eastAsia" w:ascii="方正小标宋简体" w:hAnsi="方正小标宋简体" w:eastAsia="方正小标宋简体" w:cs="方正小标宋简体"/>
          <w:i w:val="0"/>
          <w:iCs w:val="0"/>
          <w:caps w:val="0"/>
          <w:color w:val="333333"/>
          <w:spacing w:val="0"/>
          <w:sz w:val="44"/>
          <w:szCs w:val="44"/>
          <w:shd w:val="clear" w:fill="FFFFFF"/>
        </w:rPr>
        <w:t>2026年度“双随机、一公开”抽查计划</w:t>
      </w:r>
    </w:p>
    <w:tbl>
      <w:tblPr>
        <w:tblStyle w:val="5"/>
        <w:tblW w:w="1407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0"/>
        <w:gridCol w:w="2305"/>
        <w:gridCol w:w="5427"/>
        <w:gridCol w:w="1363"/>
        <w:gridCol w:w="1719"/>
        <w:gridCol w:w="1322"/>
        <w:gridCol w:w="1208"/>
      </w:tblGrid>
      <w:tr w14:paraId="6CF6B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044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2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46B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抽查事项</w:t>
            </w:r>
          </w:p>
        </w:tc>
        <w:tc>
          <w:tcPr>
            <w:tcW w:w="54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0FD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检查内容</w:t>
            </w:r>
          </w:p>
        </w:tc>
        <w:tc>
          <w:tcPr>
            <w:tcW w:w="13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3AA2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检查对象</w:t>
            </w:r>
          </w:p>
        </w:tc>
        <w:tc>
          <w:tcPr>
            <w:tcW w:w="1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1AB5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事项类别</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B2C8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检查时间</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E496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检查主体</w:t>
            </w:r>
          </w:p>
        </w:tc>
      </w:tr>
      <w:tr w14:paraId="1126F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7"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663B">
            <w:pPr>
              <w:keepNext w:val="0"/>
              <w:keepLines w:val="0"/>
              <w:pageBreakBefore w:val="0"/>
              <w:widowControl/>
              <w:suppressLineNumbers w:val="0"/>
              <w:kinsoku/>
              <w:wordWrap/>
              <w:overflowPunct/>
              <w:topLinePunct w:val="0"/>
              <w:autoSpaceDE/>
              <w:autoSpaceDN/>
              <w:bidi w:val="0"/>
              <w:adjustRightInd/>
              <w:snapToGrid/>
              <w:jc w:val="center"/>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939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对用人单位支付劳动者工资和执行最低工资标准的情况的检查</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72F08">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用人单位是否有下列行为之一：未按照劳动合同的约定或者国家规定及时足额支付劳动报酬；低于当地最低工资标准支付劳动者工资。</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211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用人单位</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18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一般检查事项</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99A4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3月-12月</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E0C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平阴县人社局</w:t>
            </w:r>
          </w:p>
        </w:tc>
      </w:tr>
      <w:tr w14:paraId="3DAA1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2"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3E1B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BC350">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对用人单位及相关机构遵守社会保险法律法规情况的检查</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AF97">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用人单位是否办理社会保险登记。</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9445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用人单位</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447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一般检查事项</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51A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3月-12月</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CAB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平阴县人社局</w:t>
            </w:r>
          </w:p>
        </w:tc>
      </w:tr>
      <w:tr w14:paraId="27C99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98" w:hRule="atLeast"/>
          <w:jc w:val="center"/>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43F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2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150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对职业中介活动及其他人力资源服务业务的检查</w:t>
            </w:r>
          </w:p>
        </w:tc>
        <w:tc>
          <w:tcPr>
            <w:tcW w:w="54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45BD">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1.经营性人力资源服务机构是否存在未经许可擅自从事职业中介活动的情形； </w:t>
            </w:r>
          </w:p>
          <w:p w14:paraId="798CC55A">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2.经营性人力资源服务机构是否存在发布的招聘信息不真实、不合法，未依法开展人力资源服务业务的情形； </w:t>
            </w:r>
          </w:p>
          <w:p w14:paraId="178973B1">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3.经营性人力资源服务机构是否存在未按规定明示有关事项，未按规定建立健全内部制度或保存服务台账；未按规定提交经营情况年度报告的情形； </w:t>
            </w:r>
          </w:p>
          <w:p w14:paraId="0BEBA526">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4.经营性人力资源服务机构是否存在开展人力资源服务业务未备案的情形； </w:t>
            </w:r>
          </w:p>
          <w:p w14:paraId="2DC9DA2C">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 xml:space="preserve">5.经营性人力资源服务机构是否按规定设立分支机构、办理变更或者注销登记。 </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3BE0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经营性人力资源服务机构</w:t>
            </w:r>
          </w:p>
        </w:tc>
        <w:tc>
          <w:tcPr>
            <w:tcW w:w="17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50A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一般检查事项</w:t>
            </w:r>
          </w:p>
        </w:tc>
        <w:tc>
          <w:tcPr>
            <w:tcW w:w="13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50B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3月-12月</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B50F">
            <w:pPr>
              <w:keepNext w:val="0"/>
              <w:keepLines w:val="0"/>
              <w:pageBreakBefore w:val="0"/>
              <w:widowControl/>
              <w:suppressLineNumbers w:val="0"/>
              <w:kinsoku/>
              <w:wordWrap/>
              <w:overflowPunct/>
              <w:topLinePunct w:val="0"/>
              <w:autoSpaceDE/>
              <w:autoSpaceDN/>
              <w:bidi w:val="0"/>
              <w:adjustRightInd/>
              <w:snapToGrid/>
              <w:jc w:val="both"/>
              <w:textAlignment w:val="center"/>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平阴县人社局</w:t>
            </w:r>
          </w:p>
        </w:tc>
      </w:tr>
    </w:tbl>
    <w:p w14:paraId="1E664127">
      <w:pPr>
        <w:keepNext w:val="0"/>
        <w:keepLines w:val="0"/>
        <w:pageBreakBefore w:val="0"/>
        <w:widowControl w:val="0"/>
        <w:kinsoku/>
        <w:wordWrap/>
        <w:overflowPunct/>
        <w:topLinePunct w:val="0"/>
        <w:autoSpaceDE/>
        <w:autoSpaceDN/>
        <w:bidi w:val="0"/>
        <w:adjustRightInd/>
        <w:snapToGrid/>
        <w:spacing w:line="540" w:lineRule="atLeast"/>
        <w:jc w:val="both"/>
        <w:textAlignment w:val="auto"/>
        <w:rPr>
          <w:rFonts w:hint="default" w:ascii="仿宋_GB2312" w:hAnsi="仿宋_GB2312" w:eastAsia="仿宋_GB2312" w:cs="仿宋_GB2312"/>
          <w:b w:val="0"/>
          <w:bCs w:val="0"/>
          <w:sz w:val="32"/>
          <w:szCs w:val="32"/>
          <w:lang w:val="en-US" w:eastAsia="zh-CN"/>
        </w:rPr>
        <w:sectPr>
          <w:footerReference r:id="rId3" w:type="default"/>
          <w:pgSz w:w="16838" w:h="11906" w:orient="landscape"/>
          <w:pgMar w:top="1417" w:right="1417" w:bottom="1134" w:left="1417" w:header="851" w:footer="992" w:gutter="0"/>
          <w:pgNumType w:fmt="decimal" w:start="1"/>
          <w:cols w:space="425" w:num="1"/>
          <w:docGrid w:type="lines" w:linePitch="312" w:charSpace="0"/>
        </w:sectPr>
      </w:pPr>
    </w:p>
    <w:p w14:paraId="0C2EC5F6">
      <w:pPr>
        <w:keepNext w:val="0"/>
        <w:keepLines w:val="0"/>
        <w:pageBreakBefore w:val="0"/>
        <w:widowControl w:val="0"/>
        <w:kinsoku/>
        <w:wordWrap/>
        <w:overflowPunct/>
        <w:topLinePunct w:val="0"/>
        <w:autoSpaceDE/>
        <w:autoSpaceDN/>
        <w:bidi w:val="0"/>
        <w:adjustRightInd/>
        <w:snapToGrid/>
        <w:spacing w:line="540" w:lineRule="atLeast"/>
        <w:jc w:val="both"/>
        <w:textAlignment w:val="auto"/>
        <w:rPr>
          <w:rFonts w:hint="default" w:ascii="仿宋_GB2312" w:hAnsi="仿宋_GB2312" w:eastAsia="仿宋_GB2312" w:cs="仿宋_GB2312"/>
          <w:b w:val="0"/>
          <w:bCs w:val="0"/>
          <w:sz w:val="32"/>
          <w:szCs w:val="32"/>
          <w:lang w:val="en-US" w:eastAsia="zh-CN"/>
        </w:rPr>
      </w:pPr>
    </w:p>
    <w:sectPr>
      <w:footerReference r:id="rId4" w:type="default"/>
      <w:pgSz w:w="16838" w:h="11906" w:orient="landscape"/>
      <w:pgMar w:top="1417" w:right="1417" w:bottom="1134"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D0BD18B-72A5-4EA4-82EF-F33FC0032E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857F2B42-7734-4056-AE9E-6FD53A8C9B0C}"/>
  </w:font>
  <w:font w:name="仿宋_GB2312">
    <w:panose1 w:val="02010609030101010101"/>
    <w:charset w:val="86"/>
    <w:family w:val="auto"/>
    <w:pitch w:val="default"/>
    <w:sig w:usb0="00000001" w:usb1="080E0000" w:usb2="00000000" w:usb3="00000000" w:csb0="00040000" w:csb1="00000000"/>
    <w:embedRegular r:id="rId3" w:fontKey="{21CD71D1-1CBD-44AA-8957-50A434F0C779}"/>
  </w:font>
  <w:font w:name="楷体_GB2312">
    <w:panose1 w:val="02010609030101010101"/>
    <w:charset w:val="86"/>
    <w:family w:val="auto"/>
    <w:pitch w:val="default"/>
    <w:sig w:usb0="00000001" w:usb1="080E0000" w:usb2="00000000" w:usb3="00000000" w:csb0="00040000" w:csb1="00000000"/>
    <w:embedRegular r:id="rId4" w:fontKey="{4ED8C3FC-E478-4FDF-AC92-0289F51BE6F9}"/>
  </w:font>
  <w:font w:name="方正楷体_GB2312">
    <w:panose1 w:val="02000000000000000000"/>
    <w:charset w:val="86"/>
    <w:family w:val="auto"/>
    <w:pitch w:val="default"/>
    <w:sig w:usb0="A00002BF" w:usb1="184F6CFA" w:usb2="00000012" w:usb3="00000000" w:csb0="00040001" w:csb1="00000000"/>
    <w:embedRegular r:id="rId5" w:fontKey="{88B4E337-8F36-4489-8FE6-0965AC50CB61}"/>
  </w:font>
  <w:font w:name="仿宋">
    <w:panose1 w:val="02010609060101010101"/>
    <w:charset w:val="86"/>
    <w:family w:val="auto"/>
    <w:pitch w:val="default"/>
    <w:sig w:usb0="800002BF" w:usb1="38CF7CFA" w:usb2="00000016" w:usb3="00000000" w:csb0="00040001" w:csb1="00000000"/>
    <w:embedRegular r:id="rId6" w:fontKey="{8A05EB90-2705-43F3-B007-7783506189A2}"/>
  </w:font>
  <w:font w:name="WPSEMBED3">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0A23B">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D9C6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7626E4">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97626E4">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C80F00"/>
    <w:rsid w:val="0C61632C"/>
    <w:rsid w:val="10F17525"/>
    <w:rsid w:val="17B00E87"/>
    <w:rsid w:val="1F202CFC"/>
    <w:rsid w:val="2443398C"/>
    <w:rsid w:val="2B1E408B"/>
    <w:rsid w:val="30E310A6"/>
    <w:rsid w:val="35F04FF6"/>
    <w:rsid w:val="39EE7A9E"/>
    <w:rsid w:val="3F16769C"/>
    <w:rsid w:val="499C5ABA"/>
    <w:rsid w:val="52FE08FA"/>
    <w:rsid w:val="54AB4AB2"/>
    <w:rsid w:val="592A1244"/>
    <w:rsid w:val="67D948F5"/>
    <w:rsid w:val="6B8A6D77"/>
    <w:rsid w:val="6C88775B"/>
    <w:rsid w:val="6E6E472E"/>
    <w:rsid w:val="7D8E49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1316</Words>
  <Characters>1340</Characters>
  <Lines>0</Lines>
  <Paragraphs>0</Paragraphs>
  <TotalTime>6</TotalTime>
  <ScaleCrop>false</ScaleCrop>
  <LinksUpToDate>false</LinksUpToDate>
  <CharactersWithSpaces>1356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2026-01-27T06:41:00Z</dcterms:created>
  <dc:creator>Administrator</dc:creator>
  <cp:lastModifiedBy>徐紫浩</cp:lastModifiedBy>
  <cp:lastPrinted>2026-01-29T08:35:00Z</cp:lastPrinted>
  <dcterms:modified xsi:type="dcterms:W3CDTF">2026-01-29T09:31:52Z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eyJoZGlkIjoiNmRiZmViY2ViOTk1ODcxYzI0ODZiZTQ1ZWRmYzcxNTYiLCJ1c2VySWQiOiI1MjA5MTc2NzYifQ==</vt:lpwstr>
  </property>
  <property fmtid="{D5CDD505-2E9C-101B-9397-08002B2CF9AE}" pid="4" name="ICV">
    <vt:lpwstr>D379D0D1B9A04B13B7FB5DC7C4958709_13</vt:lpwstr>
  </property>
</Properties>
</file>