
<file path=[Content_Types].xml><?xml version="1.0" encoding="utf-8"?>
<Types xmlns="http://schemas.openxmlformats.org/package/2006/content-types">
  <Default Extension="xml" ContentType="application/xml"/>
  <Default Extension="png" ContentType="image/png"/>
  <Default Extension="wdp" ContentType="image/vnd.ms-photo"/>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41B8C2">
      <w:pPr>
        <w:spacing w:line="600" w:lineRule="exact"/>
        <w:jc w:val="center"/>
        <w:rPr>
          <w:color w:val="000000" w:themeColor="text1"/>
          <w:sz w:val="24"/>
          <w:szCs w:val="28"/>
        </w:rPr>
      </w:pPr>
      <w:bookmarkStart w:id="0" w:name="_Hlk143692826"/>
      <w:bookmarkEnd w:id="0"/>
      <w:bookmarkStart w:id="1" w:name="_Toc417301638"/>
      <w:bookmarkStart w:id="2" w:name="_Toc416811835"/>
    </w:p>
    <w:p w14:paraId="5D59F6D1">
      <w:pPr>
        <w:spacing w:line="600" w:lineRule="exact"/>
        <w:jc w:val="center"/>
        <w:rPr>
          <w:color w:val="000000" w:themeColor="text1"/>
          <w:sz w:val="24"/>
          <w:szCs w:val="28"/>
        </w:rPr>
      </w:pPr>
    </w:p>
    <w:p w14:paraId="5F5E9201">
      <w:pPr>
        <w:adjustRightInd w:val="0"/>
        <w:spacing w:line="360" w:lineRule="auto"/>
        <w:jc w:val="center"/>
        <w:rPr>
          <w:color w:val="000000" w:themeColor="text1"/>
          <w:sz w:val="24"/>
          <w:szCs w:val="28"/>
        </w:rPr>
      </w:pPr>
    </w:p>
    <w:p w14:paraId="4A1427A6">
      <w:pPr>
        <w:adjustRightInd w:val="0"/>
        <w:snapToGrid w:val="0"/>
        <w:spacing w:after="240" w:afterLines="100"/>
        <w:jc w:val="center"/>
        <w:rPr>
          <w:rFonts w:hint="eastAsia" w:ascii="楷体" w:hAnsi="楷体" w:eastAsia="楷体"/>
          <w:b/>
          <w:color w:val="000000" w:themeColor="text1"/>
          <w:sz w:val="72"/>
          <w:szCs w:val="72"/>
        </w:rPr>
      </w:pPr>
      <w:r>
        <w:rPr>
          <w:rFonts w:ascii="楷体" w:hAnsi="楷体" w:eastAsia="楷体"/>
          <w:b/>
          <w:color w:val="000000" w:themeColor="text1"/>
          <w:sz w:val="72"/>
          <w:szCs w:val="72"/>
        </w:rPr>
        <w:t>平阴县再生水利用规划</w:t>
      </w:r>
    </w:p>
    <w:p w14:paraId="752EC5AC">
      <w:pPr>
        <w:jc w:val="center"/>
        <w:rPr>
          <w:color w:val="000000" w:themeColor="text1"/>
          <w:sz w:val="24"/>
          <w:szCs w:val="28"/>
        </w:rPr>
      </w:pPr>
    </w:p>
    <w:p w14:paraId="1E624076">
      <w:pPr>
        <w:jc w:val="center"/>
        <w:rPr>
          <w:color w:val="000000" w:themeColor="text1"/>
          <w:sz w:val="24"/>
          <w:szCs w:val="28"/>
        </w:rPr>
      </w:pPr>
    </w:p>
    <w:p w14:paraId="6C1707BF">
      <w:pPr>
        <w:jc w:val="center"/>
        <w:rPr>
          <w:color w:val="000000" w:themeColor="text1"/>
          <w:sz w:val="24"/>
          <w:szCs w:val="28"/>
        </w:rPr>
      </w:pPr>
      <w:r>
        <w:drawing>
          <wp:inline distT="0" distB="0" distL="0" distR="0">
            <wp:extent cx="4508500" cy="2511425"/>
            <wp:effectExtent l="0" t="0" r="6350" b="3175"/>
            <wp:docPr id="1858810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10637" name="图片 1"/>
                    <pic:cNvPicPr>
                      <a:picLocks noChangeAspect="1"/>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Lst>
                    </a:blip>
                    <a:srcRect l="17284" r="4054"/>
                    <a:stretch>
                      <a:fillRect/>
                    </a:stretch>
                  </pic:blipFill>
                  <pic:spPr>
                    <a:xfrm>
                      <a:off x="0" y="0"/>
                      <a:ext cx="4508500" cy="2511425"/>
                    </a:xfrm>
                    <a:prstGeom prst="rect">
                      <a:avLst/>
                    </a:prstGeom>
                    <a:ln>
                      <a:noFill/>
                    </a:ln>
                    <a:effectLst>
                      <a:softEdge rad="112500"/>
                    </a:effectLst>
                  </pic:spPr>
                </pic:pic>
              </a:graphicData>
            </a:graphic>
          </wp:inline>
        </w:drawing>
      </w:r>
    </w:p>
    <w:p w14:paraId="5B383550">
      <w:pPr>
        <w:spacing w:line="600" w:lineRule="exact"/>
        <w:jc w:val="center"/>
        <w:rPr>
          <w:b/>
          <w:color w:val="000000" w:themeColor="text1"/>
          <w:sz w:val="56"/>
          <w:szCs w:val="44"/>
        </w:rPr>
      </w:pPr>
    </w:p>
    <w:p w14:paraId="342F2E15">
      <w:pPr>
        <w:spacing w:line="600" w:lineRule="exact"/>
        <w:jc w:val="center"/>
        <w:rPr>
          <w:b/>
          <w:color w:val="000000" w:themeColor="text1"/>
          <w:sz w:val="56"/>
          <w:szCs w:val="44"/>
        </w:rPr>
      </w:pPr>
    </w:p>
    <w:p w14:paraId="6BA7BDDB">
      <w:pPr>
        <w:spacing w:line="600" w:lineRule="exact"/>
        <w:jc w:val="center"/>
        <w:rPr>
          <w:b/>
          <w:color w:val="000000" w:themeColor="text1"/>
          <w:sz w:val="56"/>
          <w:szCs w:val="44"/>
        </w:rPr>
      </w:pPr>
    </w:p>
    <w:p w14:paraId="16622B76">
      <w:pPr>
        <w:spacing w:line="600" w:lineRule="exact"/>
        <w:jc w:val="center"/>
        <w:rPr>
          <w:b/>
          <w:color w:val="000000" w:themeColor="text1"/>
          <w:sz w:val="56"/>
          <w:szCs w:val="44"/>
        </w:rPr>
      </w:pPr>
    </w:p>
    <w:p w14:paraId="4F2A08D6">
      <w:pPr>
        <w:spacing w:line="600" w:lineRule="exact"/>
        <w:jc w:val="center"/>
        <w:rPr>
          <w:b/>
          <w:color w:val="000000" w:themeColor="text1"/>
          <w:sz w:val="56"/>
          <w:szCs w:val="44"/>
        </w:rPr>
      </w:pPr>
    </w:p>
    <w:p w14:paraId="2241E432">
      <w:pPr>
        <w:adjustRightInd w:val="0"/>
        <w:snapToGrid w:val="0"/>
        <w:spacing w:line="300" w:lineRule="auto"/>
        <w:jc w:val="center"/>
        <w:rPr>
          <w:rFonts w:eastAsia="楷体"/>
          <w:b/>
          <w:color w:val="000000" w:themeColor="text1"/>
          <w:sz w:val="40"/>
          <w:szCs w:val="40"/>
        </w:rPr>
      </w:pPr>
      <w:r>
        <w:rPr>
          <w:rFonts w:hint="eastAsia" w:eastAsia="楷体"/>
          <w:b/>
          <w:color w:val="000000" w:themeColor="text1"/>
          <w:sz w:val="40"/>
          <w:szCs w:val="40"/>
        </w:rPr>
        <w:t>平阴县发展和改革局</w:t>
      </w:r>
    </w:p>
    <w:p w14:paraId="18F40578">
      <w:pPr>
        <w:adjustRightInd w:val="0"/>
        <w:snapToGrid w:val="0"/>
        <w:spacing w:line="300" w:lineRule="auto"/>
        <w:jc w:val="center"/>
        <w:rPr>
          <w:rFonts w:eastAsia="楷体"/>
          <w:b/>
          <w:color w:val="000000" w:themeColor="text1"/>
          <w:sz w:val="40"/>
          <w:szCs w:val="40"/>
        </w:rPr>
      </w:pPr>
      <w:r>
        <w:rPr>
          <w:rFonts w:eastAsia="楷体"/>
          <w:b/>
          <w:color w:val="000000" w:themeColor="text1"/>
          <w:sz w:val="40"/>
          <w:szCs w:val="40"/>
        </w:rPr>
        <w:t>平阴县水务局</w:t>
      </w:r>
    </w:p>
    <w:p w14:paraId="25798234">
      <w:pPr>
        <w:jc w:val="center"/>
        <w:rPr>
          <w:color w:val="000000" w:themeColor="text1"/>
          <w:sz w:val="24"/>
          <w:szCs w:val="28"/>
        </w:rPr>
        <w:sectPr>
          <w:footerReference r:id="rId3" w:type="even"/>
          <w:type w:val="nextColumn"/>
          <w:pgSz w:w="11906" w:h="16838"/>
          <w:pgMar w:top="1440" w:right="1440" w:bottom="1440" w:left="1440" w:header="851" w:footer="992" w:gutter="0"/>
          <w:cols w:space="425" w:num="1"/>
          <w:docGrid w:linePitch="312" w:charSpace="0"/>
        </w:sectPr>
      </w:pPr>
      <w:bookmarkStart w:id="311" w:name="_GoBack"/>
      <w:bookmarkEnd w:id="311"/>
    </w:p>
    <w:p w14:paraId="29F97539">
      <w:pPr>
        <w:adjustRightInd w:val="0"/>
        <w:snapToGrid w:val="0"/>
        <w:jc w:val="center"/>
        <w:rPr>
          <w:rFonts w:ascii="Times New Roman" w:eastAsia="楷体"/>
          <w:b/>
          <w:color w:val="000000" w:themeColor="text1"/>
          <w:sz w:val="52"/>
          <w:szCs w:val="52"/>
        </w:rPr>
      </w:pPr>
      <w:r>
        <w:t xml:space="preserve"> </w:t>
      </w:r>
      <w:bookmarkStart w:id="3" w:name="_Toc429290177"/>
      <w:bookmarkStart w:id="4" w:name="_Toc429289955"/>
      <w:bookmarkStart w:id="5" w:name="_Toc428559066"/>
      <w:r>
        <w:rPr>
          <w:rFonts w:ascii="Times New Roman" w:eastAsia="楷体"/>
          <w:b/>
          <w:color w:val="000000" w:themeColor="text1"/>
          <w:sz w:val="52"/>
          <w:szCs w:val="52"/>
        </w:rPr>
        <w:t xml:space="preserve">目  </w:t>
      </w:r>
      <w:r>
        <w:rPr>
          <w:rFonts w:hint="eastAsia" w:ascii="Times New Roman" w:eastAsia="楷体"/>
          <w:b/>
          <w:color w:val="000000" w:themeColor="text1"/>
          <w:sz w:val="52"/>
          <w:szCs w:val="52"/>
        </w:rPr>
        <w:t xml:space="preserve">  </w:t>
      </w:r>
      <w:r>
        <w:rPr>
          <w:rFonts w:ascii="Times New Roman" w:eastAsia="楷体"/>
          <w:b/>
          <w:color w:val="000000" w:themeColor="text1"/>
          <w:sz w:val="52"/>
          <w:szCs w:val="52"/>
        </w:rPr>
        <w:t>录</w:t>
      </w:r>
      <w:bookmarkEnd w:id="3"/>
      <w:bookmarkEnd w:id="4"/>
      <w:bookmarkEnd w:id="5"/>
    </w:p>
    <w:p w14:paraId="7FCFAF3D">
      <w:pPr>
        <w:pStyle w:val="30"/>
        <w:spacing w:line="420" w:lineRule="auto"/>
        <w:rPr>
          <w:b/>
          <w:bCs w:val="0"/>
          <w:caps w:val="0"/>
          <w14:ligatures w14:val="standardContextual"/>
        </w:rPr>
      </w:pPr>
      <w:r>
        <w:rPr>
          <w:rStyle w:val="58"/>
          <w:color w:val="000000" w:themeColor="text1"/>
          <w:u w:val="none"/>
        </w:rPr>
        <w:fldChar w:fldCharType="begin"/>
      </w:r>
      <w:r>
        <w:rPr>
          <w:rStyle w:val="58"/>
          <w:color w:val="000000" w:themeColor="text1"/>
          <w:u w:val="none"/>
        </w:rPr>
        <w:instrText xml:space="preserve"> TOC \o "1-2" \h \z \u </w:instrText>
      </w:r>
      <w:r>
        <w:rPr>
          <w:rStyle w:val="58"/>
          <w:color w:val="000000" w:themeColor="text1"/>
          <w:u w:val="none"/>
        </w:rPr>
        <w:fldChar w:fldCharType="separate"/>
      </w:r>
      <w:r>
        <w:fldChar w:fldCharType="begin"/>
      </w:r>
      <w:r>
        <w:instrText xml:space="preserve"> HYPERLINK \l "_Toc181472916" </w:instrText>
      </w:r>
      <w:r>
        <w:fldChar w:fldCharType="separate"/>
      </w:r>
      <w:r>
        <w:rPr>
          <w:rStyle w:val="58"/>
          <w:b/>
          <w:bCs w:val="0"/>
        </w:rPr>
        <w:t>前    言</w:t>
      </w:r>
      <w:r>
        <w:rPr>
          <w:b/>
          <w:bCs w:val="0"/>
        </w:rPr>
        <w:tab/>
      </w:r>
      <w:r>
        <w:rPr>
          <w:b/>
          <w:bCs w:val="0"/>
        </w:rPr>
        <w:fldChar w:fldCharType="begin"/>
      </w:r>
      <w:r>
        <w:rPr>
          <w:b/>
          <w:bCs w:val="0"/>
        </w:rPr>
        <w:instrText xml:space="preserve"> PAGEREF _Toc181472916 \h </w:instrText>
      </w:r>
      <w:r>
        <w:rPr>
          <w:b/>
          <w:bCs w:val="0"/>
        </w:rPr>
        <w:fldChar w:fldCharType="separate"/>
      </w:r>
      <w:r>
        <w:rPr>
          <w:b/>
          <w:bCs w:val="0"/>
        </w:rPr>
        <w:t>1</w:t>
      </w:r>
      <w:r>
        <w:rPr>
          <w:b/>
          <w:bCs w:val="0"/>
        </w:rPr>
        <w:fldChar w:fldCharType="end"/>
      </w:r>
      <w:r>
        <w:rPr>
          <w:b/>
          <w:bCs w:val="0"/>
        </w:rPr>
        <w:fldChar w:fldCharType="end"/>
      </w:r>
    </w:p>
    <w:p w14:paraId="5D82A335">
      <w:pPr>
        <w:pStyle w:val="30"/>
        <w:spacing w:line="420" w:lineRule="auto"/>
        <w:rPr>
          <w:b/>
          <w:bCs w:val="0"/>
          <w:caps w:val="0"/>
          <w14:ligatures w14:val="standardContextual"/>
        </w:rPr>
      </w:pPr>
      <w:r>
        <w:fldChar w:fldCharType="begin"/>
      </w:r>
      <w:r>
        <w:instrText xml:space="preserve"> HYPERLINK \l "_Toc181472917" </w:instrText>
      </w:r>
      <w:r>
        <w:fldChar w:fldCharType="separate"/>
      </w:r>
      <w:r>
        <w:rPr>
          <w:rStyle w:val="58"/>
          <w:b/>
          <w:bCs w:val="0"/>
        </w:rPr>
        <w:t>第一章  总  则</w:t>
      </w:r>
      <w:r>
        <w:rPr>
          <w:b/>
          <w:bCs w:val="0"/>
        </w:rPr>
        <w:tab/>
      </w:r>
      <w:r>
        <w:rPr>
          <w:b/>
          <w:bCs w:val="0"/>
        </w:rPr>
        <w:fldChar w:fldCharType="begin"/>
      </w:r>
      <w:r>
        <w:rPr>
          <w:b/>
          <w:bCs w:val="0"/>
        </w:rPr>
        <w:instrText xml:space="preserve"> PAGEREF _Toc181472917 \h </w:instrText>
      </w:r>
      <w:r>
        <w:rPr>
          <w:b/>
          <w:bCs w:val="0"/>
        </w:rPr>
        <w:fldChar w:fldCharType="separate"/>
      </w:r>
      <w:r>
        <w:rPr>
          <w:b/>
          <w:bCs w:val="0"/>
        </w:rPr>
        <w:t>1</w:t>
      </w:r>
      <w:r>
        <w:rPr>
          <w:b/>
          <w:bCs w:val="0"/>
        </w:rPr>
        <w:fldChar w:fldCharType="end"/>
      </w:r>
      <w:r>
        <w:rPr>
          <w:b/>
          <w:bCs w:val="0"/>
        </w:rPr>
        <w:fldChar w:fldCharType="end"/>
      </w:r>
    </w:p>
    <w:p w14:paraId="77BBFF64">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"_Toc181472918" </w:instrText>
      </w:r>
      <w:r>
        <w:fldChar w:fldCharType="separate"/>
      </w:r>
      <w:r>
        <w:rPr>
          <w:rStyle w:val="58"/>
          <w:rFonts w:ascii="Times New Roman" w:eastAsia="楷体"/>
          <w:bCs/>
          <w:sz w:val="28"/>
          <w:szCs w:val="28"/>
        </w:rPr>
        <w:t>1.1 规划背景</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_Toc181472918 \h </w:instrText>
      </w:r>
      <w:r>
        <w:rPr>
          <w:rFonts w:ascii="Times New Roman" w:eastAsia="楷体"/>
          <w:bCs/>
          <w:sz w:val="28"/>
          <w:szCs w:val="28"/>
        </w:rPr>
        <w:fldChar w:fldCharType="separate"/>
      </w:r>
      <w:r>
        <w:rPr>
          <w:rFonts w:ascii="Times New Roman" w:eastAsia="楷体"/>
          <w:bCs/>
          <w:sz w:val="28"/>
          <w:szCs w:val="28"/>
        </w:rPr>
        <w:t>1</w:t>
      </w:r>
      <w:r>
        <w:rPr>
          <w:rFonts w:ascii="Times New Roman" w:eastAsia="楷体"/>
          <w:bCs/>
          <w:sz w:val="28"/>
          <w:szCs w:val="28"/>
        </w:rPr>
        <w:fldChar w:fldCharType="end"/>
      </w:r>
      <w:r>
        <w:rPr>
          <w:rFonts w:ascii="Times New Roman" w:eastAsia="楷体"/>
          <w:bCs/>
          <w:sz w:val="28"/>
          <w:szCs w:val="28"/>
        </w:rPr>
        <w:fldChar w:fldCharType="end"/>
      </w:r>
    </w:p>
    <w:p w14:paraId="0241A90D">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"_Toc181472919" </w:instrText>
      </w:r>
      <w:r>
        <w:fldChar w:fldCharType="separate"/>
      </w:r>
      <w:r>
        <w:rPr>
          <w:rStyle w:val="58"/>
          <w:rFonts w:ascii="Times New Roman" w:eastAsia="楷体"/>
          <w:bCs/>
          <w:sz w:val="28"/>
          <w:szCs w:val="28"/>
        </w:rPr>
        <w:t>1.2 规划依据</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_Toc181472919 \h </w:instrText>
      </w:r>
      <w:r>
        <w:rPr>
          <w:rFonts w:ascii="Times New Roman" w:eastAsia="楷体"/>
          <w:bCs/>
          <w:sz w:val="28"/>
          <w:szCs w:val="28"/>
        </w:rPr>
        <w:fldChar w:fldCharType="separate"/>
      </w:r>
      <w:r>
        <w:rPr>
          <w:rFonts w:ascii="Times New Roman" w:eastAsia="楷体"/>
          <w:bCs/>
          <w:sz w:val="28"/>
          <w:szCs w:val="28"/>
        </w:rPr>
        <w:t>8</w:t>
      </w:r>
      <w:r>
        <w:rPr>
          <w:rFonts w:ascii="Times New Roman" w:eastAsia="楷体"/>
          <w:bCs/>
          <w:sz w:val="28"/>
          <w:szCs w:val="28"/>
        </w:rPr>
        <w:fldChar w:fldCharType="end"/>
      </w:r>
      <w:r>
        <w:rPr>
          <w:rFonts w:ascii="Times New Roman" w:eastAsia="楷体"/>
          <w:bCs/>
          <w:sz w:val="28"/>
          <w:szCs w:val="28"/>
        </w:rPr>
        <w:fldChar w:fldCharType="end"/>
      </w:r>
    </w:p>
    <w:p w14:paraId="2BFF05CE">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"_Toc181472920" </w:instrText>
      </w:r>
      <w:r>
        <w:fldChar w:fldCharType="separate"/>
      </w:r>
      <w:r>
        <w:rPr>
          <w:rStyle w:val="58"/>
          <w:rFonts w:ascii="Times New Roman" w:eastAsia="楷体"/>
          <w:bCs/>
          <w:sz w:val="28"/>
          <w:szCs w:val="28"/>
        </w:rPr>
        <w:t>1.3 规划目的</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_Toc181472920 \h </w:instrText>
      </w:r>
      <w:r>
        <w:rPr>
          <w:rFonts w:ascii="Times New Roman" w:eastAsia="楷体"/>
          <w:bCs/>
          <w:sz w:val="28"/>
          <w:szCs w:val="28"/>
        </w:rPr>
        <w:fldChar w:fldCharType="separate"/>
      </w:r>
      <w:r>
        <w:rPr>
          <w:rFonts w:ascii="Times New Roman" w:eastAsia="楷体"/>
          <w:bCs/>
          <w:sz w:val="28"/>
          <w:szCs w:val="28"/>
        </w:rPr>
        <w:t>14</w:t>
      </w:r>
      <w:r>
        <w:rPr>
          <w:rFonts w:ascii="Times New Roman" w:eastAsia="楷体"/>
          <w:bCs/>
          <w:sz w:val="28"/>
          <w:szCs w:val="28"/>
        </w:rPr>
        <w:fldChar w:fldCharType="end"/>
      </w:r>
      <w:r>
        <w:rPr>
          <w:rFonts w:ascii="Times New Roman" w:eastAsia="楷体"/>
          <w:bCs/>
          <w:sz w:val="28"/>
          <w:szCs w:val="28"/>
        </w:rPr>
        <w:fldChar w:fldCharType="end"/>
      </w:r>
    </w:p>
    <w:p w14:paraId="718E7E83">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"_Toc181472921" </w:instrText>
      </w:r>
      <w:r>
        <w:fldChar w:fldCharType="separate"/>
      </w:r>
      <w:r>
        <w:rPr>
          <w:rStyle w:val="58"/>
          <w:rFonts w:ascii="Times New Roman" w:eastAsia="楷体"/>
          <w:bCs/>
          <w:sz w:val="28"/>
          <w:szCs w:val="28"/>
        </w:rPr>
        <w:t>1.4 规划指导思想与基本原则</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_Toc181472921 \h </w:instrText>
      </w:r>
      <w:r>
        <w:rPr>
          <w:rFonts w:ascii="Times New Roman" w:eastAsia="楷体"/>
          <w:bCs/>
          <w:sz w:val="28"/>
          <w:szCs w:val="28"/>
        </w:rPr>
        <w:fldChar w:fldCharType="separate"/>
      </w:r>
      <w:r>
        <w:rPr>
          <w:rFonts w:ascii="Times New Roman" w:eastAsia="楷体"/>
          <w:bCs/>
          <w:sz w:val="28"/>
          <w:szCs w:val="28"/>
        </w:rPr>
        <w:t>15</w:t>
      </w:r>
      <w:r>
        <w:rPr>
          <w:rFonts w:ascii="Times New Roman" w:eastAsia="楷体"/>
          <w:bCs/>
          <w:sz w:val="28"/>
          <w:szCs w:val="28"/>
        </w:rPr>
        <w:fldChar w:fldCharType="end"/>
      </w:r>
      <w:r>
        <w:rPr>
          <w:rFonts w:ascii="Times New Roman" w:eastAsia="楷体"/>
          <w:bCs/>
          <w:sz w:val="28"/>
          <w:szCs w:val="28"/>
        </w:rPr>
        <w:fldChar w:fldCharType="end"/>
      </w:r>
    </w:p>
    <w:p w14:paraId="02984DCC">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"_Toc181472922" </w:instrText>
      </w:r>
      <w:r>
        <w:fldChar w:fldCharType="separate"/>
      </w:r>
      <w:r>
        <w:rPr>
          <w:rStyle w:val="58"/>
          <w:rFonts w:ascii="Times New Roman" w:eastAsia="楷体"/>
          <w:bCs/>
          <w:sz w:val="28"/>
          <w:szCs w:val="28"/>
        </w:rPr>
        <w:t>1.5 规划年限</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_Toc181472922 \h </w:instrText>
      </w:r>
      <w:r>
        <w:rPr>
          <w:rFonts w:ascii="Times New Roman" w:eastAsia="楷体"/>
          <w:bCs/>
          <w:sz w:val="28"/>
          <w:szCs w:val="28"/>
        </w:rPr>
        <w:fldChar w:fldCharType="separate"/>
      </w:r>
      <w:r>
        <w:rPr>
          <w:rFonts w:ascii="Times New Roman" w:eastAsia="楷体"/>
          <w:bCs/>
          <w:sz w:val="28"/>
          <w:szCs w:val="28"/>
        </w:rPr>
        <w:t>17</w:t>
      </w:r>
      <w:r>
        <w:rPr>
          <w:rFonts w:ascii="Times New Roman" w:eastAsia="楷体"/>
          <w:bCs/>
          <w:sz w:val="28"/>
          <w:szCs w:val="28"/>
        </w:rPr>
        <w:fldChar w:fldCharType="end"/>
      </w:r>
      <w:r>
        <w:rPr>
          <w:rFonts w:ascii="Times New Roman" w:eastAsia="楷体"/>
          <w:bCs/>
          <w:sz w:val="28"/>
          <w:szCs w:val="28"/>
        </w:rPr>
        <w:fldChar w:fldCharType="end"/>
      </w:r>
    </w:p>
    <w:p w14:paraId="27ED354C">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"_Toc181472923" </w:instrText>
      </w:r>
      <w:r>
        <w:fldChar w:fldCharType="separate"/>
      </w:r>
      <w:r>
        <w:rPr>
          <w:rStyle w:val="58"/>
          <w:rFonts w:ascii="Times New Roman" w:eastAsia="楷体"/>
          <w:bCs/>
          <w:sz w:val="28"/>
          <w:szCs w:val="28"/>
        </w:rPr>
        <w:t>1.6 规划范围</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_Toc181472923 \h </w:instrText>
      </w:r>
      <w:r>
        <w:rPr>
          <w:rFonts w:ascii="Times New Roman" w:eastAsia="楷体"/>
          <w:bCs/>
          <w:sz w:val="28"/>
          <w:szCs w:val="28"/>
        </w:rPr>
        <w:fldChar w:fldCharType="separate"/>
      </w:r>
      <w:r>
        <w:rPr>
          <w:rFonts w:ascii="Times New Roman" w:eastAsia="楷体"/>
          <w:bCs/>
          <w:sz w:val="28"/>
          <w:szCs w:val="28"/>
        </w:rPr>
        <w:t>17</w:t>
      </w:r>
      <w:r>
        <w:rPr>
          <w:rFonts w:ascii="Times New Roman" w:eastAsia="楷体"/>
          <w:bCs/>
          <w:sz w:val="28"/>
          <w:szCs w:val="28"/>
        </w:rPr>
        <w:fldChar w:fldCharType="end"/>
      </w:r>
      <w:r>
        <w:rPr>
          <w:rFonts w:ascii="Times New Roman" w:eastAsia="楷体"/>
          <w:bCs/>
          <w:sz w:val="28"/>
          <w:szCs w:val="28"/>
        </w:rPr>
        <w:fldChar w:fldCharType="end"/>
      </w:r>
    </w:p>
    <w:p w14:paraId="52226234">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"_Toc181472924" </w:instrText>
      </w:r>
      <w:r>
        <w:fldChar w:fldCharType="separate"/>
      </w:r>
      <w:r>
        <w:rPr>
          <w:rStyle w:val="58"/>
          <w:rFonts w:ascii="Times New Roman" w:eastAsia="楷体"/>
          <w:bCs/>
          <w:sz w:val="28"/>
          <w:szCs w:val="28"/>
        </w:rPr>
        <w:t>1.7 规划目标</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_Toc181472924 \h </w:instrText>
      </w:r>
      <w:r>
        <w:rPr>
          <w:rFonts w:ascii="Times New Roman" w:eastAsia="楷体"/>
          <w:bCs/>
          <w:sz w:val="28"/>
          <w:szCs w:val="28"/>
        </w:rPr>
        <w:fldChar w:fldCharType="separate"/>
      </w:r>
      <w:r>
        <w:rPr>
          <w:rFonts w:ascii="Times New Roman" w:eastAsia="楷体"/>
          <w:bCs/>
          <w:sz w:val="28"/>
          <w:szCs w:val="28"/>
        </w:rPr>
        <w:t>19</w:t>
      </w:r>
      <w:r>
        <w:rPr>
          <w:rFonts w:ascii="Times New Roman" w:eastAsia="楷体"/>
          <w:bCs/>
          <w:sz w:val="28"/>
          <w:szCs w:val="28"/>
        </w:rPr>
        <w:fldChar w:fldCharType="end"/>
      </w:r>
      <w:r>
        <w:rPr>
          <w:rFonts w:ascii="Times New Roman" w:eastAsia="楷体"/>
          <w:bCs/>
          <w:sz w:val="28"/>
          <w:szCs w:val="28"/>
        </w:rPr>
        <w:fldChar w:fldCharType="end"/>
      </w:r>
    </w:p>
    <w:p w14:paraId="0C1E3B36">
      <w:pPr>
        <w:pStyle w:val="30"/>
        <w:spacing w:line="420" w:lineRule="auto"/>
        <w:rPr>
          <w:b/>
          <w:bCs w:val="0"/>
          <w:caps w:val="0"/>
          <w14:ligatures w14:val="standardContextual"/>
        </w:rPr>
      </w:pPr>
      <w:r>
        <w:fldChar w:fldCharType="begin"/>
      </w:r>
      <w:r>
        <w:instrText xml:space="preserve"> HYPERLINK \l "_Toc181472925" </w:instrText>
      </w:r>
      <w:r>
        <w:fldChar w:fldCharType="separate"/>
      </w:r>
      <w:r>
        <w:rPr>
          <w:rStyle w:val="58"/>
          <w:b/>
          <w:bCs w:val="0"/>
        </w:rPr>
        <w:t>第二章 区域概况</w:t>
      </w:r>
      <w:r>
        <w:rPr>
          <w:b/>
          <w:bCs w:val="0"/>
        </w:rPr>
        <w:tab/>
      </w:r>
      <w:r>
        <w:rPr>
          <w:b/>
          <w:bCs w:val="0"/>
        </w:rPr>
        <w:fldChar w:fldCharType="begin"/>
      </w:r>
      <w:r>
        <w:rPr>
          <w:b/>
          <w:bCs w:val="0"/>
        </w:rPr>
        <w:instrText xml:space="preserve"> PAGEREF _Toc181472925 \h </w:instrText>
      </w:r>
      <w:r>
        <w:rPr>
          <w:b/>
          <w:bCs w:val="0"/>
        </w:rPr>
        <w:fldChar w:fldCharType="separate"/>
      </w:r>
      <w:r>
        <w:rPr>
          <w:b/>
          <w:bCs w:val="0"/>
        </w:rPr>
        <w:t>20</w:t>
      </w:r>
      <w:r>
        <w:rPr>
          <w:b/>
          <w:bCs w:val="0"/>
        </w:rPr>
        <w:fldChar w:fldCharType="end"/>
      </w:r>
      <w:r>
        <w:rPr>
          <w:b/>
          <w:bCs w:val="0"/>
        </w:rPr>
        <w:fldChar w:fldCharType="end"/>
      </w:r>
    </w:p>
    <w:p w14:paraId="7ED243AE">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"_Toc181472926" </w:instrText>
      </w:r>
      <w:r>
        <w:fldChar w:fldCharType="separate"/>
      </w:r>
      <w:r>
        <w:rPr>
          <w:rStyle w:val="58"/>
          <w:rFonts w:ascii="Times New Roman" w:eastAsia="楷体"/>
          <w:bCs/>
          <w:sz w:val="28"/>
          <w:szCs w:val="28"/>
        </w:rPr>
        <w:t>2.1 自然概况</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_Toc181472926 \h </w:instrText>
      </w:r>
      <w:r>
        <w:rPr>
          <w:rFonts w:ascii="Times New Roman" w:eastAsia="楷体"/>
          <w:bCs/>
          <w:sz w:val="28"/>
          <w:szCs w:val="28"/>
        </w:rPr>
        <w:fldChar w:fldCharType="separate"/>
      </w:r>
      <w:r>
        <w:rPr>
          <w:rFonts w:ascii="Times New Roman" w:eastAsia="楷体"/>
          <w:bCs/>
          <w:sz w:val="28"/>
          <w:szCs w:val="28"/>
        </w:rPr>
        <w:t>20</w:t>
      </w:r>
      <w:r>
        <w:rPr>
          <w:rFonts w:ascii="Times New Roman" w:eastAsia="楷体"/>
          <w:bCs/>
          <w:sz w:val="28"/>
          <w:szCs w:val="28"/>
        </w:rPr>
        <w:fldChar w:fldCharType="end"/>
      </w:r>
      <w:r>
        <w:rPr>
          <w:rFonts w:ascii="Times New Roman" w:eastAsia="楷体"/>
          <w:bCs/>
          <w:sz w:val="28"/>
          <w:szCs w:val="28"/>
        </w:rPr>
        <w:fldChar w:fldCharType="end"/>
      </w:r>
    </w:p>
    <w:p w14:paraId="637B6BD6">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"_Toc181472927" </w:instrText>
      </w:r>
      <w:r>
        <w:fldChar w:fldCharType="separate"/>
      </w:r>
      <w:r>
        <w:rPr>
          <w:rStyle w:val="58"/>
          <w:rFonts w:ascii="Times New Roman" w:eastAsia="楷体"/>
          <w:bCs/>
          <w:sz w:val="28"/>
          <w:szCs w:val="28"/>
        </w:rPr>
        <w:t>2.2 社会经济</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_Toc181472927 \h </w:instrText>
      </w:r>
      <w:r>
        <w:rPr>
          <w:rFonts w:ascii="Times New Roman" w:eastAsia="楷体"/>
          <w:bCs/>
          <w:sz w:val="28"/>
          <w:szCs w:val="28"/>
        </w:rPr>
        <w:fldChar w:fldCharType="separate"/>
      </w:r>
      <w:r>
        <w:rPr>
          <w:rFonts w:ascii="Times New Roman" w:eastAsia="楷体"/>
          <w:bCs/>
          <w:sz w:val="28"/>
          <w:szCs w:val="28"/>
        </w:rPr>
        <w:t>29</w:t>
      </w:r>
      <w:r>
        <w:rPr>
          <w:rFonts w:ascii="Times New Roman" w:eastAsia="楷体"/>
          <w:bCs/>
          <w:sz w:val="28"/>
          <w:szCs w:val="28"/>
        </w:rPr>
        <w:fldChar w:fldCharType="end"/>
      </w:r>
      <w:r>
        <w:rPr>
          <w:rFonts w:ascii="Times New Roman" w:eastAsia="楷体"/>
          <w:bCs/>
          <w:sz w:val="28"/>
          <w:szCs w:val="28"/>
        </w:rPr>
        <w:fldChar w:fldCharType="end"/>
      </w:r>
    </w:p>
    <w:p w14:paraId="10E4D3E0">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"_Toc181472928" </w:instrText>
      </w:r>
      <w:r>
        <w:fldChar w:fldCharType="separate"/>
      </w:r>
      <w:r>
        <w:rPr>
          <w:rStyle w:val="58"/>
          <w:rFonts w:ascii="Times New Roman" w:eastAsia="楷体"/>
          <w:bCs/>
          <w:sz w:val="28"/>
          <w:szCs w:val="28"/>
        </w:rPr>
        <w:t>2.3 区域水资源状况分析</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_Toc181472928 \h </w:instrText>
      </w:r>
      <w:r>
        <w:rPr>
          <w:rFonts w:ascii="Times New Roman" w:eastAsia="楷体"/>
          <w:bCs/>
          <w:sz w:val="28"/>
          <w:szCs w:val="28"/>
        </w:rPr>
        <w:fldChar w:fldCharType="separate"/>
      </w:r>
      <w:r>
        <w:rPr>
          <w:rFonts w:ascii="Times New Roman" w:eastAsia="楷体"/>
          <w:bCs/>
          <w:sz w:val="28"/>
          <w:szCs w:val="28"/>
        </w:rPr>
        <w:t>30</w:t>
      </w:r>
      <w:r>
        <w:rPr>
          <w:rFonts w:ascii="Times New Roman" w:eastAsia="楷体"/>
          <w:bCs/>
          <w:sz w:val="28"/>
          <w:szCs w:val="28"/>
        </w:rPr>
        <w:fldChar w:fldCharType="end"/>
      </w:r>
      <w:r>
        <w:rPr>
          <w:rFonts w:ascii="Times New Roman" w:eastAsia="楷体"/>
          <w:bCs/>
          <w:sz w:val="28"/>
          <w:szCs w:val="28"/>
        </w:rPr>
        <w:fldChar w:fldCharType="end"/>
      </w:r>
    </w:p>
    <w:p w14:paraId="35A0F7C4">
      <w:pPr>
        <w:pStyle w:val="30"/>
        <w:spacing w:line="420" w:lineRule="auto"/>
        <w:rPr>
          <w:b/>
          <w:bCs w:val="0"/>
          <w:caps w:val="0"/>
          <w14:ligatures w14:val="standardContextual"/>
        </w:rPr>
      </w:pPr>
      <w:r>
        <w:fldChar w:fldCharType="begin"/>
      </w:r>
      <w:r>
        <w:instrText xml:space="preserve"> HYPERLINK \l "_Toc181472929" </w:instrText>
      </w:r>
      <w:r>
        <w:fldChar w:fldCharType="separate"/>
      </w:r>
      <w:r>
        <w:rPr>
          <w:rStyle w:val="58"/>
          <w:b/>
          <w:bCs w:val="0"/>
        </w:rPr>
        <w:t>第三章 再生水利用调查与评价</w:t>
      </w:r>
      <w:r>
        <w:rPr>
          <w:b/>
          <w:bCs w:val="0"/>
        </w:rPr>
        <w:tab/>
      </w:r>
      <w:r>
        <w:rPr>
          <w:b/>
          <w:bCs w:val="0"/>
        </w:rPr>
        <w:fldChar w:fldCharType="begin"/>
      </w:r>
      <w:r>
        <w:rPr>
          <w:b/>
          <w:bCs w:val="0"/>
        </w:rPr>
        <w:instrText xml:space="preserve"> PAGEREF _Toc181472929 \h </w:instrText>
      </w:r>
      <w:r>
        <w:rPr>
          <w:b/>
          <w:bCs w:val="0"/>
        </w:rPr>
        <w:fldChar w:fldCharType="separate"/>
      </w:r>
      <w:r>
        <w:rPr>
          <w:b/>
          <w:bCs w:val="0"/>
        </w:rPr>
        <w:t>57</w:t>
      </w:r>
      <w:r>
        <w:rPr>
          <w:b/>
          <w:bCs w:val="0"/>
        </w:rPr>
        <w:fldChar w:fldCharType="end"/>
      </w:r>
      <w:r>
        <w:rPr>
          <w:b/>
          <w:bCs w:val="0"/>
        </w:rPr>
        <w:fldChar w:fldCharType="end"/>
      </w:r>
    </w:p>
    <w:p w14:paraId="7B4DE74D">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"_Toc181472930" </w:instrText>
      </w:r>
      <w:r>
        <w:fldChar w:fldCharType="separate"/>
      </w:r>
      <w:r>
        <w:rPr>
          <w:rStyle w:val="58"/>
          <w:rFonts w:ascii="Times New Roman" w:eastAsia="楷体"/>
          <w:bCs/>
          <w:sz w:val="28"/>
          <w:szCs w:val="28"/>
        </w:rPr>
        <w:t>3.1 再生水现状调查</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_Toc181472930 \h </w:instrText>
      </w:r>
      <w:r>
        <w:rPr>
          <w:rFonts w:ascii="Times New Roman" w:eastAsia="楷体"/>
          <w:bCs/>
          <w:sz w:val="28"/>
          <w:szCs w:val="28"/>
        </w:rPr>
        <w:fldChar w:fldCharType="separate"/>
      </w:r>
      <w:r>
        <w:rPr>
          <w:rFonts w:ascii="Times New Roman" w:eastAsia="楷体"/>
          <w:bCs/>
          <w:sz w:val="28"/>
          <w:szCs w:val="28"/>
        </w:rPr>
        <w:t>57</w:t>
      </w:r>
      <w:r>
        <w:rPr>
          <w:rFonts w:ascii="Times New Roman" w:eastAsia="楷体"/>
          <w:bCs/>
          <w:sz w:val="28"/>
          <w:szCs w:val="28"/>
        </w:rPr>
        <w:fldChar w:fldCharType="end"/>
      </w:r>
      <w:r>
        <w:rPr>
          <w:rFonts w:ascii="Times New Roman" w:eastAsia="楷体"/>
          <w:bCs/>
          <w:sz w:val="28"/>
          <w:szCs w:val="28"/>
        </w:rPr>
        <w:fldChar w:fldCharType="end"/>
      </w:r>
    </w:p>
    <w:p w14:paraId="76AF71A6">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"_Toc181472931" </w:instrText>
      </w:r>
      <w:r>
        <w:fldChar w:fldCharType="separate"/>
      </w:r>
      <w:r>
        <w:rPr>
          <w:rStyle w:val="58"/>
          <w:rFonts w:ascii="Times New Roman" w:eastAsia="楷体"/>
          <w:bCs/>
          <w:sz w:val="28"/>
          <w:szCs w:val="28"/>
        </w:rPr>
        <w:t>3.2 再生水利用评价</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_Toc181472931 \h </w:instrText>
      </w:r>
      <w:r>
        <w:rPr>
          <w:rFonts w:ascii="Times New Roman" w:eastAsia="楷体"/>
          <w:bCs/>
          <w:sz w:val="28"/>
          <w:szCs w:val="28"/>
        </w:rPr>
        <w:fldChar w:fldCharType="separate"/>
      </w:r>
      <w:r>
        <w:rPr>
          <w:rFonts w:ascii="Times New Roman" w:eastAsia="楷体"/>
          <w:bCs/>
          <w:sz w:val="28"/>
          <w:szCs w:val="28"/>
        </w:rPr>
        <w:t>63</w:t>
      </w:r>
      <w:r>
        <w:rPr>
          <w:rFonts w:ascii="Times New Roman" w:eastAsia="楷体"/>
          <w:bCs/>
          <w:sz w:val="28"/>
          <w:szCs w:val="28"/>
        </w:rPr>
        <w:fldChar w:fldCharType="end"/>
      </w:r>
      <w:r>
        <w:rPr>
          <w:rFonts w:ascii="Times New Roman" w:eastAsia="楷体"/>
          <w:bCs/>
          <w:sz w:val="28"/>
          <w:szCs w:val="28"/>
        </w:rPr>
        <w:fldChar w:fldCharType="end"/>
      </w:r>
    </w:p>
    <w:p w14:paraId="43A7F719">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"_Toc181472932" </w:instrText>
      </w:r>
      <w:r>
        <w:fldChar w:fldCharType="separate"/>
      </w:r>
      <w:r>
        <w:rPr>
          <w:rStyle w:val="58"/>
          <w:rFonts w:ascii="Times New Roman" w:eastAsia="楷体"/>
          <w:bCs/>
          <w:sz w:val="28"/>
          <w:szCs w:val="28"/>
        </w:rPr>
        <w:t>3.3 再生水利用存在的问题</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_Toc181472932 \h </w:instrText>
      </w:r>
      <w:r>
        <w:rPr>
          <w:rFonts w:ascii="Times New Roman" w:eastAsia="楷体"/>
          <w:bCs/>
          <w:sz w:val="28"/>
          <w:szCs w:val="28"/>
        </w:rPr>
        <w:fldChar w:fldCharType="separate"/>
      </w:r>
      <w:r>
        <w:rPr>
          <w:rFonts w:ascii="Times New Roman" w:eastAsia="楷体"/>
          <w:bCs/>
          <w:sz w:val="28"/>
          <w:szCs w:val="28"/>
        </w:rPr>
        <w:t>66</w:t>
      </w:r>
      <w:r>
        <w:rPr>
          <w:rFonts w:ascii="Times New Roman" w:eastAsia="楷体"/>
          <w:bCs/>
          <w:sz w:val="28"/>
          <w:szCs w:val="28"/>
        </w:rPr>
        <w:fldChar w:fldCharType="end"/>
      </w:r>
      <w:r>
        <w:rPr>
          <w:rFonts w:ascii="Times New Roman" w:eastAsia="楷体"/>
          <w:bCs/>
          <w:sz w:val="28"/>
          <w:szCs w:val="28"/>
        </w:rPr>
        <w:fldChar w:fldCharType="end"/>
      </w:r>
    </w:p>
    <w:p w14:paraId="1DBF556C">
      <w:pPr>
        <w:pStyle w:val="30"/>
        <w:spacing w:line="420" w:lineRule="auto"/>
        <w:rPr>
          <w:b/>
          <w:bCs w:val="0"/>
          <w:caps w:val="0"/>
          <w14:ligatures w14:val="standardContextual"/>
        </w:rPr>
      </w:pPr>
      <w:r>
        <w:fldChar w:fldCharType="begin"/>
      </w:r>
      <w:r>
        <w:instrText xml:space="preserve"> HYPERLINK \l "_Toc181472933" </w:instrText>
      </w:r>
      <w:r>
        <w:fldChar w:fldCharType="separate"/>
      </w:r>
      <w:r>
        <w:rPr>
          <w:rStyle w:val="58"/>
          <w:b/>
          <w:bCs w:val="0"/>
        </w:rPr>
        <w:t>第四章 再生水需求分析</w:t>
      </w:r>
      <w:r>
        <w:rPr>
          <w:b/>
          <w:bCs w:val="0"/>
        </w:rPr>
        <w:tab/>
      </w:r>
      <w:r>
        <w:rPr>
          <w:b/>
          <w:bCs w:val="0"/>
        </w:rPr>
        <w:fldChar w:fldCharType="begin"/>
      </w:r>
      <w:r>
        <w:rPr>
          <w:b/>
          <w:bCs w:val="0"/>
        </w:rPr>
        <w:instrText xml:space="preserve"> PAGEREF _Toc181472933 \h </w:instrText>
      </w:r>
      <w:r>
        <w:rPr>
          <w:b/>
          <w:bCs w:val="0"/>
        </w:rPr>
        <w:fldChar w:fldCharType="separate"/>
      </w:r>
      <w:r>
        <w:rPr>
          <w:b/>
          <w:bCs w:val="0"/>
        </w:rPr>
        <w:t>69</w:t>
      </w:r>
      <w:r>
        <w:rPr>
          <w:b/>
          <w:bCs w:val="0"/>
        </w:rPr>
        <w:fldChar w:fldCharType="end"/>
      </w:r>
      <w:r>
        <w:rPr>
          <w:b/>
          <w:bCs w:val="0"/>
        </w:rPr>
        <w:fldChar w:fldCharType="end"/>
      </w:r>
    </w:p>
    <w:p w14:paraId="503CD3D2">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"_Toc181472934" </w:instrText>
      </w:r>
      <w:r>
        <w:fldChar w:fldCharType="separate"/>
      </w:r>
      <w:r>
        <w:rPr>
          <w:rStyle w:val="58"/>
          <w:rFonts w:ascii="Times New Roman" w:eastAsia="楷体"/>
          <w:bCs/>
          <w:sz w:val="28"/>
          <w:szCs w:val="28"/>
        </w:rPr>
        <w:t>4.1 再生水需求调查</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_Toc181472934 \h </w:instrText>
      </w:r>
      <w:r>
        <w:rPr>
          <w:rFonts w:ascii="Times New Roman" w:eastAsia="楷体"/>
          <w:bCs/>
          <w:sz w:val="28"/>
          <w:szCs w:val="28"/>
        </w:rPr>
        <w:fldChar w:fldCharType="separate"/>
      </w:r>
      <w:r>
        <w:rPr>
          <w:rFonts w:ascii="Times New Roman" w:eastAsia="楷体"/>
          <w:bCs/>
          <w:sz w:val="28"/>
          <w:szCs w:val="28"/>
        </w:rPr>
        <w:t>69</w:t>
      </w:r>
      <w:r>
        <w:rPr>
          <w:rFonts w:ascii="Times New Roman" w:eastAsia="楷体"/>
          <w:bCs/>
          <w:sz w:val="28"/>
          <w:szCs w:val="28"/>
        </w:rPr>
        <w:fldChar w:fldCharType="end"/>
      </w:r>
      <w:r>
        <w:rPr>
          <w:rFonts w:ascii="Times New Roman" w:eastAsia="楷体"/>
          <w:bCs/>
          <w:sz w:val="28"/>
          <w:szCs w:val="28"/>
        </w:rPr>
        <w:fldChar w:fldCharType="end"/>
      </w:r>
    </w:p>
    <w:p w14:paraId="4896F2FC">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"_Toc181472935" </w:instrText>
      </w:r>
      <w:r>
        <w:fldChar w:fldCharType="separate"/>
      </w:r>
      <w:r>
        <w:rPr>
          <w:rStyle w:val="58"/>
          <w:rFonts w:ascii="Times New Roman" w:eastAsia="楷体"/>
          <w:bCs/>
          <w:sz w:val="28"/>
          <w:szCs w:val="28"/>
        </w:rPr>
        <w:t>4.2 再生水用户需水量</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_Toc181472935 \h </w:instrText>
      </w:r>
      <w:r>
        <w:rPr>
          <w:rFonts w:ascii="Times New Roman" w:eastAsia="楷体"/>
          <w:bCs/>
          <w:sz w:val="28"/>
          <w:szCs w:val="28"/>
        </w:rPr>
        <w:fldChar w:fldCharType="separate"/>
      </w:r>
      <w:r>
        <w:rPr>
          <w:rFonts w:ascii="Times New Roman" w:eastAsia="楷体"/>
          <w:bCs/>
          <w:sz w:val="28"/>
          <w:szCs w:val="28"/>
        </w:rPr>
        <w:t>78</w:t>
      </w:r>
      <w:r>
        <w:rPr>
          <w:rFonts w:ascii="Times New Roman" w:eastAsia="楷体"/>
          <w:bCs/>
          <w:sz w:val="28"/>
          <w:szCs w:val="28"/>
        </w:rPr>
        <w:fldChar w:fldCharType="end"/>
      </w:r>
      <w:r>
        <w:rPr>
          <w:rFonts w:ascii="Times New Roman" w:eastAsia="楷体"/>
          <w:bCs/>
          <w:sz w:val="28"/>
          <w:szCs w:val="28"/>
        </w:rPr>
        <w:fldChar w:fldCharType="end"/>
      </w:r>
    </w:p>
    <w:p w14:paraId="61F48343">
      <w:pPr>
        <w:pStyle w:val="30"/>
        <w:spacing w:line="420" w:lineRule="auto"/>
        <w:rPr>
          <w:b/>
          <w:bCs w:val="0"/>
          <w:caps w:val="0"/>
          <w14:ligatures w14:val="standardContextual"/>
        </w:rPr>
      </w:pPr>
      <w:r>
        <w:fldChar w:fldCharType="begin"/>
      </w:r>
      <w:r>
        <w:instrText xml:space="preserve"> HYPERLINK \l "_Toc181472936" </w:instrText>
      </w:r>
      <w:r>
        <w:fldChar w:fldCharType="separate"/>
      </w:r>
      <w:r>
        <w:rPr>
          <w:rStyle w:val="58"/>
          <w:b/>
          <w:bCs w:val="0"/>
        </w:rPr>
        <w:t>第五章  再生水可利用量预测</w:t>
      </w:r>
      <w:r>
        <w:rPr>
          <w:b/>
          <w:bCs w:val="0"/>
        </w:rPr>
        <w:tab/>
      </w:r>
      <w:r>
        <w:rPr>
          <w:b/>
          <w:bCs w:val="0"/>
        </w:rPr>
        <w:fldChar w:fldCharType="begin"/>
      </w:r>
      <w:r>
        <w:rPr>
          <w:b/>
          <w:bCs w:val="0"/>
        </w:rPr>
        <w:instrText xml:space="preserve"> PAGEREF _Toc181472936 \h </w:instrText>
      </w:r>
      <w:r>
        <w:rPr>
          <w:b/>
          <w:bCs w:val="0"/>
        </w:rPr>
        <w:fldChar w:fldCharType="separate"/>
      </w:r>
      <w:r>
        <w:rPr>
          <w:b/>
          <w:bCs w:val="0"/>
        </w:rPr>
        <w:t>87</w:t>
      </w:r>
      <w:r>
        <w:rPr>
          <w:b/>
          <w:bCs w:val="0"/>
        </w:rPr>
        <w:fldChar w:fldCharType="end"/>
      </w:r>
      <w:r>
        <w:rPr>
          <w:b/>
          <w:bCs w:val="0"/>
        </w:rPr>
        <w:fldChar w:fldCharType="end"/>
      </w:r>
    </w:p>
    <w:p w14:paraId="7C5C99BF">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"_Toc181472937" </w:instrText>
      </w:r>
      <w:r>
        <w:fldChar w:fldCharType="separate"/>
      </w:r>
      <w:r>
        <w:rPr>
          <w:rStyle w:val="58"/>
          <w:rFonts w:ascii="Times New Roman" w:eastAsia="楷体"/>
          <w:bCs/>
          <w:sz w:val="28"/>
          <w:szCs w:val="28"/>
        </w:rPr>
        <w:t>5.1 污水量预测</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_Toc181472937 \h </w:instrText>
      </w:r>
      <w:r>
        <w:rPr>
          <w:rFonts w:ascii="Times New Roman" w:eastAsia="楷体"/>
          <w:bCs/>
          <w:sz w:val="28"/>
          <w:szCs w:val="28"/>
        </w:rPr>
        <w:fldChar w:fldCharType="separate"/>
      </w:r>
      <w:r>
        <w:rPr>
          <w:rFonts w:ascii="Times New Roman" w:eastAsia="楷体"/>
          <w:bCs/>
          <w:sz w:val="28"/>
          <w:szCs w:val="28"/>
        </w:rPr>
        <w:t>87</w:t>
      </w:r>
      <w:r>
        <w:rPr>
          <w:rFonts w:ascii="Times New Roman" w:eastAsia="楷体"/>
          <w:bCs/>
          <w:sz w:val="28"/>
          <w:szCs w:val="28"/>
        </w:rPr>
        <w:fldChar w:fldCharType="end"/>
      </w:r>
      <w:r>
        <w:rPr>
          <w:rFonts w:ascii="Times New Roman" w:eastAsia="楷体"/>
          <w:bCs/>
          <w:sz w:val="28"/>
          <w:szCs w:val="28"/>
        </w:rPr>
        <w:fldChar w:fldCharType="end"/>
      </w:r>
    </w:p>
    <w:p w14:paraId="0783309F">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"_Toc181472938" </w:instrText>
      </w:r>
      <w:r>
        <w:fldChar w:fldCharType="separate"/>
      </w:r>
      <w:r>
        <w:rPr>
          <w:rStyle w:val="58"/>
          <w:rFonts w:ascii="Times New Roman" w:eastAsia="楷体"/>
          <w:bCs/>
          <w:sz w:val="28"/>
          <w:szCs w:val="28"/>
        </w:rPr>
        <w:t>5.2 污水处理规模</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_Toc181472938 \h </w:instrText>
      </w:r>
      <w:r>
        <w:rPr>
          <w:rFonts w:ascii="Times New Roman" w:eastAsia="楷体"/>
          <w:bCs/>
          <w:sz w:val="28"/>
          <w:szCs w:val="28"/>
        </w:rPr>
        <w:fldChar w:fldCharType="separate"/>
      </w:r>
      <w:r>
        <w:rPr>
          <w:rFonts w:ascii="Times New Roman" w:eastAsia="楷体"/>
          <w:bCs/>
          <w:sz w:val="28"/>
          <w:szCs w:val="28"/>
        </w:rPr>
        <w:t>89</w:t>
      </w:r>
      <w:r>
        <w:rPr>
          <w:rFonts w:ascii="Times New Roman" w:eastAsia="楷体"/>
          <w:bCs/>
          <w:sz w:val="28"/>
          <w:szCs w:val="28"/>
        </w:rPr>
        <w:fldChar w:fldCharType="end"/>
      </w:r>
      <w:r>
        <w:rPr>
          <w:rFonts w:ascii="Times New Roman" w:eastAsia="楷体"/>
          <w:bCs/>
          <w:sz w:val="28"/>
          <w:szCs w:val="28"/>
        </w:rPr>
        <w:fldChar w:fldCharType="end"/>
      </w:r>
    </w:p>
    <w:p w14:paraId="4EECFD88">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"_Toc181472939" </w:instrText>
      </w:r>
      <w:r>
        <w:fldChar w:fldCharType="separate"/>
      </w:r>
      <w:r>
        <w:rPr>
          <w:rStyle w:val="58"/>
          <w:rFonts w:ascii="Times New Roman" w:eastAsia="楷体"/>
          <w:bCs/>
          <w:sz w:val="28"/>
          <w:szCs w:val="28"/>
        </w:rPr>
        <w:t>5.3 再生水可利用量预测</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_Toc181472939 \h </w:instrText>
      </w:r>
      <w:r>
        <w:rPr>
          <w:rFonts w:ascii="Times New Roman" w:eastAsia="楷体"/>
          <w:bCs/>
          <w:sz w:val="28"/>
          <w:szCs w:val="28"/>
        </w:rPr>
        <w:fldChar w:fldCharType="separate"/>
      </w:r>
      <w:r>
        <w:rPr>
          <w:rFonts w:ascii="Times New Roman" w:eastAsia="楷体"/>
          <w:bCs/>
          <w:sz w:val="28"/>
          <w:szCs w:val="28"/>
        </w:rPr>
        <w:t>99</w:t>
      </w:r>
      <w:r>
        <w:rPr>
          <w:rFonts w:ascii="Times New Roman" w:eastAsia="楷体"/>
          <w:bCs/>
          <w:sz w:val="28"/>
          <w:szCs w:val="28"/>
        </w:rPr>
        <w:fldChar w:fldCharType="end"/>
      </w:r>
      <w:r>
        <w:rPr>
          <w:rFonts w:ascii="Times New Roman" w:eastAsia="楷体"/>
          <w:bCs/>
          <w:sz w:val="28"/>
          <w:szCs w:val="28"/>
        </w:rPr>
        <w:fldChar w:fldCharType="end"/>
      </w:r>
    </w:p>
    <w:p w14:paraId="74C725F7">
      <w:pPr>
        <w:pStyle w:val="30"/>
        <w:spacing w:line="420" w:lineRule="auto"/>
        <w:rPr>
          <w:b/>
          <w:bCs w:val="0"/>
          <w:caps w:val="0"/>
          <w14:ligatures w14:val="standardContextual"/>
        </w:rPr>
      </w:pPr>
      <w:r>
        <w:fldChar w:fldCharType="begin"/>
      </w:r>
      <w:r>
        <w:instrText xml:space="preserve"> HYPERLINK \l "_Toc181472940" </w:instrText>
      </w:r>
      <w:r>
        <w:fldChar w:fldCharType="separate"/>
      </w:r>
      <w:r>
        <w:rPr>
          <w:rStyle w:val="58"/>
          <w:b/>
          <w:bCs w:val="0"/>
        </w:rPr>
        <w:t>第六章  再生水利用配置</w:t>
      </w:r>
      <w:r>
        <w:rPr>
          <w:b/>
          <w:bCs w:val="0"/>
        </w:rPr>
        <w:tab/>
      </w:r>
      <w:r>
        <w:rPr>
          <w:b/>
          <w:bCs w:val="0"/>
        </w:rPr>
        <w:fldChar w:fldCharType="begin"/>
      </w:r>
      <w:r>
        <w:rPr>
          <w:b/>
          <w:bCs w:val="0"/>
        </w:rPr>
        <w:instrText xml:space="preserve"> PAGEREF _Toc181472940 \h </w:instrText>
      </w:r>
      <w:r>
        <w:rPr>
          <w:b/>
          <w:bCs w:val="0"/>
        </w:rPr>
        <w:fldChar w:fldCharType="separate"/>
      </w:r>
      <w:r>
        <w:rPr>
          <w:b/>
          <w:bCs w:val="0"/>
        </w:rPr>
        <w:t>101</w:t>
      </w:r>
      <w:r>
        <w:rPr>
          <w:b/>
          <w:bCs w:val="0"/>
        </w:rPr>
        <w:fldChar w:fldCharType="end"/>
      </w:r>
      <w:r>
        <w:rPr>
          <w:b/>
          <w:bCs w:val="0"/>
        </w:rPr>
        <w:fldChar w:fldCharType="end"/>
      </w:r>
    </w:p>
    <w:p w14:paraId="17087396">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"_Toc181472941" </w:instrText>
      </w:r>
      <w:r>
        <w:fldChar w:fldCharType="separate"/>
      </w:r>
      <w:r>
        <w:rPr>
          <w:rStyle w:val="58"/>
          <w:rFonts w:ascii="Times New Roman" w:eastAsia="楷体"/>
          <w:bCs/>
          <w:sz w:val="28"/>
          <w:szCs w:val="28"/>
        </w:rPr>
        <w:t>6.1 再生水供需平衡分析</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_Toc181472941 \h </w:instrText>
      </w:r>
      <w:r>
        <w:rPr>
          <w:rFonts w:ascii="Times New Roman" w:eastAsia="楷体"/>
          <w:bCs/>
          <w:sz w:val="28"/>
          <w:szCs w:val="28"/>
        </w:rPr>
        <w:fldChar w:fldCharType="separate"/>
      </w:r>
      <w:r>
        <w:rPr>
          <w:rFonts w:ascii="Times New Roman" w:eastAsia="楷体"/>
          <w:bCs/>
          <w:sz w:val="28"/>
          <w:szCs w:val="28"/>
        </w:rPr>
        <w:t>101</w:t>
      </w:r>
      <w:r>
        <w:rPr>
          <w:rFonts w:ascii="Times New Roman" w:eastAsia="楷体"/>
          <w:bCs/>
          <w:sz w:val="28"/>
          <w:szCs w:val="28"/>
        </w:rPr>
        <w:fldChar w:fldCharType="end"/>
      </w:r>
      <w:r>
        <w:rPr>
          <w:rFonts w:ascii="Times New Roman" w:eastAsia="楷体"/>
          <w:bCs/>
          <w:sz w:val="28"/>
          <w:szCs w:val="28"/>
        </w:rPr>
        <w:fldChar w:fldCharType="end"/>
      </w:r>
    </w:p>
    <w:p w14:paraId="3A4708E6">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"_Toc181472942" </w:instrText>
      </w:r>
      <w:r>
        <w:fldChar w:fldCharType="separate"/>
      </w:r>
      <w:r>
        <w:rPr>
          <w:rStyle w:val="58"/>
          <w:rFonts w:ascii="Times New Roman" w:eastAsia="楷体"/>
          <w:bCs/>
          <w:sz w:val="28"/>
          <w:szCs w:val="28"/>
        </w:rPr>
        <w:t>6.2 再生水配置原则与要求</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_Toc181472942 \h </w:instrText>
      </w:r>
      <w:r>
        <w:rPr>
          <w:rFonts w:ascii="Times New Roman" w:eastAsia="楷体"/>
          <w:bCs/>
          <w:sz w:val="28"/>
          <w:szCs w:val="28"/>
        </w:rPr>
        <w:fldChar w:fldCharType="separate"/>
      </w:r>
      <w:r>
        <w:rPr>
          <w:rFonts w:ascii="Times New Roman" w:eastAsia="楷体"/>
          <w:bCs/>
          <w:sz w:val="28"/>
          <w:szCs w:val="28"/>
        </w:rPr>
        <w:t>101</w:t>
      </w:r>
      <w:r>
        <w:rPr>
          <w:rFonts w:ascii="Times New Roman" w:eastAsia="楷体"/>
          <w:bCs/>
          <w:sz w:val="28"/>
          <w:szCs w:val="28"/>
        </w:rPr>
        <w:fldChar w:fldCharType="end"/>
      </w:r>
      <w:r>
        <w:rPr>
          <w:rFonts w:ascii="Times New Roman" w:eastAsia="楷体"/>
          <w:bCs/>
          <w:sz w:val="28"/>
          <w:szCs w:val="28"/>
        </w:rPr>
        <w:fldChar w:fldCharType="end"/>
      </w:r>
    </w:p>
    <w:p w14:paraId="522D3D5D">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"_Toc181472943" </w:instrText>
      </w:r>
      <w:r>
        <w:fldChar w:fldCharType="separate"/>
      </w:r>
      <w:r>
        <w:rPr>
          <w:rStyle w:val="58"/>
          <w:rFonts w:ascii="Times New Roman" w:eastAsia="楷体"/>
          <w:bCs/>
          <w:sz w:val="28"/>
          <w:szCs w:val="28"/>
        </w:rPr>
        <w:t>6.3 再生水配置方案</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_Toc181472943 \h </w:instrText>
      </w:r>
      <w:r>
        <w:rPr>
          <w:rFonts w:ascii="Times New Roman" w:eastAsia="楷体"/>
          <w:bCs/>
          <w:sz w:val="28"/>
          <w:szCs w:val="28"/>
        </w:rPr>
        <w:fldChar w:fldCharType="separate"/>
      </w:r>
      <w:r>
        <w:rPr>
          <w:rFonts w:ascii="Times New Roman" w:eastAsia="楷体"/>
          <w:bCs/>
          <w:sz w:val="28"/>
          <w:szCs w:val="28"/>
        </w:rPr>
        <w:t>102</w:t>
      </w:r>
      <w:r>
        <w:rPr>
          <w:rFonts w:ascii="Times New Roman" w:eastAsia="楷体"/>
          <w:bCs/>
          <w:sz w:val="28"/>
          <w:szCs w:val="28"/>
        </w:rPr>
        <w:fldChar w:fldCharType="end"/>
      </w:r>
      <w:r>
        <w:rPr>
          <w:rFonts w:ascii="Times New Roman" w:eastAsia="楷体"/>
          <w:bCs/>
          <w:sz w:val="28"/>
          <w:szCs w:val="28"/>
        </w:rPr>
        <w:fldChar w:fldCharType="end"/>
      </w:r>
    </w:p>
    <w:p w14:paraId="2C980283">
      <w:pPr>
        <w:pStyle w:val="30"/>
        <w:spacing w:line="420" w:lineRule="auto"/>
        <w:rPr>
          <w:b/>
          <w:bCs w:val="0"/>
          <w:caps w:val="0"/>
          <w14:ligatures w14:val="standardContextual"/>
        </w:rPr>
      </w:pPr>
      <w:r>
        <w:fldChar w:fldCharType="begin"/>
      </w:r>
      <w:r>
        <w:instrText xml:space="preserve"> HYPERLINK \l "_Toc181472944" </w:instrText>
      </w:r>
      <w:r>
        <w:fldChar w:fldCharType="separate"/>
      </w:r>
      <w:r>
        <w:rPr>
          <w:rStyle w:val="58"/>
          <w:b/>
          <w:bCs w:val="0"/>
        </w:rPr>
        <w:t>第七章  再生水利用工程布局</w:t>
      </w:r>
      <w:r>
        <w:rPr>
          <w:b/>
          <w:bCs w:val="0"/>
        </w:rPr>
        <w:tab/>
      </w:r>
      <w:r>
        <w:rPr>
          <w:b/>
          <w:bCs w:val="0"/>
        </w:rPr>
        <w:fldChar w:fldCharType="begin"/>
      </w:r>
      <w:r>
        <w:rPr>
          <w:b/>
          <w:bCs w:val="0"/>
        </w:rPr>
        <w:instrText xml:space="preserve"> PAGEREF _Toc181472944 \h </w:instrText>
      </w:r>
      <w:r>
        <w:rPr>
          <w:b/>
          <w:bCs w:val="0"/>
        </w:rPr>
        <w:fldChar w:fldCharType="separate"/>
      </w:r>
      <w:r>
        <w:rPr>
          <w:b/>
          <w:bCs w:val="0"/>
        </w:rPr>
        <w:t>113</w:t>
      </w:r>
      <w:r>
        <w:rPr>
          <w:b/>
          <w:bCs w:val="0"/>
        </w:rPr>
        <w:fldChar w:fldCharType="end"/>
      </w:r>
      <w:r>
        <w:rPr>
          <w:b/>
          <w:bCs w:val="0"/>
        </w:rPr>
        <w:fldChar w:fldCharType="end"/>
      </w:r>
    </w:p>
    <w:p w14:paraId="5EA51A61">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"_Toc181472945" </w:instrText>
      </w:r>
      <w:r>
        <w:fldChar w:fldCharType="separate"/>
      </w:r>
      <w:r>
        <w:rPr>
          <w:rStyle w:val="58"/>
          <w:rFonts w:ascii="Times New Roman" w:eastAsia="楷体"/>
          <w:bCs/>
          <w:sz w:val="28"/>
          <w:szCs w:val="28"/>
        </w:rPr>
        <w:t>7.1 再生水利用工程总体布局</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_Toc181472945 \h </w:instrText>
      </w:r>
      <w:r>
        <w:rPr>
          <w:rFonts w:ascii="Times New Roman" w:eastAsia="楷体"/>
          <w:bCs/>
          <w:sz w:val="28"/>
          <w:szCs w:val="28"/>
        </w:rPr>
        <w:fldChar w:fldCharType="separate"/>
      </w:r>
      <w:r>
        <w:rPr>
          <w:rFonts w:ascii="Times New Roman" w:eastAsia="楷体"/>
          <w:bCs/>
          <w:sz w:val="28"/>
          <w:szCs w:val="28"/>
        </w:rPr>
        <w:t>113</w:t>
      </w:r>
      <w:r>
        <w:rPr>
          <w:rFonts w:ascii="Times New Roman" w:eastAsia="楷体"/>
          <w:bCs/>
          <w:sz w:val="28"/>
          <w:szCs w:val="28"/>
        </w:rPr>
        <w:fldChar w:fldCharType="end"/>
      </w:r>
      <w:r>
        <w:rPr>
          <w:rFonts w:ascii="Times New Roman" w:eastAsia="楷体"/>
          <w:bCs/>
          <w:sz w:val="28"/>
          <w:szCs w:val="28"/>
        </w:rPr>
        <w:fldChar w:fldCharType="end"/>
      </w:r>
    </w:p>
    <w:p w14:paraId="7EF1DD51">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"_Toc181472946" </w:instrText>
      </w:r>
      <w:r>
        <w:fldChar w:fldCharType="separate"/>
      </w:r>
      <w:r>
        <w:rPr>
          <w:rStyle w:val="58"/>
          <w:rFonts w:ascii="Times New Roman" w:eastAsia="楷体"/>
          <w:bCs/>
          <w:sz w:val="28"/>
          <w:szCs w:val="28"/>
        </w:rPr>
        <w:t>7.2 再生水厂工程规划</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_Toc181472946 \h </w:instrText>
      </w:r>
      <w:r>
        <w:rPr>
          <w:rFonts w:ascii="Times New Roman" w:eastAsia="楷体"/>
          <w:bCs/>
          <w:sz w:val="28"/>
          <w:szCs w:val="28"/>
        </w:rPr>
        <w:fldChar w:fldCharType="separate"/>
      </w:r>
      <w:r>
        <w:rPr>
          <w:rFonts w:ascii="Times New Roman" w:eastAsia="楷体"/>
          <w:bCs/>
          <w:sz w:val="28"/>
          <w:szCs w:val="28"/>
        </w:rPr>
        <w:t>119</w:t>
      </w:r>
      <w:r>
        <w:rPr>
          <w:rFonts w:ascii="Times New Roman" w:eastAsia="楷体"/>
          <w:bCs/>
          <w:sz w:val="28"/>
          <w:szCs w:val="28"/>
        </w:rPr>
        <w:fldChar w:fldCharType="end"/>
      </w:r>
      <w:r>
        <w:rPr>
          <w:rFonts w:ascii="Times New Roman" w:eastAsia="楷体"/>
          <w:bCs/>
          <w:sz w:val="28"/>
          <w:szCs w:val="28"/>
        </w:rPr>
        <w:fldChar w:fldCharType="end"/>
      </w:r>
    </w:p>
    <w:p w14:paraId="1FC463B7">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"_Toc181472947" </w:instrText>
      </w:r>
      <w:r>
        <w:fldChar w:fldCharType="separate"/>
      </w:r>
      <w:r>
        <w:rPr>
          <w:rStyle w:val="58"/>
          <w:rFonts w:ascii="Times New Roman" w:eastAsia="楷体"/>
          <w:bCs/>
          <w:sz w:val="28"/>
          <w:szCs w:val="28"/>
        </w:rPr>
        <w:t>7.3 输配水工程</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_Toc181472947 \h </w:instrText>
      </w:r>
      <w:r>
        <w:rPr>
          <w:rFonts w:ascii="Times New Roman" w:eastAsia="楷体"/>
          <w:bCs/>
          <w:sz w:val="28"/>
          <w:szCs w:val="28"/>
        </w:rPr>
        <w:fldChar w:fldCharType="separate"/>
      </w:r>
      <w:r>
        <w:rPr>
          <w:rFonts w:ascii="Times New Roman" w:eastAsia="楷体"/>
          <w:bCs/>
          <w:sz w:val="28"/>
          <w:szCs w:val="28"/>
        </w:rPr>
        <w:t>128</w:t>
      </w:r>
      <w:r>
        <w:rPr>
          <w:rFonts w:ascii="Times New Roman" w:eastAsia="楷体"/>
          <w:bCs/>
          <w:sz w:val="28"/>
          <w:szCs w:val="28"/>
        </w:rPr>
        <w:fldChar w:fldCharType="end"/>
      </w:r>
      <w:r>
        <w:rPr>
          <w:rFonts w:ascii="Times New Roman" w:eastAsia="楷体"/>
          <w:bCs/>
          <w:sz w:val="28"/>
          <w:szCs w:val="28"/>
        </w:rPr>
        <w:fldChar w:fldCharType="end"/>
      </w:r>
    </w:p>
    <w:p w14:paraId="4C321D8D">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"_Toc181472948" </w:instrText>
      </w:r>
      <w:r>
        <w:fldChar w:fldCharType="separate"/>
      </w:r>
      <w:r>
        <w:rPr>
          <w:rStyle w:val="58"/>
          <w:rFonts w:ascii="Times New Roman" w:eastAsia="楷体"/>
          <w:bCs/>
          <w:sz w:val="28"/>
          <w:szCs w:val="28"/>
        </w:rPr>
        <w:t>7.4 管理维护设施</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_Toc181472948 \h </w:instrText>
      </w:r>
      <w:r>
        <w:rPr>
          <w:rFonts w:ascii="Times New Roman" w:eastAsia="楷体"/>
          <w:bCs/>
          <w:sz w:val="28"/>
          <w:szCs w:val="28"/>
        </w:rPr>
        <w:fldChar w:fldCharType="separate"/>
      </w:r>
      <w:r>
        <w:rPr>
          <w:rFonts w:ascii="Times New Roman" w:eastAsia="楷体"/>
          <w:bCs/>
          <w:sz w:val="28"/>
          <w:szCs w:val="28"/>
        </w:rPr>
        <w:t>130</w:t>
      </w:r>
      <w:r>
        <w:rPr>
          <w:rFonts w:ascii="Times New Roman" w:eastAsia="楷体"/>
          <w:bCs/>
          <w:sz w:val="28"/>
          <w:szCs w:val="28"/>
        </w:rPr>
        <w:fldChar w:fldCharType="end"/>
      </w:r>
      <w:r>
        <w:rPr>
          <w:rFonts w:ascii="Times New Roman" w:eastAsia="楷体"/>
          <w:bCs/>
          <w:sz w:val="28"/>
          <w:szCs w:val="28"/>
        </w:rPr>
        <w:fldChar w:fldCharType="end"/>
      </w:r>
    </w:p>
    <w:p w14:paraId="39A47B4C">
      <w:pPr>
        <w:pStyle w:val="30"/>
        <w:spacing w:line="420" w:lineRule="auto"/>
        <w:rPr>
          <w:b/>
          <w:bCs w:val="0"/>
          <w:caps w:val="0"/>
          <w14:ligatures w14:val="standardContextual"/>
        </w:rPr>
      </w:pPr>
      <w:r>
        <w:fldChar w:fldCharType="begin"/>
      </w:r>
      <w:r>
        <w:instrText xml:space="preserve"> HYPERLINK \l "_Toc181472949" </w:instrText>
      </w:r>
      <w:r>
        <w:fldChar w:fldCharType="separate"/>
      </w:r>
      <w:r>
        <w:rPr>
          <w:rStyle w:val="58"/>
          <w:b/>
          <w:bCs w:val="0"/>
        </w:rPr>
        <w:t>第八章  投资估算</w:t>
      </w:r>
      <w:r>
        <w:rPr>
          <w:b/>
          <w:bCs w:val="0"/>
        </w:rPr>
        <w:tab/>
      </w:r>
      <w:r>
        <w:rPr>
          <w:b/>
          <w:bCs w:val="0"/>
        </w:rPr>
        <w:fldChar w:fldCharType="begin"/>
      </w:r>
      <w:r>
        <w:rPr>
          <w:b/>
          <w:bCs w:val="0"/>
        </w:rPr>
        <w:instrText xml:space="preserve"> PAGEREF _Toc181472949 \h </w:instrText>
      </w:r>
      <w:r>
        <w:rPr>
          <w:b/>
          <w:bCs w:val="0"/>
        </w:rPr>
        <w:fldChar w:fldCharType="separate"/>
      </w:r>
      <w:r>
        <w:rPr>
          <w:b/>
          <w:bCs w:val="0"/>
        </w:rPr>
        <w:t>133</w:t>
      </w:r>
      <w:r>
        <w:rPr>
          <w:b/>
          <w:bCs w:val="0"/>
        </w:rPr>
        <w:fldChar w:fldCharType="end"/>
      </w:r>
      <w:r>
        <w:rPr>
          <w:b/>
          <w:bCs w:val="0"/>
        </w:rPr>
        <w:fldChar w:fldCharType="end"/>
      </w:r>
    </w:p>
    <w:p w14:paraId="761ADA9D">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"_Toc181472950" </w:instrText>
      </w:r>
      <w:r>
        <w:fldChar w:fldCharType="separate"/>
      </w:r>
      <w:r>
        <w:rPr>
          <w:rStyle w:val="58"/>
          <w:rFonts w:ascii="Times New Roman" w:eastAsia="楷体"/>
          <w:bCs/>
          <w:sz w:val="28"/>
          <w:szCs w:val="28"/>
        </w:rPr>
        <w:t>8.1 规划建设项目实施原则</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_Toc181472950 \h </w:instrText>
      </w:r>
      <w:r>
        <w:rPr>
          <w:rFonts w:ascii="Times New Roman" w:eastAsia="楷体"/>
          <w:bCs/>
          <w:sz w:val="28"/>
          <w:szCs w:val="28"/>
        </w:rPr>
        <w:fldChar w:fldCharType="separate"/>
      </w:r>
      <w:r>
        <w:rPr>
          <w:rFonts w:ascii="Times New Roman" w:eastAsia="楷体"/>
          <w:bCs/>
          <w:sz w:val="28"/>
          <w:szCs w:val="28"/>
        </w:rPr>
        <w:t>133</w:t>
      </w:r>
      <w:r>
        <w:rPr>
          <w:rFonts w:ascii="Times New Roman" w:eastAsia="楷体"/>
          <w:bCs/>
          <w:sz w:val="28"/>
          <w:szCs w:val="28"/>
        </w:rPr>
        <w:fldChar w:fldCharType="end"/>
      </w:r>
      <w:r>
        <w:rPr>
          <w:rFonts w:ascii="Times New Roman" w:eastAsia="楷体"/>
          <w:bCs/>
          <w:sz w:val="28"/>
          <w:szCs w:val="28"/>
        </w:rPr>
        <w:fldChar w:fldCharType="end"/>
      </w:r>
    </w:p>
    <w:p w14:paraId="7F41A83A">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"_Toc181472951" </w:instrText>
      </w:r>
      <w:r>
        <w:fldChar w:fldCharType="separate"/>
      </w:r>
      <w:r>
        <w:rPr>
          <w:rStyle w:val="58"/>
          <w:rFonts w:ascii="Times New Roman" w:eastAsia="楷体"/>
          <w:bCs/>
          <w:sz w:val="28"/>
          <w:szCs w:val="28"/>
        </w:rPr>
        <w:t>8.2 规划建设内容及投资估算</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_Toc181472951 \h </w:instrText>
      </w:r>
      <w:r>
        <w:rPr>
          <w:rFonts w:ascii="Times New Roman" w:eastAsia="楷体"/>
          <w:bCs/>
          <w:sz w:val="28"/>
          <w:szCs w:val="28"/>
        </w:rPr>
        <w:fldChar w:fldCharType="separate"/>
      </w:r>
      <w:r>
        <w:rPr>
          <w:rFonts w:ascii="Times New Roman" w:eastAsia="楷体"/>
          <w:bCs/>
          <w:sz w:val="28"/>
          <w:szCs w:val="28"/>
        </w:rPr>
        <w:t>133</w:t>
      </w:r>
      <w:r>
        <w:rPr>
          <w:rFonts w:ascii="Times New Roman" w:eastAsia="楷体"/>
          <w:bCs/>
          <w:sz w:val="28"/>
          <w:szCs w:val="28"/>
        </w:rPr>
        <w:fldChar w:fldCharType="end"/>
      </w:r>
      <w:r>
        <w:rPr>
          <w:rFonts w:ascii="Times New Roman" w:eastAsia="楷体"/>
          <w:bCs/>
          <w:sz w:val="28"/>
          <w:szCs w:val="28"/>
        </w:rPr>
        <w:fldChar w:fldCharType="end"/>
      </w:r>
    </w:p>
    <w:p w14:paraId="14DFA831">
      <w:pPr>
        <w:pStyle w:val="30"/>
        <w:spacing w:line="420" w:lineRule="auto"/>
        <w:rPr>
          <w:b/>
          <w:bCs w:val="0"/>
          <w:caps w:val="0"/>
          <w14:ligatures w14:val="standardContextual"/>
        </w:rPr>
      </w:pPr>
      <w:r>
        <w:fldChar w:fldCharType="begin"/>
      </w:r>
      <w:r>
        <w:instrText xml:space="preserve"> HYPERLINK \l "_Toc181472952" </w:instrText>
      </w:r>
      <w:r>
        <w:fldChar w:fldCharType="separate"/>
      </w:r>
      <w:r>
        <w:rPr>
          <w:rStyle w:val="58"/>
          <w:b/>
          <w:bCs w:val="0"/>
        </w:rPr>
        <w:t>第九章  实施效果评价</w:t>
      </w:r>
      <w:r>
        <w:rPr>
          <w:b/>
          <w:bCs w:val="0"/>
        </w:rPr>
        <w:tab/>
      </w:r>
      <w:r>
        <w:rPr>
          <w:b/>
          <w:bCs w:val="0"/>
        </w:rPr>
        <w:fldChar w:fldCharType="begin"/>
      </w:r>
      <w:r>
        <w:rPr>
          <w:b/>
          <w:bCs w:val="0"/>
        </w:rPr>
        <w:instrText xml:space="preserve"> PAGEREF _Toc181472952 \h </w:instrText>
      </w:r>
      <w:r>
        <w:rPr>
          <w:b/>
          <w:bCs w:val="0"/>
        </w:rPr>
        <w:fldChar w:fldCharType="separate"/>
      </w:r>
      <w:r>
        <w:rPr>
          <w:b/>
          <w:bCs w:val="0"/>
        </w:rPr>
        <w:t>135</w:t>
      </w:r>
      <w:r>
        <w:rPr>
          <w:b/>
          <w:bCs w:val="0"/>
        </w:rPr>
        <w:fldChar w:fldCharType="end"/>
      </w:r>
      <w:r>
        <w:rPr>
          <w:b/>
          <w:bCs w:val="0"/>
        </w:rPr>
        <w:fldChar w:fldCharType="end"/>
      </w:r>
    </w:p>
    <w:p w14:paraId="634421A9">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"_Toc181472953" </w:instrText>
      </w:r>
      <w:r>
        <w:fldChar w:fldCharType="separate"/>
      </w:r>
      <w:r>
        <w:rPr>
          <w:rStyle w:val="58"/>
          <w:rFonts w:ascii="Times New Roman" w:eastAsia="楷体"/>
          <w:bCs/>
          <w:sz w:val="28"/>
          <w:szCs w:val="28"/>
        </w:rPr>
        <w:t>9.1 资源效益评价</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_Toc181472953 \h </w:instrText>
      </w:r>
      <w:r>
        <w:rPr>
          <w:rFonts w:ascii="Times New Roman" w:eastAsia="楷体"/>
          <w:bCs/>
          <w:sz w:val="28"/>
          <w:szCs w:val="28"/>
        </w:rPr>
        <w:fldChar w:fldCharType="separate"/>
      </w:r>
      <w:r>
        <w:rPr>
          <w:rFonts w:ascii="Times New Roman" w:eastAsia="楷体"/>
          <w:bCs/>
          <w:sz w:val="28"/>
          <w:szCs w:val="28"/>
        </w:rPr>
        <w:t>135</w:t>
      </w:r>
      <w:r>
        <w:rPr>
          <w:rFonts w:ascii="Times New Roman" w:eastAsia="楷体"/>
          <w:bCs/>
          <w:sz w:val="28"/>
          <w:szCs w:val="28"/>
        </w:rPr>
        <w:fldChar w:fldCharType="end"/>
      </w:r>
      <w:r>
        <w:rPr>
          <w:rFonts w:ascii="Times New Roman" w:eastAsia="楷体"/>
          <w:bCs/>
          <w:sz w:val="28"/>
          <w:szCs w:val="28"/>
        </w:rPr>
        <w:fldChar w:fldCharType="end"/>
      </w:r>
    </w:p>
    <w:p w14:paraId="47CC43A2">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"_Toc181472954" </w:instrText>
      </w:r>
      <w:r>
        <w:fldChar w:fldCharType="separate"/>
      </w:r>
      <w:r>
        <w:rPr>
          <w:rStyle w:val="58"/>
          <w:rFonts w:ascii="Times New Roman" w:eastAsia="楷体"/>
          <w:bCs/>
          <w:sz w:val="28"/>
          <w:szCs w:val="28"/>
        </w:rPr>
        <w:t>9.2 环境效益评价</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_Toc181472954 \h </w:instrText>
      </w:r>
      <w:r>
        <w:rPr>
          <w:rFonts w:ascii="Times New Roman" w:eastAsia="楷体"/>
          <w:bCs/>
          <w:sz w:val="28"/>
          <w:szCs w:val="28"/>
        </w:rPr>
        <w:fldChar w:fldCharType="separate"/>
      </w:r>
      <w:r>
        <w:rPr>
          <w:rFonts w:ascii="Times New Roman" w:eastAsia="楷体"/>
          <w:bCs/>
          <w:sz w:val="28"/>
          <w:szCs w:val="28"/>
        </w:rPr>
        <w:t>135</w:t>
      </w:r>
      <w:r>
        <w:rPr>
          <w:rFonts w:ascii="Times New Roman" w:eastAsia="楷体"/>
          <w:bCs/>
          <w:sz w:val="28"/>
          <w:szCs w:val="28"/>
        </w:rPr>
        <w:fldChar w:fldCharType="end"/>
      </w:r>
      <w:r>
        <w:rPr>
          <w:rFonts w:ascii="Times New Roman" w:eastAsia="楷体"/>
          <w:bCs/>
          <w:sz w:val="28"/>
          <w:szCs w:val="28"/>
        </w:rPr>
        <w:fldChar w:fldCharType="end"/>
      </w:r>
    </w:p>
    <w:p w14:paraId="024B85A2">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"_Toc181472955" </w:instrText>
      </w:r>
      <w:r>
        <w:fldChar w:fldCharType="separate"/>
      </w:r>
      <w:r>
        <w:rPr>
          <w:rStyle w:val="58"/>
          <w:rFonts w:ascii="Times New Roman" w:eastAsia="楷体"/>
          <w:bCs/>
          <w:sz w:val="28"/>
          <w:szCs w:val="28"/>
        </w:rPr>
        <w:t>9.3 社会效益评价</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_Toc181472955 \h </w:instrText>
      </w:r>
      <w:r>
        <w:rPr>
          <w:rFonts w:ascii="Times New Roman" w:eastAsia="楷体"/>
          <w:bCs/>
          <w:sz w:val="28"/>
          <w:szCs w:val="28"/>
        </w:rPr>
        <w:fldChar w:fldCharType="separate"/>
      </w:r>
      <w:r>
        <w:rPr>
          <w:rFonts w:ascii="Times New Roman" w:eastAsia="楷体"/>
          <w:bCs/>
          <w:sz w:val="28"/>
          <w:szCs w:val="28"/>
        </w:rPr>
        <w:t>136</w:t>
      </w:r>
      <w:r>
        <w:rPr>
          <w:rFonts w:ascii="Times New Roman" w:eastAsia="楷体"/>
          <w:bCs/>
          <w:sz w:val="28"/>
          <w:szCs w:val="28"/>
        </w:rPr>
        <w:fldChar w:fldCharType="end"/>
      </w:r>
      <w:r>
        <w:rPr>
          <w:rFonts w:ascii="Times New Roman" w:eastAsia="楷体"/>
          <w:bCs/>
          <w:sz w:val="28"/>
          <w:szCs w:val="28"/>
        </w:rPr>
        <w:fldChar w:fldCharType="end"/>
      </w:r>
    </w:p>
    <w:p w14:paraId="26523AEB">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"_Toc181472956" </w:instrText>
      </w:r>
      <w:r>
        <w:fldChar w:fldCharType="separate"/>
      </w:r>
      <w:r>
        <w:rPr>
          <w:rStyle w:val="58"/>
          <w:rFonts w:ascii="Times New Roman" w:eastAsia="楷体"/>
          <w:bCs/>
          <w:sz w:val="28"/>
          <w:szCs w:val="28"/>
        </w:rPr>
        <w:t>9.4 经济效益评价</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_Toc181472956 \h </w:instrText>
      </w:r>
      <w:r>
        <w:rPr>
          <w:rFonts w:ascii="Times New Roman" w:eastAsia="楷体"/>
          <w:bCs/>
          <w:sz w:val="28"/>
          <w:szCs w:val="28"/>
        </w:rPr>
        <w:fldChar w:fldCharType="separate"/>
      </w:r>
      <w:r>
        <w:rPr>
          <w:rFonts w:ascii="Times New Roman" w:eastAsia="楷体"/>
          <w:bCs/>
          <w:sz w:val="28"/>
          <w:szCs w:val="28"/>
        </w:rPr>
        <w:t>137</w:t>
      </w:r>
      <w:r>
        <w:rPr>
          <w:rFonts w:ascii="Times New Roman" w:eastAsia="楷体"/>
          <w:bCs/>
          <w:sz w:val="28"/>
          <w:szCs w:val="28"/>
        </w:rPr>
        <w:fldChar w:fldCharType="end"/>
      </w:r>
      <w:r>
        <w:rPr>
          <w:rFonts w:ascii="Times New Roman" w:eastAsia="楷体"/>
          <w:bCs/>
          <w:sz w:val="28"/>
          <w:szCs w:val="28"/>
        </w:rPr>
        <w:fldChar w:fldCharType="end"/>
      </w:r>
    </w:p>
    <w:p w14:paraId="3BAB2383">
      <w:pPr>
        <w:pStyle w:val="30"/>
        <w:spacing w:line="420" w:lineRule="auto"/>
        <w:rPr>
          <w:b/>
          <w:bCs w:val="0"/>
          <w:caps w:val="0"/>
          <w14:ligatures w14:val="standardContextual"/>
        </w:rPr>
      </w:pPr>
      <w:r>
        <w:fldChar w:fldCharType="begin"/>
      </w:r>
      <w:r>
        <w:instrText xml:space="preserve"> HYPERLINK \l "_Toc181472957" </w:instrText>
      </w:r>
      <w:r>
        <w:fldChar w:fldCharType="separate"/>
      </w:r>
      <w:r>
        <w:rPr>
          <w:rStyle w:val="58"/>
          <w:b/>
          <w:bCs w:val="0"/>
        </w:rPr>
        <w:t>第十章  规划保障措施</w:t>
      </w:r>
      <w:r>
        <w:rPr>
          <w:b/>
          <w:bCs w:val="0"/>
        </w:rPr>
        <w:tab/>
      </w:r>
      <w:r>
        <w:rPr>
          <w:b/>
          <w:bCs w:val="0"/>
        </w:rPr>
        <w:fldChar w:fldCharType="begin"/>
      </w:r>
      <w:r>
        <w:rPr>
          <w:b/>
          <w:bCs w:val="0"/>
        </w:rPr>
        <w:instrText xml:space="preserve"> PAGEREF _Toc181472957 \h </w:instrText>
      </w:r>
      <w:r>
        <w:rPr>
          <w:b/>
          <w:bCs w:val="0"/>
        </w:rPr>
        <w:fldChar w:fldCharType="separate"/>
      </w:r>
      <w:r>
        <w:rPr>
          <w:b/>
          <w:bCs w:val="0"/>
        </w:rPr>
        <w:t>138</w:t>
      </w:r>
      <w:r>
        <w:rPr>
          <w:b/>
          <w:bCs w:val="0"/>
        </w:rPr>
        <w:fldChar w:fldCharType="end"/>
      </w:r>
      <w:r>
        <w:rPr>
          <w:b/>
          <w:bCs w:val="0"/>
        </w:rPr>
        <w:fldChar w:fldCharType="end"/>
      </w:r>
    </w:p>
    <w:p w14:paraId="2F7E36C7">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"_Toc181472958" </w:instrText>
      </w:r>
      <w:r>
        <w:fldChar w:fldCharType="separate"/>
      </w:r>
      <w:r>
        <w:rPr>
          <w:rStyle w:val="58"/>
          <w:rFonts w:ascii="Times New Roman" w:eastAsia="楷体"/>
          <w:bCs/>
          <w:sz w:val="28"/>
          <w:szCs w:val="28"/>
        </w:rPr>
        <w:t>10.1 政策法规</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_Toc181472958 \h </w:instrText>
      </w:r>
      <w:r>
        <w:rPr>
          <w:rFonts w:ascii="Times New Roman" w:eastAsia="楷体"/>
          <w:bCs/>
          <w:sz w:val="28"/>
          <w:szCs w:val="28"/>
        </w:rPr>
        <w:fldChar w:fldCharType="separate"/>
      </w:r>
      <w:r>
        <w:rPr>
          <w:rFonts w:ascii="Times New Roman" w:eastAsia="楷体"/>
          <w:bCs/>
          <w:sz w:val="28"/>
          <w:szCs w:val="28"/>
        </w:rPr>
        <w:t>138</w:t>
      </w:r>
      <w:r>
        <w:rPr>
          <w:rFonts w:ascii="Times New Roman" w:eastAsia="楷体"/>
          <w:bCs/>
          <w:sz w:val="28"/>
          <w:szCs w:val="28"/>
        </w:rPr>
        <w:fldChar w:fldCharType="end"/>
      </w:r>
      <w:r>
        <w:rPr>
          <w:rFonts w:ascii="Times New Roman" w:eastAsia="楷体"/>
          <w:bCs/>
          <w:sz w:val="28"/>
          <w:szCs w:val="28"/>
        </w:rPr>
        <w:fldChar w:fldCharType="end"/>
      </w:r>
    </w:p>
    <w:p w14:paraId="18083022">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"_Toc181472959" </w:instrText>
      </w:r>
      <w:r>
        <w:fldChar w:fldCharType="separate"/>
      </w:r>
      <w:r>
        <w:rPr>
          <w:rStyle w:val="58"/>
          <w:rFonts w:ascii="Times New Roman" w:eastAsia="楷体"/>
          <w:bCs/>
          <w:sz w:val="28"/>
          <w:szCs w:val="28"/>
        </w:rPr>
        <w:t>10.2 组织管理</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_Toc181472959 \h </w:instrText>
      </w:r>
      <w:r>
        <w:rPr>
          <w:rFonts w:ascii="Times New Roman" w:eastAsia="楷体"/>
          <w:bCs/>
          <w:sz w:val="28"/>
          <w:szCs w:val="28"/>
        </w:rPr>
        <w:fldChar w:fldCharType="separate"/>
      </w:r>
      <w:r>
        <w:rPr>
          <w:rFonts w:ascii="Times New Roman" w:eastAsia="楷体"/>
          <w:bCs/>
          <w:sz w:val="28"/>
          <w:szCs w:val="28"/>
        </w:rPr>
        <w:t>139</w:t>
      </w:r>
      <w:r>
        <w:rPr>
          <w:rFonts w:ascii="Times New Roman" w:eastAsia="楷体"/>
          <w:bCs/>
          <w:sz w:val="28"/>
          <w:szCs w:val="28"/>
        </w:rPr>
        <w:fldChar w:fldCharType="end"/>
      </w:r>
      <w:r>
        <w:rPr>
          <w:rFonts w:ascii="Times New Roman" w:eastAsia="楷体"/>
          <w:bCs/>
          <w:sz w:val="28"/>
          <w:szCs w:val="28"/>
        </w:rPr>
        <w:fldChar w:fldCharType="end"/>
      </w:r>
    </w:p>
    <w:p w14:paraId="0D2B58E7">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"_Toc181472960" </w:instrText>
      </w:r>
      <w:r>
        <w:fldChar w:fldCharType="separate"/>
      </w:r>
      <w:r>
        <w:rPr>
          <w:rStyle w:val="58"/>
          <w:rFonts w:ascii="Times New Roman" w:eastAsia="楷体"/>
          <w:bCs/>
          <w:sz w:val="28"/>
          <w:szCs w:val="28"/>
        </w:rPr>
        <w:t>10.3 资金保障</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_Toc181472960 \h </w:instrText>
      </w:r>
      <w:r>
        <w:rPr>
          <w:rFonts w:ascii="Times New Roman" w:eastAsia="楷体"/>
          <w:bCs/>
          <w:sz w:val="28"/>
          <w:szCs w:val="28"/>
        </w:rPr>
        <w:fldChar w:fldCharType="separate"/>
      </w:r>
      <w:r>
        <w:rPr>
          <w:rFonts w:ascii="Times New Roman" w:eastAsia="楷体"/>
          <w:bCs/>
          <w:sz w:val="28"/>
          <w:szCs w:val="28"/>
        </w:rPr>
        <w:t>141</w:t>
      </w:r>
      <w:r>
        <w:rPr>
          <w:rFonts w:ascii="Times New Roman" w:eastAsia="楷体"/>
          <w:bCs/>
          <w:sz w:val="28"/>
          <w:szCs w:val="28"/>
        </w:rPr>
        <w:fldChar w:fldCharType="end"/>
      </w:r>
      <w:r>
        <w:rPr>
          <w:rFonts w:ascii="Times New Roman" w:eastAsia="楷体"/>
          <w:bCs/>
          <w:sz w:val="28"/>
          <w:szCs w:val="28"/>
        </w:rPr>
        <w:fldChar w:fldCharType="end"/>
      </w:r>
    </w:p>
    <w:p w14:paraId="52FE5382">
      <w:pPr>
        <w:pStyle w:val="37"/>
        <w:spacing w:line="420" w:lineRule="auto"/>
        <w:ind w:firstLine="400"/>
        <w:rPr>
          <w:rFonts w:ascii="Times New Roman" w:eastAsia="楷体"/>
          <w:bCs/>
          <w:smallCaps w:val="0"/>
          <w:sz w:val="28"/>
          <w:szCs w:val="28"/>
          <w14:ligatures w14:val="standardContextual"/>
        </w:rPr>
      </w:pPr>
      <w:r>
        <w:fldChar w:fldCharType="begin"/>
      </w:r>
      <w:r>
        <w:instrText xml:space="preserve"> HYPERLINK \l "_Toc181472961" </w:instrText>
      </w:r>
      <w:r>
        <w:fldChar w:fldCharType="separate"/>
      </w:r>
      <w:r>
        <w:rPr>
          <w:rStyle w:val="58"/>
          <w:rFonts w:ascii="Times New Roman" w:eastAsia="楷体"/>
          <w:bCs/>
          <w:sz w:val="28"/>
          <w:szCs w:val="28"/>
        </w:rPr>
        <w:t>10.4 科技保障</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_Toc181472961 \h </w:instrText>
      </w:r>
      <w:r>
        <w:rPr>
          <w:rFonts w:ascii="Times New Roman" w:eastAsia="楷体"/>
          <w:bCs/>
          <w:sz w:val="28"/>
          <w:szCs w:val="28"/>
        </w:rPr>
        <w:fldChar w:fldCharType="separate"/>
      </w:r>
      <w:r>
        <w:rPr>
          <w:rFonts w:ascii="Times New Roman" w:eastAsia="楷体"/>
          <w:bCs/>
          <w:sz w:val="28"/>
          <w:szCs w:val="28"/>
        </w:rPr>
        <w:t>142</w:t>
      </w:r>
      <w:r>
        <w:rPr>
          <w:rFonts w:ascii="Times New Roman" w:eastAsia="楷体"/>
          <w:bCs/>
          <w:sz w:val="28"/>
          <w:szCs w:val="28"/>
        </w:rPr>
        <w:fldChar w:fldCharType="end"/>
      </w:r>
      <w:r>
        <w:rPr>
          <w:rFonts w:ascii="Times New Roman" w:eastAsia="楷体"/>
          <w:bCs/>
          <w:sz w:val="28"/>
          <w:szCs w:val="28"/>
        </w:rPr>
        <w:fldChar w:fldCharType="end"/>
      </w:r>
    </w:p>
    <w:p w14:paraId="01D687E9">
      <w:pPr>
        <w:pStyle w:val="37"/>
        <w:spacing w:line="420" w:lineRule="auto"/>
        <w:ind w:firstLine="400"/>
        <w:rPr>
          <w:rFonts w:ascii="Times New Roman" w:eastAsia="楷体"/>
          <w:smallCaps w:val="0"/>
          <w:sz w:val="28"/>
          <w:szCs w:val="28"/>
          <w14:ligatures w14:val="standardContextual"/>
        </w:rPr>
      </w:pPr>
      <w:r>
        <w:fldChar w:fldCharType="begin"/>
      </w:r>
      <w:r>
        <w:instrText xml:space="preserve"> HYPERLINK \l "_Toc181472962" </w:instrText>
      </w:r>
      <w:r>
        <w:fldChar w:fldCharType="separate"/>
      </w:r>
      <w:r>
        <w:rPr>
          <w:rStyle w:val="58"/>
          <w:rFonts w:ascii="Times New Roman" w:eastAsia="楷体"/>
          <w:bCs/>
          <w:sz w:val="28"/>
          <w:szCs w:val="28"/>
        </w:rPr>
        <w:t>10.5 宣传教育</w:t>
      </w:r>
      <w:r>
        <w:rPr>
          <w:rFonts w:ascii="Times New Roman" w:eastAsia="楷体"/>
          <w:bCs/>
          <w:sz w:val="28"/>
          <w:szCs w:val="28"/>
        </w:rPr>
        <w:tab/>
      </w:r>
      <w:r>
        <w:rPr>
          <w:rFonts w:ascii="Times New Roman" w:eastAsia="楷体"/>
          <w:bCs/>
          <w:sz w:val="28"/>
          <w:szCs w:val="28"/>
        </w:rPr>
        <w:fldChar w:fldCharType="begin"/>
      </w:r>
      <w:r>
        <w:rPr>
          <w:rFonts w:ascii="Times New Roman" w:eastAsia="楷体"/>
          <w:bCs/>
          <w:sz w:val="28"/>
          <w:szCs w:val="28"/>
        </w:rPr>
        <w:instrText xml:space="preserve"> PAGEREF _Toc181472962 \h </w:instrText>
      </w:r>
      <w:r>
        <w:rPr>
          <w:rFonts w:ascii="Times New Roman" w:eastAsia="楷体"/>
          <w:bCs/>
          <w:sz w:val="28"/>
          <w:szCs w:val="28"/>
        </w:rPr>
        <w:fldChar w:fldCharType="separate"/>
      </w:r>
      <w:r>
        <w:rPr>
          <w:rFonts w:ascii="Times New Roman" w:eastAsia="楷体"/>
          <w:bCs/>
          <w:sz w:val="28"/>
          <w:szCs w:val="28"/>
        </w:rPr>
        <w:t>145</w:t>
      </w:r>
      <w:r>
        <w:rPr>
          <w:rFonts w:ascii="Times New Roman" w:eastAsia="楷体"/>
          <w:bCs/>
          <w:sz w:val="28"/>
          <w:szCs w:val="28"/>
        </w:rPr>
        <w:fldChar w:fldCharType="end"/>
      </w:r>
      <w:r>
        <w:rPr>
          <w:rFonts w:ascii="Times New Roman" w:eastAsia="楷体"/>
          <w:bCs/>
          <w:sz w:val="28"/>
          <w:szCs w:val="28"/>
        </w:rPr>
        <w:fldChar w:fldCharType="end"/>
      </w:r>
    </w:p>
    <w:p w14:paraId="4D5EC77D">
      <w:pPr>
        <w:pStyle w:val="30"/>
        <w:spacing w:line="360" w:lineRule="auto"/>
        <w:rPr>
          <w:color w:val="000000" w:themeColor="text1"/>
        </w:rPr>
      </w:pPr>
      <w:r>
        <w:rPr>
          <w:rStyle w:val="58"/>
          <w:color w:val="000000" w:themeColor="text1"/>
          <w:u w:val="none"/>
        </w:rPr>
        <w:fldChar w:fldCharType="end"/>
      </w:r>
      <w:r>
        <w:rPr>
          <w:rStyle w:val="58"/>
          <w:rFonts w:hint="eastAsia"/>
          <w:b/>
          <w:bCs w:val="0"/>
          <w:color w:val="000000" w:themeColor="text1"/>
          <w:u w:val="none"/>
        </w:rPr>
        <w:t>附图</w:t>
      </w:r>
    </w:p>
    <w:p w14:paraId="490EF98F">
      <w:pPr>
        <w:pStyle w:val="30"/>
        <w:spacing w:line="360" w:lineRule="auto"/>
        <w:ind w:firstLine="560" w:firstLineChars="200"/>
        <w:rPr>
          <w:caps w:val="0"/>
          <w:color w:val="000000" w:themeColor="text1"/>
        </w:rPr>
      </w:pPr>
      <w:r>
        <w:fldChar w:fldCharType="begin"/>
      </w:r>
      <w:r>
        <w:instrText xml:space="preserve"> HYPERLINK \l "_Toc143780544" </w:instrText>
      </w:r>
      <w:r>
        <w:fldChar w:fldCharType="separate"/>
      </w:r>
      <w:r>
        <w:rPr>
          <w:rStyle w:val="58"/>
          <w:color w:val="000000" w:themeColor="text1"/>
          <w:u w:val="none"/>
        </w:rPr>
        <w:t>附图1  平阴县</w:t>
      </w:r>
      <w:r>
        <w:rPr>
          <w:rStyle w:val="58"/>
          <w:rFonts w:hint="eastAsia"/>
          <w:color w:val="000000" w:themeColor="text1"/>
          <w:u w:val="none"/>
        </w:rPr>
        <w:t>行政区划</w:t>
      </w:r>
      <w:r>
        <w:rPr>
          <w:rStyle w:val="58"/>
          <w:color w:val="000000" w:themeColor="text1"/>
          <w:u w:val="none"/>
        </w:rPr>
        <w:t>图</w:t>
      </w:r>
      <w:r>
        <w:rPr>
          <w:rStyle w:val="58"/>
          <w:color w:val="000000" w:themeColor="text1"/>
          <w:u w:val="none"/>
        </w:rPr>
        <w:fldChar w:fldCharType="end"/>
      </w:r>
    </w:p>
    <w:p w14:paraId="5E88AFE6">
      <w:pPr>
        <w:pStyle w:val="30"/>
        <w:spacing w:line="360" w:lineRule="auto"/>
        <w:ind w:firstLine="560" w:firstLineChars="200"/>
        <w:rPr>
          <w:caps w:val="0"/>
          <w:color w:val="000000" w:themeColor="text1"/>
        </w:rPr>
      </w:pPr>
      <w:r>
        <w:fldChar w:fldCharType="begin"/>
      </w:r>
      <w:r>
        <w:instrText xml:space="preserve"> HYPERLINK \l "_Toc143780545" </w:instrText>
      </w:r>
      <w:r>
        <w:fldChar w:fldCharType="separate"/>
      </w:r>
      <w:r>
        <w:rPr>
          <w:rStyle w:val="58"/>
          <w:color w:val="000000" w:themeColor="text1"/>
          <w:u w:val="none"/>
        </w:rPr>
        <w:t xml:space="preserve">附图2  </w:t>
      </w:r>
      <w:r>
        <w:rPr>
          <w:rStyle w:val="58"/>
          <w:rFonts w:hint="eastAsia"/>
          <w:color w:val="000000" w:themeColor="text1"/>
          <w:u w:val="none"/>
        </w:rPr>
        <w:t>平阴县地形</w:t>
      </w:r>
      <w:r>
        <w:rPr>
          <w:rStyle w:val="58"/>
          <w:color w:val="000000" w:themeColor="text1"/>
          <w:u w:val="none"/>
        </w:rPr>
        <w:t>图</w:t>
      </w:r>
      <w:r>
        <w:rPr>
          <w:rStyle w:val="58"/>
          <w:color w:val="000000" w:themeColor="text1"/>
          <w:u w:val="none"/>
        </w:rPr>
        <w:fldChar w:fldCharType="end"/>
      </w:r>
    </w:p>
    <w:p w14:paraId="3CD0F94D">
      <w:pPr>
        <w:pStyle w:val="30"/>
        <w:spacing w:line="360" w:lineRule="auto"/>
        <w:ind w:firstLine="560" w:firstLineChars="200"/>
        <w:rPr>
          <w:caps w:val="0"/>
          <w:color w:val="000000" w:themeColor="text1"/>
        </w:rPr>
      </w:pPr>
      <w:r>
        <w:fldChar w:fldCharType="begin"/>
      </w:r>
      <w:r>
        <w:instrText xml:space="preserve"> HYPERLINK \l "_Toc143780546" </w:instrText>
      </w:r>
      <w:r>
        <w:fldChar w:fldCharType="separate"/>
      </w:r>
      <w:r>
        <w:rPr>
          <w:rStyle w:val="58"/>
          <w:color w:val="000000" w:themeColor="text1"/>
          <w:u w:val="none"/>
        </w:rPr>
        <w:t xml:space="preserve">附图3  </w:t>
      </w:r>
      <w:r>
        <w:rPr>
          <w:rStyle w:val="58"/>
          <w:rFonts w:hint="eastAsia"/>
          <w:color w:val="000000" w:themeColor="text1"/>
          <w:u w:val="none"/>
        </w:rPr>
        <w:t>平阴县河流水系及水利工程分布图</w:t>
      </w:r>
      <w:r>
        <w:rPr>
          <w:rStyle w:val="58"/>
          <w:rFonts w:hint="eastAsia"/>
          <w:color w:val="000000" w:themeColor="text1"/>
          <w:u w:val="none"/>
        </w:rPr>
        <w:fldChar w:fldCharType="end"/>
      </w:r>
    </w:p>
    <w:p w14:paraId="770664A8">
      <w:pPr>
        <w:pStyle w:val="30"/>
        <w:spacing w:line="360" w:lineRule="auto"/>
        <w:ind w:firstLine="560" w:firstLineChars="200"/>
        <w:rPr>
          <w:color w:val="000000" w:themeColor="text1"/>
        </w:rPr>
      </w:pPr>
      <w:r>
        <w:fldChar w:fldCharType="begin"/>
      </w:r>
      <w:r>
        <w:instrText xml:space="preserve"> HYPERLINK \l "_Toc143780547" </w:instrText>
      </w:r>
      <w:r>
        <w:fldChar w:fldCharType="separate"/>
      </w:r>
      <w:r>
        <w:rPr>
          <w:rStyle w:val="58"/>
          <w:color w:val="000000" w:themeColor="text1"/>
          <w:u w:val="none"/>
        </w:rPr>
        <w:t>附图4  平阴县</w:t>
      </w:r>
      <w:r>
        <w:rPr>
          <w:rStyle w:val="58"/>
          <w:rFonts w:hint="eastAsia"/>
          <w:color w:val="000000" w:themeColor="text1"/>
          <w:u w:val="none"/>
        </w:rPr>
        <w:t>地表水功能区划</w:t>
      </w:r>
      <w:r>
        <w:rPr>
          <w:rStyle w:val="58"/>
          <w:color w:val="000000" w:themeColor="text1"/>
          <w:u w:val="none"/>
        </w:rPr>
        <w:t>图</w:t>
      </w:r>
      <w:r>
        <w:rPr>
          <w:rStyle w:val="58"/>
          <w:color w:val="000000" w:themeColor="text1"/>
          <w:u w:val="none"/>
        </w:rPr>
        <w:fldChar w:fldCharType="end"/>
      </w:r>
    </w:p>
    <w:p w14:paraId="4817F1A2">
      <w:pPr>
        <w:pStyle w:val="30"/>
        <w:spacing w:line="360" w:lineRule="auto"/>
        <w:ind w:firstLine="560" w:firstLineChars="200"/>
        <w:rPr>
          <w:caps w:val="0"/>
          <w:color w:val="000000" w:themeColor="text1"/>
        </w:rPr>
      </w:pPr>
      <w:r>
        <w:fldChar w:fldCharType="begin"/>
      </w:r>
      <w:r>
        <w:instrText xml:space="preserve"> HYPERLINK \l "_Toc143780544" </w:instrText>
      </w:r>
      <w:r>
        <w:fldChar w:fldCharType="separate"/>
      </w:r>
      <w:r>
        <w:rPr>
          <w:rStyle w:val="58"/>
          <w:color w:val="000000" w:themeColor="text1"/>
          <w:u w:val="none"/>
        </w:rPr>
        <w:t>附图5  平阴县区位分析图</w:t>
      </w:r>
      <w:r>
        <w:rPr>
          <w:rStyle w:val="58"/>
          <w:color w:val="000000" w:themeColor="text1"/>
          <w:u w:val="none"/>
        </w:rPr>
        <w:fldChar w:fldCharType="end"/>
      </w:r>
    </w:p>
    <w:p w14:paraId="599DAAEB">
      <w:pPr>
        <w:pStyle w:val="30"/>
        <w:spacing w:line="360" w:lineRule="auto"/>
        <w:ind w:firstLine="560" w:firstLineChars="200"/>
        <w:rPr>
          <w:caps w:val="0"/>
          <w:color w:val="000000" w:themeColor="text1"/>
        </w:rPr>
      </w:pPr>
      <w:r>
        <w:fldChar w:fldCharType="begin"/>
      </w:r>
      <w:r>
        <w:instrText xml:space="preserve"> HYPERLINK \l "_Toc143780545" </w:instrText>
      </w:r>
      <w:r>
        <w:fldChar w:fldCharType="separate"/>
      </w:r>
      <w:r>
        <w:rPr>
          <w:rStyle w:val="58"/>
          <w:color w:val="000000" w:themeColor="text1"/>
          <w:u w:val="none"/>
        </w:rPr>
        <w:t xml:space="preserve">附图6  </w:t>
      </w:r>
      <w:r>
        <w:rPr>
          <w:rStyle w:val="58"/>
          <w:rFonts w:hint="eastAsia"/>
          <w:color w:val="000000" w:themeColor="text1"/>
          <w:u w:val="none"/>
        </w:rPr>
        <w:t>平阴县</w:t>
      </w:r>
      <w:r>
        <w:rPr>
          <w:rStyle w:val="58"/>
          <w:color w:val="000000" w:themeColor="text1"/>
          <w:u w:val="none"/>
        </w:rPr>
        <w:t>现状用地图</w:t>
      </w:r>
      <w:r>
        <w:rPr>
          <w:rStyle w:val="58"/>
          <w:color w:val="000000" w:themeColor="text1"/>
          <w:u w:val="none"/>
        </w:rPr>
        <w:fldChar w:fldCharType="end"/>
      </w:r>
    </w:p>
    <w:p w14:paraId="37BF4BE5">
      <w:pPr>
        <w:pStyle w:val="30"/>
        <w:spacing w:line="360" w:lineRule="auto"/>
        <w:ind w:firstLine="560" w:firstLineChars="200"/>
        <w:rPr>
          <w:caps w:val="0"/>
          <w:color w:val="000000" w:themeColor="text1"/>
        </w:rPr>
      </w:pPr>
      <w:r>
        <w:fldChar w:fldCharType="begin"/>
      </w:r>
      <w:r>
        <w:instrText xml:space="preserve"> HYPERLINK \l "_Toc143780547" </w:instrText>
      </w:r>
      <w:r>
        <w:fldChar w:fldCharType="separate"/>
      </w:r>
      <w:r>
        <w:rPr>
          <w:rStyle w:val="58"/>
          <w:color w:val="000000" w:themeColor="text1"/>
          <w:u w:val="none"/>
        </w:rPr>
        <w:t>附图7  平阴县道路规划图</w:t>
      </w:r>
      <w:r>
        <w:rPr>
          <w:rStyle w:val="58"/>
          <w:color w:val="000000" w:themeColor="text1"/>
          <w:u w:val="none"/>
        </w:rPr>
        <w:fldChar w:fldCharType="end"/>
      </w:r>
    </w:p>
    <w:p w14:paraId="40CF508E">
      <w:pPr>
        <w:pStyle w:val="30"/>
        <w:spacing w:line="360" w:lineRule="auto"/>
        <w:ind w:firstLine="560" w:firstLineChars="200"/>
        <w:rPr>
          <w:caps w:val="0"/>
          <w:color w:val="000000" w:themeColor="text1"/>
        </w:rPr>
      </w:pPr>
      <w:r>
        <w:fldChar w:fldCharType="begin"/>
      </w:r>
      <w:r>
        <w:instrText xml:space="preserve"> HYPERLINK \l "_Toc143780548" </w:instrText>
      </w:r>
      <w:r>
        <w:fldChar w:fldCharType="separate"/>
      </w:r>
      <w:r>
        <w:rPr>
          <w:rStyle w:val="58"/>
          <w:color w:val="000000" w:themeColor="text1"/>
          <w:u w:val="none"/>
        </w:rPr>
        <w:t>附图8  平阴县工业用地规划图</w:t>
      </w:r>
      <w:r>
        <w:rPr>
          <w:rStyle w:val="58"/>
          <w:color w:val="000000" w:themeColor="text1"/>
          <w:u w:val="none"/>
        </w:rPr>
        <w:fldChar w:fldCharType="end"/>
      </w:r>
    </w:p>
    <w:p w14:paraId="6C52328C">
      <w:pPr>
        <w:pStyle w:val="30"/>
        <w:spacing w:line="360" w:lineRule="auto"/>
        <w:ind w:firstLine="560" w:firstLineChars="200"/>
        <w:rPr>
          <w:caps w:val="0"/>
          <w:color w:val="000000" w:themeColor="text1"/>
        </w:rPr>
      </w:pPr>
      <w:r>
        <w:fldChar w:fldCharType="begin"/>
      </w:r>
      <w:r>
        <w:instrText xml:space="preserve"> HYPERLINK \l "_Toc143780549" </w:instrText>
      </w:r>
      <w:r>
        <w:fldChar w:fldCharType="separate"/>
      </w:r>
      <w:r>
        <w:rPr>
          <w:rStyle w:val="58"/>
          <w:color w:val="000000" w:themeColor="text1"/>
          <w:u w:val="none"/>
        </w:rPr>
        <w:t>附图9  平阴县现状污水处理厂分布图</w:t>
      </w:r>
      <w:r>
        <w:rPr>
          <w:rStyle w:val="58"/>
          <w:color w:val="000000" w:themeColor="text1"/>
          <w:u w:val="none"/>
        </w:rPr>
        <w:fldChar w:fldCharType="end"/>
      </w:r>
    </w:p>
    <w:p w14:paraId="286A1255">
      <w:pPr>
        <w:pStyle w:val="30"/>
        <w:spacing w:line="360" w:lineRule="auto"/>
        <w:ind w:firstLine="560" w:firstLineChars="200"/>
        <w:rPr>
          <w:caps w:val="0"/>
          <w:color w:val="000000" w:themeColor="text1"/>
        </w:rPr>
      </w:pPr>
      <w:r>
        <w:fldChar w:fldCharType="begin"/>
      </w:r>
      <w:r>
        <w:instrText xml:space="preserve"> HYPERLINK \l "_Toc143780550" </w:instrText>
      </w:r>
      <w:r>
        <w:fldChar w:fldCharType="separate"/>
      </w:r>
      <w:r>
        <w:rPr>
          <w:rStyle w:val="58"/>
          <w:color w:val="000000" w:themeColor="text1"/>
          <w:u w:val="none"/>
        </w:rPr>
        <w:t>附图10  平阴县污水处理厂规划建设</w:t>
      </w:r>
      <w:r>
        <w:rPr>
          <w:rStyle w:val="58"/>
          <w:rFonts w:hint="eastAsia"/>
          <w:color w:val="000000" w:themeColor="text1"/>
          <w:u w:val="none"/>
        </w:rPr>
        <w:t>布局</w:t>
      </w:r>
      <w:r>
        <w:rPr>
          <w:rStyle w:val="58"/>
          <w:color w:val="000000" w:themeColor="text1"/>
          <w:u w:val="none"/>
        </w:rPr>
        <w:t>图</w:t>
      </w:r>
      <w:r>
        <w:rPr>
          <w:rStyle w:val="58"/>
          <w:color w:val="000000" w:themeColor="text1"/>
          <w:u w:val="none"/>
        </w:rPr>
        <w:fldChar w:fldCharType="end"/>
      </w:r>
    </w:p>
    <w:p w14:paraId="084E08E5">
      <w:pPr>
        <w:pStyle w:val="30"/>
        <w:spacing w:line="360" w:lineRule="auto"/>
        <w:ind w:firstLine="560" w:firstLineChars="200"/>
        <w:rPr>
          <w:caps w:val="0"/>
          <w:color w:val="000000" w:themeColor="text1"/>
        </w:rPr>
      </w:pPr>
      <w:r>
        <w:fldChar w:fldCharType="begin"/>
      </w:r>
      <w:r>
        <w:instrText xml:space="preserve"> HYPERLINK \l "_Toc143780551" </w:instrText>
      </w:r>
      <w:r>
        <w:fldChar w:fldCharType="separate"/>
      </w:r>
      <w:r>
        <w:rPr>
          <w:rStyle w:val="58"/>
          <w:color w:val="000000" w:themeColor="text1"/>
          <w:u w:val="none"/>
        </w:rPr>
        <w:t xml:space="preserve">附图11  </w:t>
      </w:r>
      <w:r>
        <w:rPr>
          <w:rStyle w:val="58"/>
          <w:color w:val="000000" w:themeColor="text1"/>
          <w:u w:val="none"/>
        </w:rPr>
        <w:fldChar w:fldCharType="end"/>
      </w:r>
      <w:r>
        <w:rPr>
          <w:rStyle w:val="58"/>
          <w:rFonts w:hint="eastAsia"/>
          <w:color w:val="000000" w:themeColor="text1"/>
          <w:u w:val="none"/>
        </w:rPr>
        <w:t>平阴县再生水利用工程现状分布图</w:t>
      </w:r>
    </w:p>
    <w:p w14:paraId="34B7EDA4">
      <w:pPr>
        <w:pStyle w:val="30"/>
        <w:spacing w:line="360" w:lineRule="auto"/>
        <w:ind w:firstLine="560" w:firstLineChars="200"/>
        <w:rPr>
          <w:bCs w:val="0"/>
          <w:caps w:val="0"/>
          <w:color w:val="000000" w:themeColor="text1"/>
        </w:rPr>
      </w:pPr>
      <w:r>
        <w:fldChar w:fldCharType="begin"/>
      </w:r>
      <w:r>
        <w:instrText xml:space="preserve"> HYPERLINK \l "_Toc143780552" </w:instrText>
      </w:r>
      <w:r>
        <w:fldChar w:fldCharType="separate"/>
      </w:r>
      <w:r>
        <w:rPr>
          <w:rStyle w:val="58"/>
          <w:color w:val="000000" w:themeColor="text1"/>
          <w:u w:val="none"/>
        </w:rPr>
        <w:t xml:space="preserve">附图12  </w:t>
      </w:r>
      <w:r>
        <w:rPr>
          <w:rStyle w:val="58"/>
          <w:rFonts w:hint="eastAsia"/>
          <w:color w:val="000000" w:themeColor="text1"/>
          <w:u w:val="none"/>
        </w:rPr>
        <w:t>平阴县</w:t>
      </w:r>
      <w:r>
        <w:rPr>
          <w:rStyle w:val="58"/>
          <w:color w:val="000000" w:themeColor="text1"/>
          <w:u w:val="none"/>
        </w:rPr>
        <w:t>再生水利用工程规划</w:t>
      </w:r>
      <w:r>
        <w:rPr>
          <w:rStyle w:val="58"/>
          <w:rFonts w:hint="eastAsia"/>
          <w:color w:val="000000" w:themeColor="text1"/>
          <w:u w:val="none"/>
        </w:rPr>
        <w:t>建设</w:t>
      </w:r>
      <w:r>
        <w:rPr>
          <w:rStyle w:val="58"/>
          <w:color w:val="000000" w:themeColor="text1"/>
          <w:u w:val="none"/>
        </w:rPr>
        <w:t>布局图</w:t>
      </w:r>
      <w:r>
        <w:rPr>
          <w:rStyle w:val="58"/>
          <w:color w:val="000000" w:themeColor="text1"/>
          <w:u w:val="none"/>
        </w:rPr>
        <w:fldChar w:fldCharType="end"/>
      </w:r>
    </w:p>
    <w:p w14:paraId="2DB4932F">
      <w:pPr>
        <w:tabs>
          <w:tab w:val="left" w:pos="5400"/>
        </w:tabs>
        <w:spacing w:line="600" w:lineRule="exact"/>
        <w:rPr>
          <w:b/>
          <w:bCs/>
          <w:caps/>
          <w:color w:val="000000" w:themeColor="text1"/>
          <w:sz w:val="28"/>
          <w:szCs w:val="28"/>
        </w:rPr>
        <w:sectPr>
          <w:headerReference r:id="rId6" w:type="first"/>
          <w:footerReference r:id="rId9" w:type="first"/>
          <w:headerReference r:id="rId4" w:type="default"/>
          <w:footerReference r:id="rId7" w:type="default"/>
          <w:headerReference r:id="rId5" w:type="even"/>
          <w:footerReference r:id="rId8" w:type="even"/>
          <w:type w:val="nextColumn"/>
          <w:pgSz w:w="11906" w:h="16838"/>
          <w:pgMar w:top="1440" w:right="1440" w:bottom="1440" w:left="1440" w:header="851" w:footer="992" w:gutter="0"/>
          <w:pgNumType w:fmt="upperRoman" w:start="1"/>
          <w:cols w:space="425" w:num="1"/>
          <w:docGrid w:linePitch="312" w:charSpace="0"/>
        </w:sectPr>
      </w:pPr>
    </w:p>
    <w:p w14:paraId="0AA1C94B">
      <w:pPr>
        <w:spacing w:before="240" w:beforeLines="100" w:after="360" w:afterLines="150" w:line="600" w:lineRule="exact"/>
        <w:jc w:val="center"/>
        <w:outlineLvl w:val="0"/>
        <w:rPr>
          <w:b/>
          <w:color w:val="000000" w:themeColor="text1"/>
          <w:sz w:val="44"/>
          <w:szCs w:val="36"/>
        </w:rPr>
      </w:pPr>
      <w:bookmarkStart w:id="6" w:name="_Toc144243679"/>
      <w:bookmarkStart w:id="7" w:name="_Toc181472916"/>
      <w:bookmarkStart w:id="8" w:name="_Toc429290176"/>
      <w:bookmarkStart w:id="9" w:name="_Toc509934549"/>
      <w:bookmarkStart w:id="10" w:name="_Toc428559065"/>
      <w:bookmarkStart w:id="11" w:name="_Toc429289954"/>
      <w:bookmarkStart w:id="12" w:name="_Toc55920521"/>
      <w:bookmarkStart w:id="13" w:name="_Toc498329375"/>
      <w:bookmarkStart w:id="14" w:name="_Toc509934550"/>
      <w:bookmarkStart w:id="15" w:name="_Toc498329376"/>
      <w:r>
        <w:rPr>
          <w:b/>
          <w:color w:val="000000" w:themeColor="text1"/>
          <w:sz w:val="44"/>
          <w:szCs w:val="36"/>
        </w:rPr>
        <w:t>前    言</w:t>
      </w:r>
      <w:bookmarkEnd w:id="6"/>
      <w:bookmarkEnd w:id="7"/>
      <w:bookmarkEnd w:id="8"/>
      <w:bookmarkEnd w:id="9"/>
      <w:bookmarkEnd w:id="10"/>
      <w:bookmarkEnd w:id="11"/>
      <w:bookmarkEnd w:id="12"/>
      <w:bookmarkEnd w:id="13"/>
    </w:p>
    <w:p w14:paraId="00D090D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再生水是指以污水为水源，经再生工艺净化处理后，达到特定的水质标准，可以进行有益使用的水，较地表水等常规水源具有水量稳定、受季节和气候影响小、成本较低等多种优点。加快推进污水资源化利用，对优化调整供水格局、增加水资源供给、缓解供需矛盾和减少水污染、保障水生态安全具有重要意义。</w:t>
      </w:r>
    </w:p>
    <w:p w14:paraId="0905E08D">
      <w:pPr>
        <w:tabs>
          <w:tab w:val="left" w:pos="5400"/>
        </w:tabs>
        <w:spacing w:line="600" w:lineRule="exact"/>
        <w:ind w:firstLine="560" w:firstLineChars="200"/>
        <w:rPr>
          <w:color w:val="000000" w:themeColor="text1"/>
          <w:sz w:val="28"/>
        </w:rPr>
      </w:pPr>
      <w:r>
        <w:rPr>
          <w:color w:val="000000" w:themeColor="text1"/>
          <w:sz w:val="28"/>
          <w:szCs w:val="28"/>
        </w:rPr>
        <w:t>《中华人民共和国水法》明确规定：“</w:t>
      </w:r>
      <w:r>
        <w:rPr>
          <w:rFonts w:hint="eastAsia"/>
          <w:color w:val="000000" w:themeColor="text1"/>
          <w:sz w:val="28"/>
          <w:szCs w:val="28"/>
        </w:rPr>
        <w:t>加强城市污水集中处理，鼓励使用再生水，提高污水再生利用率</w:t>
      </w:r>
      <w:r>
        <w:rPr>
          <w:color w:val="000000" w:themeColor="text1"/>
          <w:sz w:val="28"/>
          <w:szCs w:val="28"/>
        </w:rPr>
        <w:t>”。党的十八大以来，习近平总书记多次就治水发表重要讲话、作出重要指示，提出“节水优先</w:t>
      </w:r>
      <w:r>
        <w:rPr>
          <w:rFonts w:hint="eastAsia"/>
          <w:color w:val="000000" w:themeColor="text1"/>
          <w:sz w:val="28"/>
          <w:szCs w:val="28"/>
        </w:rPr>
        <w:t>、</w:t>
      </w:r>
      <w:r>
        <w:rPr>
          <w:color w:val="000000" w:themeColor="text1"/>
          <w:sz w:val="28"/>
          <w:szCs w:val="28"/>
        </w:rPr>
        <w:t>空间均衡</w:t>
      </w:r>
      <w:r>
        <w:rPr>
          <w:rFonts w:hint="eastAsia"/>
          <w:color w:val="000000" w:themeColor="text1"/>
          <w:sz w:val="28"/>
          <w:szCs w:val="28"/>
        </w:rPr>
        <w:t>、</w:t>
      </w:r>
      <w:r>
        <w:rPr>
          <w:color w:val="000000" w:themeColor="text1"/>
          <w:sz w:val="28"/>
          <w:szCs w:val="28"/>
        </w:rPr>
        <w:t>系统治理</w:t>
      </w:r>
      <w:r>
        <w:rPr>
          <w:rFonts w:hint="eastAsia"/>
          <w:color w:val="000000" w:themeColor="text1"/>
          <w:sz w:val="28"/>
          <w:szCs w:val="28"/>
        </w:rPr>
        <w:t>、</w:t>
      </w:r>
      <w:r>
        <w:rPr>
          <w:color w:val="000000" w:themeColor="text1"/>
          <w:sz w:val="28"/>
          <w:szCs w:val="28"/>
        </w:rPr>
        <w:t>两手发力”的新时期治水方针。2023年</w:t>
      </w:r>
      <w:r>
        <w:rPr>
          <w:rFonts w:hint="eastAsia"/>
          <w:color w:val="000000" w:themeColor="text1"/>
          <w:sz w:val="28"/>
          <w:szCs w:val="28"/>
        </w:rPr>
        <w:t>李国英</w:t>
      </w:r>
      <w:r>
        <w:rPr>
          <w:color w:val="000000" w:themeColor="text1"/>
          <w:sz w:val="28"/>
          <w:szCs w:val="28"/>
        </w:rPr>
        <w:t>部长主持的全国水利工作会议明确提出，要</w:t>
      </w:r>
      <w:r>
        <w:rPr>
          <w:rFonts w:hint="eastAsia"/>
          <w:color w:val="000000" w:themeColor="text1"/>
          <w:sz w:val="28"/>
          <w:szCs w:val="28"/>
        </w:rPr>
        <w:t>深入开展国家节水行动，</w:t>
      </w:r>
      <w:r>
        <w:rPr>
          <w:color w:val="000000" w:themeColor="text1"/>
          <w:sz w:val="28"/>
          <w:szCs w:val="28"/>
        </w:rPr>
        <w:t>强化非常规水源利用。</w:t>
      </w:r>
      <w:r>
        <w:rPr>
          <w:rFonts w:hint="eastAsia"/>
          <w:color w:val="000000" w:themeColor="text1"/>
          <w:sz w:val="28"/>
        </w:rPr>
        <w:t>《黄河流域生态保护和高质量发展规划纲要》提出加强全流域水资源节约集约利用，统筹天然水与再生水、常规水与非常规水的利用，优化水资源配置格局。《“十四五”山东省城镇污水处理及资源化利用发展规划》明确指出，加强城镇污水处理及再生利用设施建设，推进污水资源化，加大再生水利用。</w:t>
      </w:r>
    </w:p>
    <w:p w14:paraId="6A7C3D0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位于济南市西南部，是黄河流域沿线典型的“资源型”缺水城市，由于工农业对地下水的开发利用导致局部地下水发生水位下降、水质恶化等情况。为此，平阴县采取了对现有水源的保护，增加地表水拦蓄工程建设，封填地下水取水井，建设污水处理厂以减少污染物的排放、优化供水水源结构等一系列措施。但是随着平阴县社会经济发展，水资源需水量日趋增加，供需矛盾日趋严重，水资源短缺将严重影响平阴县可持续高质量发展。基于污水再生利用具有“开源节流”的特点，加快推动再生水利用，对缓解平阴县水资源紧缺矛盾，保障城市经济社会可持续发展具有重要的战略意义，是平阴县实现水资源可持续开发与保护的必然要求，也是平阴县全面推进生态文明建设的重要支撑。</w:t>
      </w:r>
    </w:p>
    <w:p w14:paraId="7A22D21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为缓解平阴县水资源供需矛盾，提高水资源利用率，促进黄河流域水生态保护工作和高质量发展，全面贯彻落实“节水优先”“四水四定”和</w:t>
      </w:r>
      <w:r>
        <w:rPr>
          <w:rFonts w:hint="eastAsia"/>
          <w:color w:val="000000" w:themeColor="text1"/>
          <w:sz w:val="28"/>
        </w:rPr>
        <w:t>污水处理及资源化利用</w:t>
      </w:r>
      <w:r>
        <w:rPr>
          <w:rFonts w:hint="eastAsia"/>
          <w:color w:val="000000" w:themeColor="text1"/>
          <w:sz w:val="28"/>
          <w:szCs w:val="28"/>
        </w:rPr>
        <w:t>工作要求，制定本规划</w:t>
      </w:r>
      <w:r>
        <w:rPr>
          <w:color w:val="000000" w:themeColor="text1"/>
          <w:sz w:val="28"/>
          <w:szCs w:val="28"/>
        </w:rPr>
        <w:t>。本规划目的在于通过</w:t>
      </w:r>
      <w:r>
        <w:rPr>
          <w:rFonts w:hint="eastAsia"/>
          <w:color w:val="000000" w:themeColor="text1"/>
          <w:sz w:val="28"/>
          <w:szCs w:val="28"/>
        </w:rPr>
        <w:t>对</w:t>
      </w:r>
      <w:r>
        <w:rPr>
          <w:color w:val="000000" w:themeColor="text1"/>
          <w:sz w:val="28"/>
          <w:szCs w:val="28"/>
        </w:rPr>
        <w:t>平阴县</w:t>
      </w:r>
      <w:r>
        <w:rPr>
          <w:rFonts w:hint="eastAsia"/>
          <w:color w:val="000000" w:themeColor="text1"/>
          <w:sz w:val="28"/>
          <w:szCs w:val="28"/>
        </w:rPr>
        <w:t>污水处理及再生水利用</w:t>
      </w:r>
      <w:r>
        <w:rPr>
          <w:color w:val="000000" w:themeColor="text1"/>
          <w:sz w:val="28"/>
          <w:szCs w:val="28"/>
        </w:rPr>
        <w:t>现状的分析，发现其当前存在问题，充分挖掘</w:t>
      </w:r>
      <w:r>
        <w:rPr>
          <w:rFonts w:hint="eastAsia"/>
          <w:color w:val="000000" w:themeColor="text1"/>
          <w:sz w:val="28"/>
          <w:szCs w:val="28"/>
        </w:rPr>
        <w:t>再生水利用</w:t>
      </w:r>
      <w:r>
        <w:rPr>
          <w:color w:val="000000" w:themeColor="text1"/>
          <w:sz w:val="28"/>
          <w:szCs w:val="28"/>
        </w:rPr>
        <w:t>潜力，明确</w:t>
      </w:r>
      <w:r>
        <w:rPr>
          <w:rFonts w:hint="eastAsia"/>
          <w:color w:val="000000" w:themeColor="text1"/>
          <w:sz w:val="28"/>
          <w:szCs w:val="28"/>
        </w:rPr>
        <w:t>再生水利用</w:t>
      </w:r>
      <w:r>
        <w:rPr>
          <w:color w:val="000000" w:themeColor="text1"/>
          <w:sz w:val="28"/>
          <w:szCs w:val="28"/>
        </w:rPr>
        <w:t>目标、任务、区域布局、重点工程等，对平阴县</w:t>
      </w:r>
      <w:r>
        <w:rPr>
          <w:rFonts w:hint="eastAsia"/>
          <w:color w:val="000000" w:themeColor="text1"/>
          <w:sz w:val="28"/>
          <w:szCs w:val="28"/>
        </w:rPr>
        <w:t>在</w:t>
      </w:r>
      <w:r>
        <w:rPr>
          <w:color w:val="000000" w:themeColor="text1"/>
          <w:sz w:val="28"/>
          <w:szCs w:val="28"/>
        </w:rPr>
        <w:t>工、农、生等各领域的</w:t>
      </w:r>
      <w:r>
        <w:rPr>
          <w:rFonts w:hint="eastAsia"/>
          <w:color w:val="000000" w:themeColor="text1"/>
          <w:sz w:val="28"/>
          <w:szCs w:val="28"/>
        </w:rPr>
        <w:t>再生水利用</w:t>
      </w:r>
      <w:r>
        <w:rPr>
          <w:color w:val="000000" w:themeColor="text1"/>
          <w:sz w:val="28"/>
          <w:szCs w:val="28"/>
        </w:rPr>
        <w:t>工作进行全面规划。规划成果</w:t>
      </w:r>
      <w:r>
        <w:rPr>
          <w:rFonts w:hint="eastAsia"/>
          <w:color w:val="000000" w:themeColor="text1"/>
          <w:sz w:val="28"/>
          <w:szCs w:val="28"/>
        </w:rPr>
        <w:t>将再生水利用工作纳入平阴县国民经济和社会发展规划，促进再生水的利用，提高再生水的利用效率，构建优水优用、一水多用、有序利用和循环利用的水资源保障体系</w:t>
      </w:r>
      <w:r>
        <w:rPr>
          <w:color w:val="000000" w:themeColor="text1"/>
          <w:sz w:val="28"/>
          <w:szCs w:val="28"/>
        </w:rPr>
        <w:t>。</w:t>
      </w:r>
    </w:p>
    <w:p w14:paraId="0603CEED">
      <w:pPr>
        <w:tabs>
          <w:tab w:val="left" w:pos="5400"/>
        </w:tabs>
        <w:spacing w:line="600" w:lineRule="exact"/>
        <w:ind w:firstLine="560" w:firstLineChars="200"/>
        <w:rPr>
          <w:color w:val="000000" w:themeColor="text1"/>
          <w:sz w:val="28"/>
          <w:szCs w:val="28"/>
        </w:rPr>
      </w:pPr>
      <w:r>
        <w:rPr>
          <w:color w:val="000000" w:themeColor="text1"/>
          <w:sz w:val="28"/>
          <w:szCs w:val="28"/>
        </w:rPr>
        <w:t>本规划在编制过程中得到了济南市城乡水务局、平阴县水务局</w:t>
      </w:r>
      <w:r>
        <w:rPr>
          <w:rFonts w:hint="eastAsia"/>
          <w:color w:val="000000" w:themeColor="text1"/>
          <w:sz w:val="28"/>
          <w:szCs w:val="28"/>
        </w:rPr>
        <w:t>、平阴县住房和城乡建设局、济南市生态环境局平阴分局</w:t>
      </w:r>
      <w:r>
        <w:rPr>
          <w:color w:val="000000" w:themeColor="text1"/>
          <w:sz w:val="28"/>
          <w:szCs w:val="28"/>
        </w:rPr>
        <w:t>及相关部门领导、专家的关心帮助，在此表示衷心的感谢！</w:t>
      </w:r>
    </w:p>
    <w:p w14:paraId="5B2619DC">
      <w:pPr>
        <w:tabs>
          <w:tab w:val="left" w:pos="5400"/>
        </w:tabs>
        <w:spacing w:line="600" w:lineRule="exact"/>
        <w:ind w:firstLine="560" w:firstLineChars="200"/>
        <w:rPr>
          <w:color w:val="000000" w:themeColor="text1"/>
          <w:sz w:val="28"/>
          <w:szCs w:val="28"/>
        </w:rPr>
      </w:pPr>
    </w:p>
    <w:p w14:paraId="5FBAFCDD">
      <w:pPr>
        <w:tabs>
          <w:tab w:val="left" w:pos="5400"/>
        </w:tabs>
        <w:spacing w:line="600" w:lineRule="exact"/>
        <w:ind w:firstLine="560" w:firstLineChars="200"/>
        <w:rPr>
          <w:color w:val="000000" w:themeColor="text1"/>
          <w:sz w:val="28"/>
          <w:szCs w:val="28"/>
        </w:rPr>
      </w:pPr>
    </w:p>
    <w:p w14:paraId="2383925D">
      <w:pPr>
        <w:tabs>
          <w:tab w:val="center" w:pos="4535"/>
          <w:tab w:val="right" w:pos="9070"/>
        </w:tabs>
        <w:spacing w:before="240" w:beforeLines="100" w:after="360" w:afterLines="150" w:line="600" w:lineRule="exact"/>
        <w:jc w:val="center"/>
        <w:outlineLvl w:val="0"/>
        <w:rPr>
          <w:b/>
          <w:color w:val="000000" w:themeColor="text1"/>
          <w:sz w:val="44"/>
          <w:szCs w:val="36"/>
        </w:rPr>
        <w:sectPr>
          <w:footerReference r:id="rId10" w:type="default"/>
          <w:type w:val="nextColumn"/>
          <w:pgSz w:w="11906" w:h="16838"/>
          <w:pgMar w:top="1440" w:right="1440" w:bottom="1440" w:left="1440" w:header="1020" w:footer="992" w:gutter="0"/>
          <w:pgNumType w:start="1"/>
          <w:cols w:space="425" w:num="1"/>
          <w:docGrid w:linePitch="312" w:charSpace="0"/>
        </w:sectPr>
      </w:pPr>
    </w:p>
    <w:p w14:paraId="0992B8BB">
      <w:pPr>
        <w:tabs>
          <w:tab w:val="center" w:pos="4535"/>
          <w:tab w:val="right" w:pos="9070"/>
        </w:tabs>
        <w:adjustRightInd w:val="0"/>
        <w:snapToGrid w:val="0"/>
        <w:spacing w:before="720" w:beforeLines="300" w:after="360" w:afterLines="150" w:line="600" w:lineRule="exact"/>
        <w:jc w:val="center"/>
        <w:outlineLvl w:val="0"/>
        <w:rPr>
          <w:b/>
          <w:color w:val="000000" w:themeColor="text1"/>
          <w:sz w:val="44"/>
          <w:szCs w:val="36"/>
        </w:rPr>
      </w:pPr>
      <w:bookmarkStart w:id="16" w:name="_Toc55920522"/>
      <w:bookmarkStart w:id="17" w:name="_Toc144243680"/>
      <w:bookmarkStart w:id="18" w:name="_Toc181472917"/>
      <w:r>
        <w:rPr>
          <w:b/>
          <w:color w:val="000000" w:themeColor="text1"/>
          <w:sz w:val="44"/>
          <w:szCs w:val="36"/>
        </w:rPr>
        <w:t xml:space="preserve">第一章  </w:t>
      </w:r>
      <w:bookmarkEnd w:id="14"/>
      <w:bookmarkEnd w:id="15"/>
      <w:r>
        <w:rPr>
          <w:b/>
          <w:color w:val="000000" w:themeColor="text1"/>
          <w:sz w:val="44"/>
          <w:szCs w:val="36"/>
        </w:rPr>
        <w:t xml:space="preserve">总  </w:t>
      </w:r>
      <w:bookmarkEnd w:id="16"/>
      <w:r>
        <w:rPr>
          <w:b/>
          <w:color w:val="000000" w:themeColor="text1"/>
          <w:sz w:val="44"/>
          <w:szCs w:val="36"/>
        </w:rPr>
        <w:t>则</w:t>
      </w:r>
      <w:bookmarkEnd w:id="17"/>
      <w:bookmarkEnd w:id="18"/>
    </w:p>
    <w:p w14:paraId="7D2FBCFB">
      <w:pPr>
        <w:snapToGrid w:val="0"/>
        <w:spacing w:before="120" w:beforeLines="50" w:after="120" w:afterLines="50" w:line="600" w:lineRule="exact"/>
        <w:outlineLvl w:val="1"/>
        <w:rPr>
          <w:b/>
          <w:color w:val="000000" w:themeColor="text1"/>
          <w:sz w:val="30"/>
          <w:szCs w:val="30"/>
        </w:rPr>
      </w:pPr>
      <w:bookmarkStart w:id="19" w:name="_Toc55920523"/>
      <w:bookmarkStart w:id="20" w:name="_Toc181472918"/>
      <w:bookmarkStart w:id="21" w:name="_Toc144243681"/>
      <w:r>
        <w:rPr>
          <w:b/>
          <w:color w:val="000000" w:themeColor="text1"/>
          <w:sz w:val="30"/>
          <w:szCs w:val="30"/>
        </w:rPr>
        <w:t>1.1 规划</w:t>
      </w:r>
      <w:bookmarkEnd w:id="19"/>
      <w:r>
        <w:rPr>
          <w:rFonts w:hint="eastAsia"/>
          <w:b/>
          <w:color w:val="000000" w:themeColor="text1"/>
          <w:sz w:val="30"/>
          <w:szCs w:val="30"/>
        </w:rPr>
        <w:t>背景</w:t>
      </w:r>
      <w:bookmarkEnd w:id="20"/>
      <w:bookmarkEnd w:id="21"/>
    </w:p>
    <w:p w14:paraId="7EEA5922">
      <w:pPr>
        <w:tabs>
          <w:tab w:val="left" w:pos="5400"/>
        </w:tabs>
        <w:spacing w:line="600" w:lineRule="exact"/>
        <w:ind w:firstLine="560" w:firstLineChars="200"/>
        <w:rPr>
          <w:color w:val="000000" w:themeColor="text1"/>
          <w:sz w:val="28"/>
          <w:szCs w:val="28"/>
        </w:rPr>
      </w:pPr>
      <w:r>
        <w:rPr>
          <w:color w:val="000000" w:themeColor="text1"/>
          <w:sz w:val="28"/>
          <w:szCs w:val="28"/>
        </w:rPr>
        <w:t>水是城市发展的基础性资源和战略性经济资源，随着城市化进程和经济的发展，水资源</w:t>
      </w:r>
      <w:r>
        <w:rPr>
          <w:rFonts w:hint="eastAsia"/>
          <w:color w:val="000000" w:themeColor="text1"/>
          <w:sz w:val="28"/>
          <w:szCs w:val="28"/>
        </w:rPr>
        <w:t>不足</w:t>
      </w:r>
      <w:r>
        <w:rPr>
          <w:color w:val="000000" w:themeColor="text1"/>
          <w:sz w:val="28"/>
          <w:szCs w:val="28"/>
        </w:rPr>
        <w:t>成为制约城市发展的瓶颈。</w:t>
      </w:r>
      <w:r>
        <w:rPr>
          <w:rFonts w:hint="eastAsia"/>
          <w:color w:val="000000" w:themeColor="text1"/>
          <w:sz w:val="28"/>
          <w:szCs w:val="28"/>
        </w:rPr>
        <w:t>再生水是指污水经适当处理后，达到一定的水质指标，满足某种使用要求，可以进行有益使用的水。再生水具有水量稳定、水质较好、受季节和气候影响小、成本较低等多种优点，可广泛地应用于工业用水，农、林、牧业用水，景观环境用水，地下水回灌用水等低质用水，可以改善有效缓解城市水资源短缺、改善水环境质量、减少地下水开采和跨流域调水，在城市生产、生活中具有重要作用和利用价值，</w:t>
      </w:r>
      <w:r>
        <w:rPr>
          <w:color w:val="000000" w:themeColor="text1"/>
          <w:sz w:val="28"/>
          <w:szCs w:val="28"/>
        </w:rPr>
        <w:t>普及再生水利用是人类与自然协调发展、创造良好水环境、促进循环型城市发展进程的重要举措。</w:t>
      </w:r>
    </w:p>
    <w:p w14:paraId="7728300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近些年，国家、省、市各级政府从法律法规、政策文件、专项规划等方面推进污水资源化和再生水利用工作。</w:t>
      </w:r>
    </w:p>
    <w:p w14:paraId="7F906F5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1、国家关于再生水利用的要求</w:t>
      </w:r>
    </w:p>
    <w:p w14:paraId="4CF7EA70">
      <w:pPr>
        <w:tabs>
          <w:tab w:val="left" w:pos="5400"/>
        </w:tabs>
        <w:spacing w:line="600" w:lineRule="exact"/>
        <w:ind w:firstLine="560" w:firstLineChars="200"/>
        <w:rPr>
          <w:color w:val="000000" w:themeColor="text1"/>
          <w:sz w:val="28"/>
          <w:szCs w:val="28"/>
        </w:rPr>
      </w:pPr>
      <w:r>
        <w:rPr>
          <w:color w:val="000000" w:themeColor="text1"/>
          <w:sz w:val="28"/>
          <w:szCs w:val="28"/>
        </w:rPr>
        <w:t>《中华人民共和国水法》明确规定“</w:t>
      </w:r>
      <w:r>
        <w:rPr>
          <w:rFonts w:hint="eastAsia"/>
          <w:color w:val="000000" w:themeColor="text1"/>
          <w:sz w:val="28"/>
          <w:szCs w:val="28"/>
        </w:rPr>
        <w:t>加强城市污水集中处理，鼓励使用再生水，提高污水再生利用率</w:t>
      </w:r>
      <w:r>
        <w:rPr>
          <w:color w:val="000000" w:themeColor="text1"/>
          <w:sz w:val="28"/>
          <w:szCs w:val="28"/>
        </w:rPr>
        <w:t>”。</w:t>
      </w:r>
      <w:r>
        <w:rPr>
          <w:rFonts w:hint="eastAsia"/>
          <w:color w:val="000000" w:themeColor="text1"/>
          <w:sz w:val="28"/>
          <w:szCs w:val="28"/>
        </w:rPr>
        <w:t>《中华人民共和国黄河保护法》第五十九条规定“黄河流域县级以上地方人民政府应当推进污水资源化利用，国家对相关设施建设予以支持。黄河流域县级以上地方人民政府应当将再生水、雨水、苦咸水、矿井水等非常规水纳入水资源统一配置，提高非常规水利用比例；景观绿化、工业生产、建筑施工等用水，应当优先使用符合要求的再生水。”</w:t>
      </w:r>
    </w:p>
    <w:p w14:paraId="2ECA92AD">
      <w:pPr>
        <w:tabs>
          <w:tab w:val="left" w:pos="5400"/>
        </w:tabs>
        <w:spacing w:line="600" w:lineRule="exact"/>
        <w:ind w:firstLine="560" w:firstLineChars="200"/>
        <w:rPr>
          <w:color w:val="000000" w:themeColor="text1"/>
          <w:sz w:val="28"/>
          <w:szCs w:val="28"/>
        </w:rPr>
      </w:pPr>
      <w:r>
        <w:rPr>
          <w:color w:val="000000" w:themeColor="text1"/>
          <w:sz w:val="28"/>
          <w:szCs w:val="28"/>
        </w:rPr>
        <w:t>党的十八大以来，习近平总书记多次就治水发表重要讲话、作出重要指示，提出“节水优先</w:t>
      </w:r>
      <w:r>
        <w:rPr>
          <w:rFonts w:hint="eastAsia"/>
          <w:color w:val="000000" w:themeColor="text1"/>
          <w:sz w:val="28"/>
          <w:szCs w:val="28"/>
        </w:rPr>
        <w:t>、</w:t>
      </w:r>
      <w:r>
        <w:rPr>
          <w:color w:val="000000" w:themeColor="text1"/>
          <w:sz w:val="28"/>
          <w:szCs w:val="28"/>
        </w:rPr>
        <w:t>空间均衡</w:t>
      </w:r>
      <w:r>
        <w:rPr>
          <w:rFonts w:hint="eastAsia"/>
          <w:color w:val="000000" w:themeColor="text1"/>
          <w:sz w:val="28"/>
          <w:szCs w:val="28"/>
        </w:rPr>
        <w:t>、</w:t>
      </w:r>
      <w:r>
        <w:rPr>
          <w:color w:val="000000" w:themeColor="text1"/>
          <w:sz w:val="28"/>
          <w:szCs w:val="28"/>
        </w:rPr>
        <w:t>系统治理</w:t>
      </w:r>
      <w:r>
        <w:rPr>
          <w:rFonts w:hint="eastAsia"/>
          <w:color w:val="000000" w:themeColor="text1"/>
          <w:sz w:val="28"/>
          <w:szCs w:val="28"/>
        </w:rPr>
        <w:t>、</w:t>
      </w:r>
      <w:r>
        <w:rPr>
          <w:color w:val="000000" w:themeColor="text1"/>
          <w:sz w:val="28"/>
          <w:szCs w:val="28"/>
        </w:rPr>
        <w:t>两手发力”的新时期治水方针。</w:t>
      </w:r>
      <w:r>
        <w:rPr>
          <w:rFonts w:hint="eastAsia"/>
          <w:color w:val="000000" w:themeColor="text1"/>
          <w:sz w:val="28"/>
          <w:szCs w:val="28"/>
        </w:rPr>
        <w:t>2</w:t>
      </w:r>
      <w:r>
        <w:rPr>
          <w:color w:val="000000" w:themeColor="text1"/>
          <w:sz w:val="28"/>
          <w:szCs w:val="28"/>
        </w:rPr>
        <w:t>015</w:t>
      </w:r>
      <w:r>
        <w:rPr>
          <w:rFonts w:hint="eastAsia"/>
          <w:color w:val="000000" w:themeColor="text1"/>
          <w:sz w:val="28"/>
          <w:szCs w:val="28"/>
        </w:rPr>
        <w:t>年4月国务院公布了《水污染防治行动计划》（“水十条”）提出，要促进再生水利用，以缺水及水污染严重地区城市为重点，完善再生水利用设施，工业生产、城市绿化、道路清扫、车辆冲洗、建筑施工以及生态景观等用水，要优先使用再生水；到2020年，缺水城市再生水利用率达到20%以上，京津冀区域达到30%以上。</w:t>
      </w:r>
    </w:p>
    <w:p w14:paraId="2E9F7CC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020</w:t>
      </w:r>
      <w:r>
        <w:rPr>
          <w:rFonts w:hint="eastAsia"/>
          <w:color w:val="000000" w:themeColor="text1"/>
          <w:sz w:val="28"/>
          <w:szCs w:val="28"/>
        </w:rPr>
        <w:t>年1</w:t>
      </w:r>
      <w:r>
        <w:rPr>
          <w:color w:val="000000" w:themeColor="text1"/>
          <w:sz w:val="28"/>
          <w:szCs w:val="28"/>
        </w:rPr>
        <w:t>1</w:t>
      </w:r>
      <w:r>
        <w:rPr>
          <w:rFonts w:hint="eastAsia"/>
          <w:color w:val="000000" w:themeColor="text1"/>
          <w:sz w:val="28"/>
          <w:szCs w:val="28"/>
        </w:rPr>
        <w:t>月，中共中央发布了《“十四五”城镇污水处理及资源化利用发展规划》，明确指出实施国家节水行动，建立水资源刚性约束制度，鼓励再生水利用。2</w:t>
      </w:r>
      <w:r>
        <w:rPr>
          <w:color w:val="000000" w:themeColor="text1"/>
          <w:sz w:val="28"/>
          <w:szCs w:val="28"/>
        </w:rPr>
        <w:t>021</w:t>
      </w:r>
      <w:r>
        <w:rPr>
          <w:rFonts w:hint="eastAsia"/>
          <w:color w:val="000000" w:themeColor="text1"/>
          <w:sz w:val="28"/>
          <w:szCs w:val="28"/>
        </w:rPr>
        <w:t>年1月，十部委联合发布《关于推进污水资源化利用的指导意见》（发改环资〔2021〕13号）指出，要加快推动城镇生活污水资源化利用，积极推动工业废水资源化利用，稳妥推进农业农村污水资源化利用，实施污水收集及资源化利用设施建设工程、实施区域再生水循环利用工程等，到2025年全国地级及以上缺水城市再生水利用率达到25%以上，京津冀地区达到35%以上。</w:t>
      </w:r>
    </w:p>
    <w:p w14:paraId="25146F8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021</w:t>
      </w:r>
      <w:r>
        <w:rPr>
          <w:rFonts w:hint="eastAsia"/>
          <w:color w:val="000000" w:themeColor="text1"/>
          <w:sz w:val="28"/>
          <w:szCs w:val="28"/>
        </w:rPr>
        <w:t>年6月，国家发展改革委、住房和城乡建设部印发《“十四五”城镇污水处理及资源化利用发展规划》（发改环资</w:t>
      </w:r>
      <w:r>
        <w:rPr>
          <w:color w:val="000000" w:themeColor="text1"/>
          <w:sz w:val="28"/>
          <w:szCs w:val="28"/>
        </w:rPr>
        <w:t>〔</w:t>
      </w:r>
      <w:r>
        <w:rPr>
          <w:rFonts w:hint="eastAsia"/>
          <w:color w:val="000000" w:themeColor="text1"/>
          <w:sz w:val="28"/>
          <w:szCs w:val="28"/>
        </w:rPr>
        <w:t>2021</w:t>
      </w:r>
      <w:r>
        <w:rPr>
          <w:color w:val="000000" w:themeColor="text1"/>
          <w:sz w:val="28"/>
          <w:szCs w:val="28"/>
        </w:rPr>
        <w:t>〕</w:t>
      </w:r>
      <w:r>
        <w:rPr>
          <w:rFonts w:hint="eastAsia"/>
          <w:color w:val="000000" w:themeColor="text1"/>
          <w:sz w:val="28"/>
          <w:szCs w:val="28"/>
        </w:rPr>
        <w:t>827号）强调，落实目标责任，按照省级部署、市县负责的要求，系统推进“十四五”污水处理及资源化利用工作；对污水资源化利用设施建设提出细化的建设任务及技术要求，结合现有污水处理设施提标升级扩能改造，系统规划城镇污水再生利用设施，合理确定再生水利用方向，推动实现分质、分对象供水，优水优用；落实“节水即治污”理念，深入实施国家节水行动。</w:t>
      </w:r>
    </w:p>
    <w:p w14:paraId="1BC4027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021</w:t>
      </w:r>
      <w:r>
        <w:rPr>
          <w:rFonts w:hint="eastAsia"/>
          <w:color w:val="000000" w:themeColor="text1"/>
          <w:sz w:val="28"/>
          <w:szCs w:val="28"/>
        </w:rPr>
        <w:t>年1</w:t>
      </w:r>
      <w:r>
        <w:rPr>
          <w:color w:val="000000" w:themeColor="text1"/>
          <w:sz w:val="28"/>
          <w:szCs w:val="28"/>
        </w:rPr>
        <w:t>2</w:t>
      </w:r>
      <w:r>
        <w:rPr>
          <w:rFonts w:hint="eastAsia"/>
          <w:color w:val="000000" w:themeColor="text1"/>
          <w:sz w:val="28"/>
          <w:szCs w:val="28"/>
        </w:rPr>
        <w:t>月，生态环境部会同发展改革委、住房和城乡建设部、水利部发布了《区域再生水循环利用试点实施方案》提出区域再生水循环利用强调区域统筹，在区域尺度统筹再生水生产、调配、利用各环节，协同推进城市污水处理厂、人工湿地、再生水调蓄库塘、再生水管网等建设，建立区域尺度再生水调配体系；通过再生水调配体系联合调度，实现区域内再生水的充分循环利用，增加区域内水资源总量，提升区域尺度再生水高效资源化利用水平。</w:t>
      </w:r>
    </w:p>
    <w:p w14:paraId="3147D676">
      <w:pPr>
        <w:tabs>
          <w:tab w:val="left" w:pos="5400"/>
        </w:tabs>
        <w:spacing w:line="600" w:lineRule="exact"/>
        <w:ind w:firstLine="560" w:firstLineChars="200"/>
        <w:rPr>
          <w:color w:val="000000" w:themeColor="text1"/>
          <w:sz w:val="28"/>
          <w:szCs w:val="28"/>
        </w:rPr>
      </w:pPr>
      <w:r>
        <w:rPr>
          <w:color w:val="000000" w:themeColor="text1"/>
          <w:sz w:val="28"/>
          <w:szCs w:val="28"/>
        </w:rPr>
        <w:t>2023年</w:t>
      </w:r>
      <w:r>
        <w:rPr>
          <w:rFonts w:hint="eastAsia"/>
          <w:color w:val="000000" w:themeColor="text1"/>
          <w:sz w:val="28"/>
          <w:szCs w:val="28"/>
        </w:rPr>
        <w:t>1月李国英</w:t>
      </w:r>
      <w:r>
        <w:rPr>
          <w:color w:val="000000" w:themeColor="text1"/>
          <w:sz w:val="28"/>
          <w:szCs w:val="28"/>
        </w:rPr>
        <w:t>部长主持的全国水利工作会议明确提出，</w:t>
      </w:r>
      <w:r>
        <w:rPr>
          <w:rFonts w:ascii="Helvetica" w:hAnsi="Helvetica" w:cs="Helvetica"/>
          <w:color w:val="000000" w:themeColor="text1"/>
          <w:sz w:val="27"/>
          <w:szCs w:val="27"/>
        </w:rPr>
        <w:t>实施全面节约战略，落实节水优先方针，全方位贯彻“四水四定”原则，不断推进水资源集约节约利用</w:t>
      </w:r>
      <w:r>
        <w:rPr>
          <w:rFonts w:hint="eastAsia" w:ascii="Helvetica" w:hAnsi="Helvetica" w:cs="Helvetica"/>
          <w:color w:val="000000" w:themeColor="text1"/>
          <w:sz w:val="27"/>
          <w:szCs w:val="27"/>
        </w:rPr>
        <w:t>；</w:t>
      </w:r>
      <w:r>
        <w:rPr>
          <w:color w:val="000000" w:themeColor="text1"/>
          <w:sz w:val="28"/>
          <w:szCs w:val="28"/>
        </w:rPr>
        <w:t>要</w:t>
      </w:r>
      <w:r>
        <w:rPr>
          <w:rFonts w:hint="eastAsia"/>
          <w:color w:val="000000" w:themeColor="text1"/>
          <w:sz w:val="28"/>
          <w:szCs w:val="28"/>
        </w:rPr>
        <w:t>深入开展国家节水行动，</w:t>
      </w:r>
      <w:r>
        <w:rPr>
          <w:rFonts w:ascii="Helvetica" w:hAnsi="Helvetica" w:cs="Helvetica"/>
          <w:color w:val="000000" w:themeColor="text1"/>
          <w:sz w:val="27"/>
          <w:szCs w:val="27"/>
        </w:rPr>
        <w:t>打好黄河流域深度节水控水攻坚战，</w:t>
      </w:r>
      <w:r>
        <w:rPr>
          <w:color w:val="000000" w:themeColor="text1"/>
          <w:sz w:val="28"/>
          <w:szCs w:val="28"/>
        </w:rPr>
        <w:t>强化非常规水源利用。</w:t>
      </w:r>
    </w:p>
    <w:p w14:paraId="0612C4B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由此可见，国家从法律法规方面对污水资源化和再生水利用进行明确；同时发布多项再生水利用规划，以加快推动城镇生活污水资源化利用，积极推动工业废水资源化利用，稳妥推进农业农村污水资源化利用，全面提升再生水高效资源化利用水平。</w:t>
      </w:r>
    </w:p>
    <w:p w14:paraId="4C2D08E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2、黄河流域关于再生水利用的要求</w:t>
      </w:r>
    </w:p>
    <w:p w14:paraId="6B86E6C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黄河流域对再生水的利用高度重视。国家颁布的《中华人民共和国黄河保护法》明确规定黄河流域县级以上地方人民政府应当推进污水资源化利用，景观绿化、工业生产、建筑施工等用水，应当优先使用符合要求的再生水；同时各部委发布的再生水利用规划均对黄河流域的再生水利用提出明确规定和要求。</w:t>
      </w:r>
    </w:p>
    <w:p w14:paraId="2A1D488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2019年9月18日，习近平总书记主持召开黄河流域生态保护和高质量发展座谈会并发表重要讲话，黄河流域生态保护和高质量发展上升为重大国家战略；提出推进水资源节约集约利用，把水资源作为最大的刚性约束，坚决抑制不合理用水需求，大力发展节水产业和技术，推动用水方式由粗放向节约集约转变。2</w:t>
      </w:r>
      <w:r>
        <w:rPr>
          <w:color w:val="000000" w:themeColor="text1"/>
          <w:sz w:val="28"/>
          <w:szCs w:val="28"/>
        </w:rPr>
        <w:t>021</w:t>
      </w:r>
      <w:r>
        <w:rPr>
          <w:rFonts w:hint="eastAsia"/>
          <w:color w:val="000000" w:themeColor="text1"/>
          <w:sz w:val="28"/>
          <w:szCs w:val="28"/>
        </w:rPr>
        <w:t>年8月中共中央、国务院印发《黄河流域生态保护和高质量发展规划纲要》明确指出，全面实施深度节水控水行动，坚持节水优先，积极推动再生水等非常规水利用，实施区域再生水循环利用试点，在城镇逐步普及建筑中水回用技术和雨水集蓄利用设施。2</w:t>
      </w:r>
      <w:r>
        <w:rPr>
          <w:color w:val="000000" w:themeColor="text1"/>
          <w:sz w:val="28"/>
          <w:szCs w:val="28"/>
        </w:rPr>
        <w:t>021</w:t>
      </w:r>
      <w:r>
        <w:rPr>
          <w:rFonts w:hint="eastAsia"/>
          <w:color w:val="000000" w:themeColor="text1"/>
          <w:sz w:val="28"/>
          <w:szCs w:val="28"/>
        </w:rPr>
        <w:t>年山东省和济南市分别印发了《山东省黄河流域生态保护和高质量发展规划》和《济南市黄河流域生态保护和高质量发展规划》则明确指出在黄河流域大力推进再生水循环利用，推动非常规水源纳入水资源统一配置，建设城镇污水处理设施，完善污水收集系统，优化再生水处理工艺，完善再生水利用设施及配套管网，制定再生水利用优惠政策，加强城镇再生水回用。</w:t>
      </w:r>
    </w:p>
    <w:p w14:paraId="5334674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因此，根据国家法律法规和省市要求，污水资源化及再生水利用是黄河流域生态保护和高质量发展工作要求，是</w:t>
      </w:r>
      <w:r>
        <w:rPr>
          <w:rFonts w:ascii="Arial" w:hAnsi="Arial" w:cs="Arial"/>
          <w:color w:val="000000" w:themeColor="text1"/>
          <w:sz w:val="27"/>
          <w:szCs w:val="27"/>
        </w:rPr>
        <w:t>推进</w:t>
      </w:r>
      <w:r>
        <w:rPr>
          <w:rFonts w:hint="eastAsia" w:ascii="Arial" w:hAnsi="Arial" w:cs="Arial"/>
          <w:color w:val="000000" w:themeColor="text1"/>
          <w:sz w:val="27"/>
          <w:szCs w:val="27"/>
        </w:rPr>
        <w:t>黄河流域</w:t>
      </w:r>
      <w:r>
        <w:rPr>
          <w:rFonts w:ascii="Arial" w:hAnsi="Arial" w:cs="Arial"/>
          <w:color w:val="000000" w:themeColor="text1"/>
          <w:sz w:val="27"/>
          <w:szCs w:val="27"/>
        </w:rPr>
        <w:t>水资源节约集约利用</w:t>
      </w:r>
      <w:r>
        <w:rPr>
          <w:rFonts w:hint="eastAsia" w:ascii="Arial" w:hAnsi="Arial" w:cs="Arial"/>
          <w:color w:val="000000" w:themeColor="text1"/>
          <w:sz w:val="27"/>
          <w:szCs w:val="27"/>
        </w:rPr>
        <w:t>重要举措。</w:t>
      </w:r>
    </w:p>
    <w:p w14:paraId="12A74CED">
      <w:pPr>
        <w:tabs>
          <w:tab w:val="left" w:pos="5400"/>
        </w:tabs>
        <w:spacing w:line="600" w:lineRule="exact"/>
        <w:ind w:firstLine="560" w:firstLineChars="200"/>
        <w:rPr>
          <w:color w:val="000000" w:themeColor="text1"/>
          <w:sz w:val="28"/>
          <w:szCs w:val="28"/>
        </w:rPr>
      </w:pPr>
      <w:r>
        <w:rPr>
          <w:color w:val="000000" w:themeColor="text1"/>
          <w:sz w:val="28"/>
          <w:szCs w:val="28"/>
        </w:rPr>
        <w:t>3</w:t>
      </w:r>
      <w:r>
        <w:rPr>
          <w:rFonts w:hint="eastAsia"/>
          <w:color w:val="000000" w:themeColor="text1"/>
          <w:sz w:val="28"/>
          <w:szCs w:val="28"/>
        </w:rPr>
        <w:t>、山东省关于再生水利用的要求</w:t>
      </w:r>
    </w:p>
    <w:p w14:paraId="7880A4C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近些年，山东省按照国家、部委要求从政策法规和文件上明确要求不断加强推进污水资源化和再生水利用工作。</w:t>
      </w:r>
    </w:p>
    <w:p w14:paraId="58F42EB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山东省水资源条例》提出水资源配置应当将再生水纳入区域水资源统一配置，鼓励再生水输配管网建设，再生水输配管网覆盖区域内的用水户应当优先使用再生水。《山东省节约用水条例》指出县级以上人民政府应当将再生水等非常规水纳入水资源统一配置，优化用水结构，提高非常规水利用率；县级以上人民政府应当统筹规划建设再生水输配管网和再生水利用设施；再生水输配管网覆盖区域内或者有条件使用再生水的工业企业、园林绿化、环境卫生、生态景观、建筑施工、农田灌溉等，应当按照国家和省规定优先使用再生水。</w:t>
      </w:r>
    </w:p>
    <w:p w14:paraId="5798AB5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2011年6月山东省发改委、水利厅、住建厅、环保厅共同发布了《关于加强污水处理回用工作的意见》（鲁发改地环</w:t>
      </w:r>
      <w:r>
        <w:rPr>
          <w:color w:val="000000" w:themeColor="text1"/>
          <w:sz w:val="28"/>
          <w:szCs w:val="28"/>
        </w:rPr>
        <w:t>〔</w:t>
      </w:r>
      <w:r>
        <w:rPr>
          <w:rFonts w:hint="eastAsia"/>
          <w:color w:val="000000" w:themeColor="text1"/>
          <w:sz w:val="28"/>
          <w:szCs w:val="28"/>
        </w:rPr>
        <w:t>2011</w:t>
      </w:r>
      <w:r>
        <w:rPr>
          <w:color w:val="000000" w:themeColor="text1"/>
          <w:sz w:val="28"/>
          <w:szCs w:val="28"/>
        </w:rPr>
        <w:t>〕</w:t>
      </w:r>
      <w:r>
        <w:rPr>
          <w:rFonts w:hint="eastAsia"/>
          <w:color w:val="000000" w:themeColor="text1"/>
          <w:sz w:val="28"/>
          <w:szCs w:val="28"/>
        </w:rPr>
        <w:t>678号）提出应充分认识污水处理回用的重要性，污水处理再生水纳入区域水资源统一配置，进一步加强污水处理回用管理，建立健全污水处理回用运行机制，强化污水处理回用工作的保障措施。2022年7月，《山东省人大常委会关于加强山东现代水网建设的决定》公布实施，明确提出现代水网建设应当坚持先节水、后调水，将再生水等非常规水源纳入水资源统一配置，实现各类水资源的优化配置和联合调度。2024年5月山东省水利厅联合八部门发布了《关于加强再生水配置利用工作的意见》（鲁水节字</w:t>
      </w:r>
      <w:r>
        <w:rPr>
          <w:color w:val="000000" w:themeColor="text1"/>
          <w:sz w:val="28"/>
          <w:szCs w:val="28"/>
        </w:rPr>
        <w:t>〔</w:t>
      </w:r>
      <w:r>
        <w:rPr>
          <w:rFonts w:hint="eastAsia"/>
          <w:color w:val="000000" w:themeColor="text1"/>
          <w:sz w:val="28"/>
          <w:szCs w:val="28"/>
        </w:rPr>
        <w:t>2024</w:t>
      </w:r>
      <w:r>
        <w:rPr>
          <w:color w:val="000000" w:themeColor="text1"/>
          <w:sz w:val="28"/>
          <w:szCs w:val="28"/>
        </w:rPr>
        <w:t>〕</w:t>
      </w:r>
      <w:r>
        <w:rPr>
          <w:rFonts w:hint="eastAsia"/>
          <w:color w:val="000000" w:themeColor="text1"/>
          <w:sz w:val="28"/>
          <w:szCs w:val="28"/>
        </w:rPr>
        <w:t>1号）指出全面加强推进全省再生水配置利用工作。《山东省水资源综合利用中长期规划》（2</w:t>
      </w:r>
      <w:r>
        <w:rPr>
          <w:color w:val="000000" w:themeColor="text1"/>
          <w:sz w:val="28"/>
          <w:szCs w:val="28"/>
        </w:rPr>
        <w:t>016</w:t>
      </w:r>
      <w:r>
        <w:rPr>
          <w:rFonts w:hint="eastAsia"/>
          <w:color w:val="000000" w:themeColor="text1"/>
          <w:sz w:val="28"/>
          <w:szCs w:val="28"/>
        </w:rPr>
        <w:t>—</w:t>
      </w:r>
      <w:r>
        <w:rPr>
          <w:color w:val="000000" w:themeColor="text1"/>
          <w:sz w:val="28"/>
          <w:szCs w:val="28"/>
        </w:rPr>
        <w:t>2030</w:t>
      </w:r>
      <w:r>
        <w:rPr>
          <w:rFonts w:hint="eastAsia"/>
          <w:color w:val="000000" w:themeColor="text1"/>
          <w:sz w:val="28"/>
          <w:szCs w:val="28"/>
        </w:rPr>
        <w:t>年）《山东省落实国家节水行动实施方案》《山东省“十四五”水利发展规划》《山东省水资源管理与保护“十四五”规划》《山东省全面推进水资源节约集约利用实施方案》《“十四五”山东省城镇污水处理及资源化利用发展规划》等相关规划文件明确指出加大推进城乡污水处理，实施污水资源化和再生水利用工作，完善区域水资源配置方案，以区域用水总量控制指标和水量分配方案为依据，将再生水等非常规水源纳入区域水资源统一配置，景观绿化、工业生产、市政杂用、建筑施工、生态补水等优先使用非常规水。</w:t>
      </w:r>
    </w:p>
    <w:p w14:paraId="087ADA0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由此可见，山东省积极响应落实国家、部委政策文件要求，大力推进城乡污水净化处理、污水资源化和再生水利用工作，对各市、县关于再生水配套工程建设和再生水利用提出明确规定和工作要求，同时对区域用水总量控制指标和水量分配方案实施再生水配置要求，并将再生水利用纳入最严格水资源管理制度和取水许可证办理工作。</w:t>
      </w:r>
    </w:p>
    <w:p w14:paraId="0765AC9D">
      <w:pPr>
        <w:tabs>
          <w:tab w:val="left" w:pos="5400"/>
        </w:tabs>
        <w:spacing w:line="600" w:lineRule="exact"/>
        <w:ind w:firstLine="560" w:firstLineChars="200"/>
        <w:rPr>
          <w:color w:val="000000" w:themeColor="text1"/>
          <w:sz w:val="28"/>
          <w:szCs w:val="28"/>
        </w:rPr>
      </w:pPr>
      <w:r>
        <w:rPr>
          <w:color w:val="000000" w:themeColor="text1"/>
          <w:sz w:val="28"/>
          <w:szCs w:val="28"/>
        </w:rPr>
        <w:t>4</w:t>
      </w:r>
      <w:r>
        <w:rPr>
          <w:rFonts w:hint="eastAsia"/>
          <w:color w:val="000000" w:themeColor="text1"/>
          <w:sz w:val="28"/>
          <w:szCs w:val="28"/>
        </w:rPr>
        <w:t>、济南市关于再生水利用的要求</w:t>
      </w:r>
    </w:p>
    <w:p w14:paraId="2280D91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济南市根据国家、部委、省要求从政策法规和文件上明确要求不断强化污水资源化和再生水利用推进工作。《济南市水资源管理条例》《济南市实行最严格水资源管理制度考核办法》《济南市节约用水条例》《济南市人民政府关于加强水资源管理工作的意见》《济南市黄河流域水资源节约集约利用规定》等政策文件指出市、区县政府应当将再生水、雨水、矿坑水等非常规水源纳入水资源统一管理，审批取水许可和核定用水计划应当优先配置再生水；同时对再生水厂、供水管网、优先使用再生水条件等进行明确；同时明确提出至“十四五”末，济南市再生水回用率达到4</w:t>
      </w:r>
      <w:r>
        <w:rPr>
          <w:color w:val="000000" w:themeColor="text1"/>
          <w:sz w:val="28"/>
          <w:szCs w:val="28"/>
        </w:rPr>
        <w:t>0%</w:t>
      </w:r>
      <w:r>
        <w:rPr>
          <w:rFonts w:hint="eastAsia"/>
          <w:color w:val="000000" w:themeColor="text1"/>
          <w:sz w:val="28"/>
          <w:szCs w:val="28"/>
        </w:rPr>
        <w:t>。</w:t>
      </w:r>
    </w:p>
    <w:p w14:paraId="1564842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济南市水资源综合利用中长期规划（2016—2030）》《济南市现代水网建设规划（2021—2035年）》《济南市黄河流域生态保护和高质量发展规划》《济南市“十四五”水务发展规划》《济南市“十四五”节约用水规划》《济南新旧动能转换起步区建设实施方案》等相关发展规划对济南市及区县近期和远期再生水配置利用进行明确，严格遵循节水优先、统筹兼顾、集约使用、精打细算的原则，用足再生水，控采地下水，促进多水源优化配置、高效利用再生水。</w:t>
      </w:r>
    </w:p>
    <w:p w14:paraId="1C5E6C3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综上分析，国家、部委、省、市越来越重视污水资源化和再生水利用工作，已从法律法规、政策文件、专项规划等方面逐步推进城乡污水资源化利用，配套建设再生水供水工程，要求各行业应用尽用再生水，同时对再生水的运维及投资、水价等费用等进行明确。</w:t>
      </w:r>
    </w:p>
    <w:p w14:paraId="5E1854E2">
      <w:pPr>
        <w:tabs>
          <w:tab w:val="left" w:pos="5400"/>
        </w:tabs>
        <w:spacing w:line="600" w:lineRule="exact"/>
        <w:ind w:firstLine="560" w:firstLineChars="200"/>
        <w:rPr>
          <w:color w:val="000000" w:themeColor="text1"/>
          <w:sz w:val="28"/>
          <w:szCs w:val="28"/>
        </w:rPr>
      </w:pPr>
      <w:r>
        <w:rPr>
          <w:color w:val="000000" w:themeColor="text1"/>
          <w:sz w:val="28"/>
          <w:szCs w:val="28"/>
        </w:rPr>
        <w:t>5</w:t>
      </w:r>
      <w:r>
        <w:rPr>
          <w:rFonts w:hint="eastAsia"/>
          <w:color w:val="000000" w:themeColor="text1"/>
          <w:sz w:val="28"/>
          <w:szCs w:val="28"/>
        </w:rPr>
        <w:t>、平阴县关于开展再生水利用规划的要求</w:t>
      </w:r>
    </w:p>
    <w:p w14:paraId="183F1689">
      <w:pPr>
        <w:tabs>
          <w:tab w:val="left" w:pos="5400"/>
        </w:tabs>
        <w:spacing w:line="600" w:lineRule="exact"/>
        <w:ind w:firstLine="560" w:firstLineChars="200"/>
        <w:rPr>
          <w:color w:val="000000" w:themeColor="text1"/>
          <w:sz w:val="28"/>
          <w:szCs w:val="28"/>
        </w:rPr>
      </w:pPr>
      <w:r>
        <w:rPr>
          <w:color w:val="000000" w:themeColor="text1"/>
          <w:sz w:val="28"/>
          <w:szCs w:val="28"/>
        </w:rPr>
        <w:t>202</w:t>
      </w:r>
      <w:r>
        <w:rPr>
          <w:rFonts w:hint="eastAsia"/>
          <w:color w:val="000000" w:themeColor="text1"/>
          <w:sz w:val="28"/>
          <w:szCs w:val="28"/>
        </w:rPr>
        <w:t>3年</w:t>
      </w:r>
      <w:r>
        <w:rPr>
          <w:color w:val="000000" w:themeColor="text1"/>
          <w:sz w:val="28"/>
          <w:szCs w:val="28"/>
        </w:rPr>
        <w:t>平阴县人均水资源量约</w:t>
      </w:r>
      <w:r>
        <w:rPr>
          <w:rFonts w:hint="eastAsia"/>
          <w:color w:val="000000" w:themeColor="text1"/>
          <w:sz w:val="28"/>
          <w:szCs w:val="28"/>
        </w:rPr>
        <w:t>503.1</w:t>
      </w:r>
      <w:r>
        <w:rPr>
          <w:color w:val="000000" w:themeColor="text1"/>
          <w:sz w:val="28"/>
          <w:szCs w:val="28"/>
        </w:rPr>
        <w:t>m</w:t>
      </w:r>
      <w:r>
        <w:rPr>
          <w:rFonts w:hint="eastAsia"/>
          <w:color w:val="000000" w:themeColor="text1"/>
          <w:sz w:val="28"/>
          <w:szCs w:val="28"/>
          <w:vertAlign w:val="superscript"/>
        </w:rPr>
        <w:t>3</w:t>
      </w:r>
      <w:r>
        <w:rPr>
          <w:color w:val="000000" w:themeColor="text1"/>
          <w:sz w:val="28"/>
          <w:szCs w:val="28"/>
        </w:rPr>
        <w:t>，属于缺水地区</w:t>
      </w:r>
      <w:r>
        <w:rPr>
          <w:rFonts w:hint="eastAsia"/>
          <w:color w:val="000000" w:themeColor="text1"/>
          <w:sz w:val="28"/>
          <w:szCs w:val="28"/>
        </w:rPr>
        <w:t>，平阴县受地理、气候等自然条件的限制，经济社会发展用水主要依赖地下水。但是随着平阴县社会经济发展，水资源供需矛盾日趋增加，水资源短缺将严重影响平阴县可持续高质量发展。</w:t>
      </w:r>
    </w:p>
    <w:p w14:paraId="39B84DF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近些年，平阴县深入贯彻习近平总书记“节水优先、空间均衡、系统治理、两手发力”治水思路和关于黄河流域生态保护和高质量发展重要讲话、重要指示批示精神，坚决落实“以水定城、以水定地、以水定人、以水定产”原则，增强科学用水意识，从严从细管好水资源，保障用水安全、提高水资源高效利用率。平阴县先后编制了《平阴县水资源综合利用中长期规划（2016—2030）》《平阴县节约用水规划（20</w:t>
      </w:r>
      <w:r>
        <w:rPr>
          <w:color w:val="000000" w:themeColor="text1"/>
          <w:sz w:val="28"/>
          <w:szCs w:val="28"/>
        </w:rPr>
        <w:t>21</w:t>
      </w:r>
      <w:r>
        <w:rPr>
          <w:rFonts w:hint="eastAsia"/>
          <w:color w:val="000000" w:themeColor="text1"/>
          <w:sz w:val="28"/>
          <w:szCs w:val="28"/>
        </w:rPr>
        <w:t>—2035）》《平阴县“十四五”水利发展规划》《平阴县现代水网建设规划》《平阴县黄河流域生态保护和高质量发展规划》等专项规划其中指出落实国家、部委、省、市关于污水资源化和再生水利用工作要求，推进城乡污水资源化，配置利用再生水，提高再生水利用率，优化平阴县供水水源结构；但是未对平阴县的再生水生产、调配、利用、工程建设等实施内容进行明确。</w:t>
      </w:r>
    </w:p>
    <w:p w14:paraId="05937782">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为加快推动平阴县污水资源化和再生水利用工作，结合平阴县当前的污水处理和再生水利用现状调查，对辖区内的工业用水、市政杂用水等再生水潜在用水户进行调查分析，落实再生水供水工程规划建设内容，推进平阴县的再生水开发利用。通过落实平阴县再生水利用规划，进而缓解平阴县水资源短缺、改善水环境质量、减少地下水开采和跨流域调水，提高水资源利用率，优化用水水源配置，保障平阴县水生态安全，促进黄河流域水生态保护工作和高质量发展，全面贯彻落实“节水优先”“四水四定”和</w:t>
      </w:r>
      <w:r>
        <w:rPr>
          <w:rFonts w:hint="eastAsia"/>
          <w:color w:val="000000" w:themeColor="text1"/>
          <w:sz w:val="28"/>
        </w:rPr>
        <w:t>污水处理及资源化利用</w:t>
      </w:r>
      <w:r>
        <w:rPr>
          <w:rFonts w:hint="eastAsia"/>
          <w:color w:val="000000" w:themeColor="text1"/>
          <w:sz w:val="28"/>
          <w:szCs w:val="28"/>
        </w:rPr>
        <w:t>工作要求</w:t>
      </w:r>
      <w:r>
        <w:rPr>
          <w:color w:val="000000" w:themeColor="text1"/>
          <w:sz w:val="28"/>
          <w:szCs w:val="28"/>
        </w:rPr>
        <w:t>。</w:t>
      </w:r>
    </w:p>
    <w:p w14:paraId="2B7337C7">
      <w:pPr>
        <w:snapToGrid w:val="0"/>
        <w:spacing w:before="120" w:beforeLines="50" w:after="120" w:afterLines="50" w:line="600" w:lineRule="exact"/>
        <w:outlineLvl w:val="1"/>
        <w:rPr>
          <w:b/>
          <w:color w:val="000000" w:themeColor="text1"/>
          <w:sz w:val="30"/>
          <w:szCs w:val="30"/>
        </w:rPr>
      </w:pPr>
      <w:bookmarkStart w:id="22" w:name="_Toc144243682"/>
      <w:bookmarkStart w:id="23" w:name="_Toc55920526"/>
      <w:bookmarkStart w:id="24" w:name="_Toc181472919"/>
      <w:bookmarkStart w:id="25" w:name="_Toc55920524"/>
      <w:r>
        <w:rPr>
          <w:b/>
          <w:color w:val="000000" w:themeColor="text1"/>
          <w:sz w:val="30"/>
          <w:szCs w:val="30"/>
        </w:rPr>
        <w:t>1.2 规划依据</w:t>
      </w:r>
      <w:bookmarkEnd w:id="22"/>
      <w:bookmarkEnd w:id="23"/>
      <w:bookmarkEnd w:id="24"/>
    </w:p>
    <w:p w14:paraId="0D0721BD">
      <w:pPr>
        <w:tabs>
          <w:tab w:val="left" w:pos="5400"/>
        </w:tabs>
        <w:spacing w:line="600" w:lineRule="exact"/>
        <w:outlineLvl w:val="2"/>
        <w:rPr>
          <w:b/>
          <w:color w:val="000000" w:themeColor="text1"/>
          <w:sz w:val="28"/>
          <w:szCs w:val="28"/>
        </w:rPr>
      </w:pPr>
      <w:bookmarkStart w:id="26" w:name="_Toc143780467"/>
      <w:bookmarkStart w:id="27" w:name="_Toc144243683"/>
      <w:bookmarkStart w:id="28" w:name="_Toc137737061"/>
      <w:r>
        <w:rPr>
          <w:b/>
          <w:color w:val="000000" w:themeColor="text1"/>
          <w:sz w:val="28"/>
          <w:szCs w:val="28"/>
        </w:rPr>
        <w:t>1.2.1 法律法规</w:t>
      </w:r>
      <w:bookmarkEnd w:id="26"/>
      <w:bookmarkEnd w:id="27"/>
      <w:bookmarkEnd w:id="28"/>
    </w:p>
    <w:p w14:paraId="65A61172">
      <w:pPr>
        <w:tabs>
          <w:tab w:val="left" w:pos="5400"/>
        </w:tabs>
        <w:spacing w:line="600" w:lineRule="exact"/>
        <w:ind w:firstLine="560" w:firstLineChars="200"/>
        <w:rPr>
          <w:color w:val="000000" w:themeColor="text1"/>
          <w:sz w:val="28"/>
          <w:szCs w:val="28"/>
        </w:rPr>
      </w:pPr>
      <w:r>
        <w:rPr>
          <w:color w:val="000000" w:themeColor="text1"/>
          <w:sz w:val="28"/>
          <w:szCs w:val="28"/>
        </w:rPr>
        <w:t>（1）《中华人民共和国水法》（2016年9月1日实施）；</w:t>
      </w:r>
    </w:p>
    <w:p w14:paraId="2EF82EB0">
      <w:pPr>
        <w:tabs>
          <w:tab w:val="left" w:pos="5400"/>
        </w:tabs>
        <w:spacing w:line="600" w:lineRule="exact"/>
        <w:ind w:firstLine="560" w:firstLineChars="200"/>
        <w:rPr>
          <w:color w:val="000000" w:themeColor="text1"/>
          <w:sz w:val="28"/>
          <w:szCs w:val="28"/>
        </w:rPr>
      </w:pPr>
      <w:r>
        <w:rPr>
          <w:color w:val="000000" w:themeColor="text1"/>
          <w:sz w:val="28"/>
          <w:szCs w:val="28"/>
        </w:rPr>
        <w:t>（2）《中华人民共和国水污染防治法》（2018年1月1日实施）；</w:t>
      </w:r>
    </w:p>
    <w:p w14:paraId="0223DB7A">
      <w:pPr>
        <w:tabs>
          <w:tab w:val="left" w:pos="5400"/>
        </w:tabs>
        <w:spacing w:line="600" w:lineRule="exact"/>
        <w:ind w:firstLine="560" w:firstLineChars="200"/>
        <w:rPr>
          <w:color w:val="000000" w:themeColor="text1"/>
          <w:sz w:val="28"/>
          <w:szCs w:val="28"/>
        </w:rPr>
      </w:pPr>
      <w:r>
        <w:rPr>
          <w:color w:val="000000" w:themeColor="text1"/>
          <w:sz w:val="28"/>
          <w:szCs w:val="28"/>
        </w:rPr>
        <w:t>（3）《中华人民共和国环境保护法》（2015年1月1日实施）；</w:t>
      </w:r>
    </w:p>
    <w:p w14:paraId="34A77A03">
      <w:pPr>
        <w:tabs>
          <w:tab w:val="left" w:pos="5400"/>
        </w:tabs>
        <w:spacing w:line="600" w:lineRule="exact"/>
        <w:ind w:firstLine="560" w:firstLineChars="200"/>
        <w:rPr>
          <w:color w:val="000000" w:themeColor="text1"/>
          <w:sz w:val="28"/>
          <w:szCs w:val="28"/>
        </w:rPr>
      </w:pPr>
      <w:r>
        <w:rPr>
          <w:color w:val="000000" w:themeColor="text1"/>
          <w:sz w:val="28"/>
          <w:szCs w:val="28"/>
        </w:rPr>
        <w:t>（4）《中华人民共和国水土保持法》（2011年3月1日实施）；</w:t>
      </w:r>
    </w:p>
    <w:p w14:paraId="1800A2C1">
      <w:pPr>
        <w:tabs>
          <w:tab w:val="left" w:pos="5400"/>
        </w:tabs>
        <w:spacing w:line="600" w:lineRule="exact"/>
        <w:ind w:firstLine="560" w:firstLineChars="200"/>
        <w:rPr>
          <w:color w:val="000000" w:themeColor="text1"/>
          <w:sz w:val="28"/>
          <w:szCs w:val="28"/>
        </w:rPr>
      </w:pPr>
      <w:r>
        <w:rPr>
          <w:color w:val="000000" w:themeColor="text1"/>
          <w:sz w:val="28"/>
          <w:szCs w:val="28"/>
        </w:rPr>
        <w:t>（5）《中华人民共和国环境影响评价法》（2018年12月29日修订实施）；</w:t>
      </w:r>
    </w:p>
    <w:p w14:paraId="17BB14E7">
      <w:pPr>
        <w:tabs>
          <w:tab w:val="left" w:pos="5400"/>
        </w:tabs>
        <w:spacing w:line="600" w:lineRule="exact"/>
        <w:ind w:firstLine="560" w:firstLineChars="200"/>
        <w:rPr>
          <w:color w:val="000000" w:themeColor="text1"/>
          <w:sz w:val="28"/>
          <w:szCs w:val="28"/>
        </w:rPr>
      </w:pPr>
      <w:r>
        <w:rPr>
          <w:color w:val="000000" w:themeColor="text1"/>
          <w:sz w:val="28"/>
          <w:szCs w:val="28"/>
        </w:rPr>
        <w:t>（6）《中华人民共和国黄河保护法》（2023年4月1日施行）；</w:t>
      </w:r>
    </w:p>
    <w:p w14:paraId="6B70928A">
      <w:pPr>
        <w:tabs>
          <w:tab w:val="left" w:pos="5400"/>
        </w:tabs>
        <w:spacing w:line="600" w:lineRule="exact"/>
        <w:ind w:firstLine="560" w:firstLineChars="200"/>
        <w:rPr>
          <w:color w:val="000000" w:themeColor="text1"/>
          <w:sz w:val="28"/>
          <w:szCs w:val="28"/>
        </w:rPr>
      </w:pPr>
      <w:r>
        <w:rPr>
          <w:color w:val="000000" w:themeColor="text1"/>
          <w:sz w:val="28"/>
          <w:szCs w:val="28"/>
        </w:rPr>
        <w:t>（7）《中华人民共和国城乡规划法》（2019年4月23日修订实施）；</w:t>
      </w:r>
    </w:p>
    <w:p w14:paraId="58B29C76">
      <w:pPr>
        <w:tabs>
          <w:tab w:val="left" w:pos="5400"/>
        </w:tabs>
        <w:spacing w:line="600" w:lineRule="exact"/>
        <w:ind w:firstLine="560" w:firstLineChars="200"/>
        <w:rPr>
          <w:color w:val="000000" w:themeColor="text1"/>
          <w:sz w:val="28"/>
          <w:szCs w:val="28"/>
        </w:rPr>
      </w:pPr>
      <w:r>
        <w:rPr>
          <w:color w:val="000000" w:themeColor="text1"/>
          <w:sz w:val="28"/>
          <w:szCs w:val="28"/>
        </w:rPr>
        <w:t>（8）《中华人民共和国河道管理条例》（2018年3月19日实施）；</w:t>
      </w:r>
    </w:p>
    <w:p w14:paraId="6419C6F0">
      <w:pPr>
        <w:tabs>
          <w:tab w:val="left" w:pos="5400"/>
        </w:tabs>
        <w:spacing w:line="600" w:lineRule="exact"/>
        <w:ind w:firstLine="560" w:firstLineChars="200"/>
        <w:rPr>
          <w:color w:val="000000" w:themeColor="text1"/>
          <w:sz w:val="28"/>
          <w:szCs w:val="28"/>
        </w:rPr>
      </w:pPr>
      <w:r>
        <w:rPr>
          <w:color w:val="000000" w:themeColor="text1"/>
          <w:sz w:val="28"/>
          <w:szCs w:val="28"/>
        </w:rPr>
        <w:t>（9）《山东省水资源条例》（2018年1月1日实施）；</w:t>
      </w:r>
    </w:p>
    <w:p w14:paraId="4BF1E3BE">
      <w:pPr>
        <w:tabs>
          <w:tab w:val="left" w:pos="5400"/>
        </w:tabs>
        <w:spacing w:line="600" w:lineRule="exact"/>
        <w:ind w:firstLine="560" w:firstLineChars="200"/>
        <w:rPr>
          <w:color w:val="000000" w:themeColor="text1"/>
          <w:sz w:val="28"/>
          <w:szCs w:val="28"/>
        </w:rPr>
      </w:pPr>
      <w:r>
        <w:rPr>
          <w:color w:val="000000" w:themeColor="text1"/>
          <w:sz w:val="28"/>
          <w:szCs w:val="28"/>
        </w:rPr>
        <w:t>（10）《山东省节约用水条例》（2022年1月1日实施）；</w:t>
      </w:r>
    </w:p>
    <w:p w14:paraId="19BAC1D9">
      <w:pPr>
        <w:tabs>
          <w:tab w:val="left" w:pos="5400"/>
        </w:tabs>
        <w:spacing w:line="600" w:lineRule="exact"/>
        <w:ind w:firstLine="560" w:firstLineChars="200"/>
        <w:rPr>
          <w:color w:val="000000" w:themeColor="text1"/>
          <w:sz w:val="28"/>
          <w:szCs w:val="28"/>
        </w:rPr>
      </w:pPr>
      <w:r>
        <w:rPr>
          <w:color w:val="000000" w:themeColor="text1"/>
          <w:sz w:val="28"/>
          <w:szCs w:val="28"/>
        </w:rPr>
        <w:t>（11）《山东省用水总量控制管理办法》（山东省人民政府令〔2010〕227号）；</w:t>
      </w:r>
    </w:p>
    <w:p w14:paraId="2CAB62CC">
      <w:pPr>
        <w:tabs>
          <w:tab w:val="left" w:pos="5400"/>
        </w:tabs>
        <w:spacing w:line="600" w:lineRule="exact"/>
        <w:ind w:firstLine="560" w:firstLineChars="200"/>
        <w:rPr>
          <w:color w:val="000000" w:themeColor="text1"/>
          <w:sz w:val="28"/>
          <w:szCs w:val="28"/>
        </w:rPr>
      </w:pPr>
      <w:r>
        <w:rPr>
          <w:color w:val="000000" w:themeColor="text1"/>
          <w:sz w:val="28"/>
          <w:szCs w:val="28"/>
        </w:rPr>
        <w:t>（12）《济南市水资源管理条例》（2013年3月29日山东省第十二届人民代表大会常务委员会第一次会议批准）；</w:t>
      </w:r>
    </w:p>
    <w:p w14:paraId="45F9F218">
      <w:pPr>
        <w:tabs>
          <w:tab w:val="left" w:pos="5400"/>
        </w:tabs>
        <w:spacing w:line="600" w:lineRule="exact"/>
        <w:ind w:firstLine="560" w:firstLineChars="200"/>
        <w:rPr>
          <w:color w:val="000000" w:themeColor="text1"/>
          <w:sz w:val="28"/>
          <w:szCs w:val="28"/>
        </w:rPr>
      </w:pPr>
      <w:r>
        <w:rPr>
          <w:color w:val="000000" w:themeColor="text1"/>
          <w:sz w:val="28"/>
          <w:szCs w:val="28"/>
        </w:rPr>
        <w:t>（13）《济南市节约用水条例》（2020年9月25日山东省第十三届人民代表大会常务委员会第二十三次会议批准）</w:t>
      </w:r>
      <w:r>
        <w:rPr>
          <w:rFonts w:hint="eastAsia"/>
          <w:color w:val="000000" w:themeColor="text1"/>
          <w:sz w:val="28"/>
          <w:szCs w:val="28"/>
        </w:rPr>
        <w:t>。</w:t>
      </w:r>
    </w:p>
    <w:p w14:paraId="20C94F39">
      <w:pPr>
        <w:tabs>
          <w:tab w:val="left" w:pos="5400"/>
        </w:tabs>
        <w:spacing w:line="600" w:lineRule="exact"/>
        <w:outlineLvl w:val="2"/>
        <w:rPr>
          <w:b/>
          <w:color w:val="000000" w:themeColor="text1"/>
          <w:sz w:val="28"/>
          <w:szCs w:val="28"/>
        </w:rPr>
      </w:pPr>
      <w:bookmarkStart w:id="29" w:name="_Toc144243684"/>
      <w:bookmarkStart w:id="30" w:name="_Toc137737062"/>
      <w:bookmarkStart w:id="31" w:name="_Toc143780468"/>
      <w:r>
        <w:rPr>
          <w:b/>
          <w:color w:val="000000" w:themeColor="text1"/>
          <w:sz w:val="28"/>
          <w:szCs w:val="28"/>
        </w:rPr>
        <w:t>1.2.2 政策文件</w:t>
      </w:r>
      <w:bookmarkEnd w:id="29"/>
      <w:bookmarkEnd w:id="30"/>
      <w:bookmarkEnd w:id="31"/>
    </w:p>
    <w:p w14:paraId="1D1E4A91">
      <w:pPr>
        <w:tabs>
          <w:tab w:val="left" w:pos="5400"/>
        </w:tabs>
        <w:spacing w:line="600" w:lineRule="exact"/>
        <w:ind w:firstLine="560" w:firstLineChars="200"/>
        <w:rPr>
          <w:color w:val="000000" w:themeColor="text1"/>
          <w:sz w:val="28"/>
          <w:szCs w:val="28"/>
        </w:rPr>
      </w:pPr>
      <w:r>
        <w:rPr>
          <w:color w:val="000000" w:themeColor="text1"/>
          <w:sz w:val="28"/>
          <w:szCs w:val="28"/>
        </w:rPr>
        <w:t>（1）《国务院办公厅关于印发实行最严格水资源管理制度考核工作实施方案的通知》（国办发〔2013〕2号）；</w:t>
      </w:r>
    </w:p>
    <w:p w14:paraId="10E80AFC">
      <w:pPr>
        <w:tabs>
          <w:tab w:val="left" w:pos="5400"/>
        </w:tabs>
        <w:spacing w:line="600" w:lineRule="exact"/>
        <w:ind w:firstLine="560" w:firstLineChars="200"/>
        <w:rPr>
          <w:color w:val="000000" w:themeColor="text1"/>
          <w:sz w:val="28"/>
          <w:szCs w:val="28"/>
        </w:rPr>
      </w:pPr>
      <w:r>
        <w:rPr>
          <w:color w:val="000000" w:themeColor="text1"/>
          <w:sz w:val="28"/>
          <w:szCs w:val="28"/>
        </w:rPr>
        <w:t>（2）《国务院关于印发水污染防治行动计划的通知》（“水十条”）（国发〔2015〕17号）；</w:t>
      </w:r>
    </w:p>
    <w:p w14:paraId="69FF2B9C">
      <w:pPr>
        <w:tabs>
          <w:tab w:val="left" w:pos="5400"/>
        </w:tabs>
        <w:spacing w:line="600" w:lineRule="exact"/>
        <w:ind w:firstLine="560" w:firstLineChars="200"/>
        <w:rPr>
          <w:color w:val="000000" w:themeColor="text1"/>
          <w:sz w:val="28"/>
          <w:szCs w:val="28"/>
        </w:rPr>
      </w:pPr>
      <w:r>
        <w:rPr>
          <w:color w:val="000000" w:themeColor="text1"/>
          <w:sz w:val="28"/>
          <w:szCs w:val="28"/>
        </w:rPr>
        <w:t>（3）《全民节水行动计划》（发改环资〔2016〕2259号）；</w:t>
      </w:r>
    </w:p>
    <w:p w14:paraId="78D7241E">
      <w:pPr>
        <w:tabs>
          <w:tab w:val="left" w:pos="5400"/>
        </w:tabs>
        <w:spacing w:line="600" w:lineRule="exact"/>
        <w:ind w:firstLine="560" w:firstLineChars="200"/>
        <w:rPr>
          <w:color w:val="000000" w:themeColor="text1"/>
          <w:sz w:val="28"/>
          <w:szCs w:val="28"/>
        </w:rPr>
      </w:pPr>
      <w:r>
        <w:rPr>
          <w:color w:val="000000" w:themeColor="text1"/>
          <w:sz w:val="28"/>
          <w:szCs w:val="28"/>
        </w:rPr>
        <w:t>（4）《国家节水行动方案》（发改环资规〔2019〕695号）；</w:t>
      </w:r>
    </w:p>
    <w:p w14:paraId="57C9931B">
      <w:pPr>
        <w:tabs>
          <w:tab w:val="left" w:pos="5400"/>
        </w:tabs>
        <w:spacing w:line="600" w:lineRule="exact"/>
        <w:ind w:firstLine="560" w:firstLineChars="200"/>
        <w:rPr>
          <w:color w:val="000000" w:themeColor="text1"/>
          <w:sz w:val="28"/>
          <w:szCs w:val="28"/>
        </w:rPr>
      </w:pPr>
      <w:r>
        <w:rPr>
          <w:color w:val="000000" w:themeColor="text1"/>
          <w:sz w:val="28"/>
          <w:szCs w:val="28"/>
        </w:rPr>
        <w:t>（5）《关于推进污水资源化利用的指导意见》</w:t>
      </w:r>
      <w:r>
        <w:rPr>
          <w:rFonts w:hint="eastAsia"/>
          <w:color w:val="000000" w:themeColor="text1"/>
          <w:sz w:val="28"/>
          <w:szCs w:val="28"/>
          <w:lang w:eastAsia="zh-CN"/>
        </w:rPr>
        <w:t>（</w:t>
      </w:r>
      <w:r>
        <w:rPr>
          <w:color w:val="000000" w:themeColor="text1"/>
          <w:sz w:val="28"/>
          <w:szCs w:val="28"/>
        </w:rPr>
        <w:t>发改环资〔2021〕13号</w:t>
      </w:r>
      <w:r>
        <w:rPr>
          <w:rFonts w:hint="eastAsia"/>
          <w:color w:val="000000" w:themeColor="text1"/>
          <w:sz w:val="28"/>
          <w:szCs w:val="28"/>
          <w:lang w:eastAsia="zh-CN"/>
        </w:rPr>
        <w:t>）</w:t>
      </w:r>
      <w:r>
        <w:rPr>
          <w:color w:val="000000" w:themeColor="text1"/>
          <w:sz w:val="28"/>
          <w:szCs w:val="28"/>
        </w:rPr>
        <w:t>；</w:t>
      </w:r>
    </w:p>
    <w:p w14:paraId="3F0B4FA0">
      <w:pPr>
        <w:tabs>
          <w:tab w:val="left" w:pos="5400"/>
        </w:tabs>
        <w:spacing w:line="600" w:lineRule="exact"/>
        <w:ind w:firstLine="560" w:firstLineChars="200"/>
        <w:rPr>
          <w:color w:val="000000" w:themeColor="text1"/>
          <w:sz w:val="28"/>
          <w:szCs w:val="28"/>
        </w:rPr>
      </w:pPr>
      <w:r>
        <w:rPr>
          <w:color w:val="000000" w:themeColor="text1"/>
          <w:sz w:val="28"/>
          <w:szCs w:val="28"/>
        </w:rPr>
        <w:t>（6）《国家发展改革委等部门关于印发</w:t>
      </w:r>
      <w:r>
        <w:rPr>
          <w:rFonts w:hint="eastAsia"/>
          <w:color w:val="000000" w:themeColor="text1"/>
          <w:sz w:val="28"/>
          <w:szCs w:val="28"/>
        </w:rPr>
        <w:t>〈</w:t>
      </w:r>
      <w:r>
        <w:rPr>
          <w:color w:val="000000" w:themeColor="text1"/>
          <w:sz w:val="28"/>
          <w:szCs w:val="28"/>
        </w:rPr>
        <w:t>“十四五”节水型社会建设规划</w:t>
      </w:r>
      <w:r>
        <w:rPr>
          <w:rFonts w:hint="eastAsia"/>
          <w:color w:val="000000" w:themeColor="text1"/>
          <w:sz w:val="28"/>
          <w:szCs w:val="28"/>
        </w:rPr>
        <w:t>〉</w:t>
      </w:r>
      <w:r>
        <w:rPr>
          <w:color w:val="000000" w:themeColor="text1"/>
          <w:sz w:val="28"/>
          <w:szCs w:val="28"/>
        </w:rPr>
        <w:t>的通知》（发改环资〔2021〕1516号）；</w:t>
      </w:r>
    </w:p>
    <w:p w14:paraId="6B42B84C">
      <w:pPr>
        <w:tabs>
          <w:tab w:val="left" w:pos="5400"/>
        </w:tabs>
        <w:spacing w:line="600" w:lineRule="exact"/>
        <w:ind w:firstLine="560" w:firstLineChars="200"/>
        <w:rPr>
          <w:color w:val="000000" w:themeColor="text1"/>
          <w:sz w:val="28"/>
          <w:szCs w:val="28"/>
        </w:rPr>
      </w:pPr>
      <w:r>
        <w:rPr>
          <w:color w:val="000000" w:themeColor="text1"/>
          <w:sz w:val="28"/>
          <w:szCs w:val="28"/>
        </w:rPr>
        <w:t>（7）《水利部 国家发展改革委关于印发“十四五”用水总量和强度双控目标的通知》（水节约〔2022〕113号）；</w:t>
      </w:r>
    </w:p>
    <w:p w14:paraId="70918696">
      <w:pPr>
        <w:tabs>
          <w:tab w:val="left" w:pos="5400"/>
        </w:tabs>
        <w:spacing w:line="600" w:lineRule="exact"/>
        <w:ind w:firstLine="560" w:firstLineChars="200"/>
        <w:rPr>
          <w:color w:val="000000" w:themeColor="text1"/>
          <w:sz w:val="28"/>
          <w:szCs w:val="28"/>
        </w:rPr>
      </w:pPr>
      <w:r>
        <w:rPr>
          <w:color w:val="000000" w:themeColor="text1"/>
          <w:sz w:val="28"/>
          <w:szCs w:val="28"/>
        </w:rPr>
        <w:t>（8）《山东省人民政府办公厅关于印发山东省实行最严格水资源管理制度考核暂行办法的通知》（鲁政办发〔2013〕14号）；</w:t>
      </w:r>
    </w:p>
    <w:p w14:paraId="61AED75C">
      <w:pPr>
        <w:tabs>
          <w:tab w:val="left" w:pos="5400"/>
        </w:tabs>
        <w:spacing w:line="600" w:lineRule="exact"/>
        <w:ind w:firstLine="560" w:firstLineChars="200"/>
        <w:rPr>
          <w:color w:val="000000" w:themeColor="text1"/>
          <w:sz w:val="28"/>
          <w:szCs w:val="28"/>
        </w:rPr>
      </w:pPr>
      <w:r>
        <w:rPr>
          <w:color w:val="000000" w:themeColor="text1"/>
          <w:sz w:val="28"/>
          <w:szCs w:val="28"/>
        </w:rPr>
        <w:t>（9）《山东省关于加强污水处理回用工作的意见》</w:t>
      </w:r>
      <w:r>
        <w:rPr>
          <w:rFonts w:hint="eastAsia"/>
          <w:color w:val="000000" w:themeColor="text1"/>
          <w:sz w:val="28"/>
          <w:szCs w:val="28"/>
        </w:rPr>
        <w:t>（</w:t>
      </w:r>
      <w:r>
        <w:rPr>
          <w:color w:val="000000" w:themeColor="text1"/>
          <w:sz w:val="28"/>
          <w:szCs w:val="28"/>
        </w:rPr>
        <w:t>鲁发改地环〔2011〕678 号</w:t>
      </w:r>
      <w:r>
        <w:rPr>
          <w:rFonts w:hint="eastAsia"/>
          <w:color w:val="000000" w:themeColor="text1"/>
          <w:sz w:val="28"/>
          <w:szCs w:val="28"/>
        </w:rPr>
        <w:t>）</w:t>
      </w:r>
      <w:r>
        <w:rPr>
          <w:color w:val="000000" w:themeColor="text1"/>
          <w:sz w:val="28"/>
          <w:szCs w:val="28"/>
        </w:rPr>
        <w:t>；</w:t>
      </w:r>
    </w:p>
    <w:p w14:paraId="04322AA0">
      <w:pPr>
        <w:tabs>
          <w:tab w:val="left" w:pos="5400"/>
        </w:tabs>
        <w:spacing w:line="600" w:lineRule="exact"/>
        <w:ind w:firstLine="560" w:firstLineChars="200"/>
        <w:rPr>
          <w:color w:val="000000" w:themeColor="text1"/>
          <w:sz w:val="28"/>
          <w:szCs w:val="28"/>
        </w:rPr>
      </w:pPr>
      <w:r>
        <w:rPr>
          <w:color w:val="000000" w:themeColor="text1"/>
          <w:sz w:val="28"/>
          <w:szCs w:val="28"/>
        </w:rPr>
        <w:t>（10）《山东省人民政府办公厅关于全面加强节约用水工作的通知》（2017年9月30日）；</w:t>
      </w:r>
    </w:p>
    <w:p w14:paraId="53074D54">
      <w:pPr>
        <w:tabs>
          <w:tab w:val="left" w:pos="5400"/>
        </w:tabs>
        <w:spacing w:line="600" w:lineRule="exact"/>
        <w:ind w:firstLine="560" w:firstLineChars="200"/>
        <w:rPr>
          <w:color w:val="000000" w:themeColor="text1"/>
          <w:sz w:val="28"/>
          <w:szCs w:val="28"/>
        </w:rPr>
      </w:pPr>
      <w:r>
        <w:rPr>
          <w:color w:val="000000" w:themeColor="text1"/>
          <w:sz w:val="28"/>
          <w:szCs w:val="28"/>
        </w:rPr>
        <w:t>（11）《山东省关于加强山东现代水网建设的决定》（</w:t>
      </w:r>
      <w:r>
        <w:rPr>
          <w:rFonts w:hint="eastAsia"/>
          <w:color w:val="000000" w:themeColor="text1"/>
          <w:sz w:val="28"/>
          <w:szCs w:val="28"/>
        </w:rPr>
        <w:t>2022年7月公布</w:t>
      </w:r>
      <w:r>
        <w:rPr>
          <w:color w:val="000000" w:themeColor="text1"/>
          <w:sz w:val="28"/>
          <w:szCs w:val="28"/>
        </w:rPr>
        <w:t>）；</w:t>
      </w:r>
    </w:p>
    <w:p w14:paraId="35E56A02">
      <w:pPr>
        <w:tabs>
          <w:tab w:val="left" w:pos="5400"/>
        </w:tabs>
        <w:spacing w:line="600" w:lineRule="exact"/>
        <w:ind w:firstLine="560" w:firstLineChars="200"/>
        <w:rPr>
          <w:color w:val="000000" w:themeColor="text1"/>
          <w:sz w:val="28"/>
          <w:szCs w:val="28"/>
        </w:rPr>
      </w:pPr>
      <w:r>
        <w:rPr>
          <w:color w:val="000000" w:themeColor="text1"/>
          <w:sz w:val="28"/>
          <w:szCs w:val="28"/>
        </w:rPr>
        <w:t>（12）《山东省住房和城乡建设厅 山东省发展和改革委员会关于印发“十四五”山东省城镇污水处理及资源化利用发展规划的通知》（鲁建城建字〔2022〕10号）；</w:t>
      </w:r>
    </w:p>
    <w:p w14:paraId="0C3B6B63">
      <w:pPr>
        <w:tabs>
          <w:tab w:val="left" w:pos="5400"/>
        </w:tabs>
        <w:spacing w:line="600" w:lineRule="exact"/>
        <w:ind w:firstLine="560" w:firstLineChars="200"/>
        <w:rPr>
          <w:color w:val="000000" w:themeColor="text1"/>
          <w:sz w:val="28"/>
          <w:szCs w:val="28"/>
        </w:rPr>
      </w:pPr>
      <w:r>
        <w:rPr>
          <w:color w:val="000000" w:themeColor="text1"/>
          <w:sz w:val="28"/>
          <w:szCs w:val="28"/>
        </w:rPr>
        <w:t>（13）《</w:t>
      </w:r>
      <w:r>
        <w:rPr>
          <w:rFonts w:hint="eastAsia"/>
          <w:color w:val="000000" w:themeColor="text1"/>
          <w:sz w:val="28"/>
          <w:szCs w:val="28"/>
        </w:rPr>
        <w:t>山东省关于加强再生水配置利用工作的意见</w:t>
      </w:r>
      <w:r>
        <w:rPr>
          <w:color w:val="000000" w:themeColor="text1"/>
          <w:sz w:val="28"/>
          <w:szCs w:val="28"/>
        </w:rPr>
        <w:t>》（</w:t>
      </w:r>
      <w:r>
        <w:rPr>
          <w:rFonts w:hint="eastAsia"/>
          <w:color w:val="000000" w:themeColor="text1"/>
          <w:sz w:val="28"/>
          <w:szCs w:val="28"/>
        </w:rPr>
        <w:t>鲁水节字</w:t>
      </w:r>
      <w:r>
        <w:rPr>
          <w:color w:val="000000" w:themeColor="text1"/>
          <w:sz w:val="28"/>
          <w:szCs w:val="28"/>
        </w:rPr>
        <w:t>〔20</w:t>
      </w:r>
      <w:r>
        <w:rPr>
          <w:rFonts w:hint="eastAsia"/>
          <w:color w:val="000000" w:themeColor="text1"/>
          <w:sz w:val="28"/>
          <w:szCs w:val="28"/>
        </w:rPr>
        <w:t>24</w:t>
      </w:r>
      <w:r>
        <w:rPr>
          <w:color w:val="000000" w:themeColor="text1"/>
          <w:sz w:val="28"/>
          <w:szCs w:val="28"/>
        </w:rPr>
        <w:t>〕</w:t>
      </w:r>
      <w:r>
        <w:rPr>
          <w:rFonts w:hint="eastAsia"/>
          <w:color w:val="000000" w:themeColor="text1"/>
          <w:sz w:val="28"/>
          <w:szCs w:val="28"/>
        </w:rPr>
        <w:t>1</w:t>
      </w:r>
      <w:r>
        <w:rPr>
          <w:color w:val="000000" w:themeColor="text1"/>
          <w:sz w:val="28"/>
          <w:szCs w:val="28"/>
        </w:rPr>
        <w:t>号）；</w:t>
      </w:r>
    </w:p>
    <w:p w14:paraId="4DF15A63">
      <w:pPr>
        <w:tabs>
          <w:tab w:val="left" w:pos="5400"/>
        </w:tabs>
        <w:spacing w:line="600" w:lineRule="exact"/>
        <w:ind w:firstLine="560" w:firstLineChars="200"/>
        <w:rPr>
          <w:color w:val="000000" w:themeColor="text1"/>
          <w:sz w:val="28"/>
          <w:szCs w:val="28"/>
        </w:rPr>
      </w:pPr>
      <w:r>
        <w:rPr>
          <w:color w:val="000000" w:themeColor="text1"/>
          <w:sz w:val="28"/>
          <w:szCs w:val="28"/>
        </w:rPr>
        <w:t>（14）《济南市人民政府关于加强水资源管理工作的意见》（济政发〔2021〕</w:t>
      </w:r>
      <w:r>
        <w:rPr>
          <w:rFonts w:hint="eastAsia"/>
          <w:color w:val="000000" w:themeColor="text1"/>
          <w:sz w:val="28"/>
          <w:szCs w:val="28"/>
        </w:rPr>
        <w:t>1</w:t>
      </w:r>
      <w:r>
        <w:rPr>
          <w:color w:val="000000" w:themeColor="text1"/>
          <w:sz w:val="28"/>
          <w:szCs w:val="28"/>
        </w:rPr>
        <w:t>号）</w:t>
      </w:r>
      <w:r>
        <w:rPr>
          <w:rFonts w:hint="eastAsia"/>
          <w:color w:val="000000" w:themeColor="text1"/>
          <w:sz w:val="28"/>
          <w:szCs w:val="28"/>
        </w:rPr>
        <w:t>；</w:t>
      </w:r>
    </w:p>
    <w:p w14:paraId="1399F91F">
      <w:pPr>
        <w:tabs>
          <w:tab w:val="left" w:pos="5400"/>
        </w:tabs>
        <w:spacing w:line="600" w:lineRule="exact"/>
        <w:ind w:firstLine="560" w:firstLineChars="200"/>
        <w:rPr>
          <w:color w:val="000000" w:themeColor="text1"/>
          <w:sz w:val="28"/>
          <w:szCs w:val="28"/>
        </w:rPr>
      </w:pPr>
      <w:r>
        <w:rPr>
          <w:color w:val="000000" w:themeColor="text1"/>
          <w:sz w:val="28"/>
          <w:szCs w:val="28"/>
        </w:rPr>
        <w:t>（15）《济南市城乡水务局关于印发各区县202</w:t>
      </w:r>
      <w:r>
        <w:rPr>
          <w:rFonts w:hint="eastAsia"/>
          <w:color w:val="000000" w:themeColor="text1"/>
          <w:sz w:val="28"/>
          <w:szCs w:val="28"/>
        </w:rPr>
        <w:t>3</w:t>
      </w:r>
      <w:r>
        <w:rPr>
          <w:color w:val="000000" w:themeColor="text1"/>
          <w:sz w:val="28"/>
          <w:szCs w:val="28"/>
        </w:rPr>
        <w:t>年度水资源管理控制目标的通知》（济水发〔202</w:t>
      </w:r>
      <w:r>
        <w:rPr>
          <w:rFonts w:hint="eastAsia"/>
          <w:color w:val="000000" w:themeColor="text1"/>
          <w:sz w:val="28"/>
          <w:szCs w:val="28"/>
        </w:rPr>
        <w:t>3</w:t>
      </w:r>
      <w:r>
        <w:rPr>
          <w:color w:val="000000" w:themeColor="text1"/>
          <w:sz w:val="28"/>
          <w:szCs w:val="28"/>
        </w:rPr>
        <w:t>〕</w:t>
      </w:r>
      <w:r>
        <w:rPr>
          <w:rFonts w:hint="eastAsia"/>
          <w:color w:val="000000" w:themeColor="text1"/>
          <w:sz w:val="28"/>
          <w:szCs w:val="28"/>
        </w:rPr>
        <w:t>52</w:t>
      </w:r>
      <w:r>
        <w:rPr>
          <w:color w:val="000000" w:themeColor="text1"/>
          <w:sz w:val="28"/>
          <w:szCs w:val="28"/>
        </w:rPr>
        <w:t>号）；</w:t>
      </w:r>
    </w:p>
    <w:p w14:paraId="777F7F84">
      <w:pPr>
        <w:tabs>
          <w:tab w:val="left" w:pos="5400"/>
        </w:tabs>
        <w:spacing w:line="600" w:lineRule="exact"/>
        <w:ind w:firstLine="560" w:firstLineChars="200"/>
        <w:rPr>
          <w:color w:val="000000" w:themeColor="text1"/>
          <w:sz w:val="28"/>
          <w:szCs w:val="28"/>
        </w:rPr>
      </w:pPr>
      <w:r>
        <w:rPr>
          <w:color w:val="000000" w:themeColor="text1"/>
          <w:sz w:val="28"/>
          <w:szCs w:val="28"/>
        </w:rPr>
        <w:t>（16）《济南市城乡水务局 济南市发展和改革委员会关于印发“十四五”用水总量和强度双控目标的通知》（济水发〔2022〕137号）；</w:t>
      </w:r>
    </w:p>
    <w:p w14:paraId="254360E0">
      <w:pPr>
        <w:tabs>
          <w:tab w:val="left" w:pos="5400"/>
        </w:tabs>
        <w:spacing w:line="600" w:lineRule="exact"/>
        <w:ind w:firstLine="560" w:firstLineChars="200"/>
        <w:rPr>
          <w:color w:val="000000" w:themeColor="text1"/>
          <w:sz w:val="28"/>
          <w:szCs w:val="28"/>
        </w:rPr>
      </w:pPr>
      <w:r>
        <w:rPr>
          <w:color w:val="000000" w:themeColor="text1"/>
          <w:sz w:val="28"/>
          <w:szCs w:val="28"/>
        </w:rPr>
        <w:t>（17）《济南市黄河流域水资源节约集约利用规定》（2023年4月1日起实施）</w:t>
      </w:r>
      <w:r>
        <w:rPr>
          <w:rFonts w:hint="eastAsia"/>
          <w:color w:val="000000" w:themeColor="text1"/>
          <w:sz w:val="28"/>
          <w:szCs w:val="28"/>
        </w:rPr>
        <w:t>；</w:t>
      </w:r>
    </w:p>
    <w:p w14:paraId="5B1F3D4C">
      <w:pPr>
        <w:tabs>
          <w:tab w:val="left" w:pos="5400"/>
        </w:tabs>
        <w:spacing w:line="600" w:lineRule="exact"/>
        <w:ind w:firstLine="560" w:firstLineChars="200"/>
        <w:rPr>
          <w:color w:val="000000" w:themeColor="text1"/>
          <w:sz w:val="28"/>
          <w:szCs w:val="28"/>
        </w:rPr>
      </w:pPr>
      <w:r>
        <w:rPr>
          <w:color w:val="000000" w:themeColor="text1"/>
          <w:sz w:val="28"/>
          <w:szCs w:val="28"/>
        </w:rPr>
        <w:t>（1</w:t>
      </w:r>
      <w:r>
        <w:rPr>
          <w:rFonts w:hint="eastAsia"/>
          <w:color w:val="000000" w:themeColor="text1"/>
          <w:sz w:val="28"/>
          <w:szCs w:val="28"/>
        </w:rPr>
        <w:t>8</w:t>
      </w:r>
      <w:r>
        <w:rPr>
          <w:color w:val="000000" w:themeColor="text1"/>
          <w:sz w:val="28"/>
          <w:szCs w:val="28"/>
        </w:rPr>
        <w:t>）《济南市人民政府办公厅关于印发济南市实行最严格水资源管理制度考核办法的通知》（济政办发〔2013〕30号）</w:t>
      </w:r>
      <w:r>
        <w:rPr>
          <w:rFonts w:hint="eastAsia"/>
          <w:color w:val="000000" w:themeColor="text1"/>
          <w:sz w:val="28"/>
          <w:szCs w:val="28"/>
        </w:rPr>
        <w:t>；</w:t>
      </w:r>
    </w:p>
    <w:p w14:paraId="3E8BA15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（19）《山东省水利厅关于开展再生水配置利用规划编制工作的通知》（鲁水节函字</w:t>
      </w:r>
      <w:r>
        <w:rPr>
          <w:color w:val="000000" w:themeColor="text1"/>
          <w:sz w:val="28"/>
          <w:szCs w:val="28"/>
        </w:rPr>
        <w:t>〔</w:t>
      </w:r>
      <w:r>
        <w:rPr>
          <w:rFonts w:hint="eastAsia"/>
          <w:color w:val="000000" w:themeColor="text1"/>
          <w:sz w:val="28"/>
          <w:szCs w:val="28"/>
        </w:rPr>
        <w:t>2024</w:t>
      </w:r>
      <w:r>
        <w:rPr>
          <w:color w:val="000000" w:themeColor="text1"/>
          <w:sz w:val="28"/>
          <w:szCs w:val="28"/>
        </w:rPr>
        <w:t>〕</w:t>
      </w:r>
      <w:r>
        <w:rPr>
          <w:rFonts w:hint="eastAsia"/>
          <w:color w:val="000000" w:themeColor="text1"/>
          <w:sz w:val="28"/>
          <w:szCs w:val="28"/>
        </w:rPr>
        <w:t>17号）；</w:t>
      </w:r>
    </w:p>
    <w:p w14:paraId="137E4D3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（20）《济南市人民政府关于加强济南市再生水利用工作的意见》（济政发</w:t>
      </w:r>
      <w:r>
        <w:rPr>
          <w:color w:val="000000" w:themeColor="text1"/>
          <w:sz w:val="28"/>
          <w:szCs w:val="28"/>
        </w:rPr>
        <w:t>〔</w:t>
      </w:r>
      <w:r>
        <w:rPr>
          <w:rFonts w:hint="eastAsia"/>
          <w:color w:val="000000" w:themeColor="text1"/>
          <w:sz w:val="28"/>
          <w:szCs w:val="28"/>
        </w:rPr>
        <w:t>2024</w:t>
      </w:r>
      <w:r>
        <w:rPr>
          <w:color w:val="000000" w:themeColor="text1"/>
          <w:sz w:val="28"/>
          <w:szCs w:val="28"/>
        </w:rPr>
        <w:t>〕</w:t>
      </w:r>
      <w:r>
        <w:rPr>
          <w:rFonts w:hint="eastAsia"/>
          <w:color w:val="000000" w:themeColor="text1"/>
          <w:sz w:val="28"/>
          <w:szCs w:val="28"/>
        </w:rPr>
        <w:t>1号）。</w:t>
      </w:r>
    </w:p>
    <w:p w14:paraId="5A6AE6E7">
      <w:pPr>
        <w:tabs>
          <w:tab w:val="left" w:pos="5400"/>
        </w:tabs>
        <w:spacing w:line="600" w:lineRule="exact"/>
        <w:outlineLvl w:val="2"/>
        <w:rPr>
          <w:b/>
          <w:color w:val="000000" w:themeColor="text1"/>
          <w:sz w:val="28"/>
          <w:szCs w:val="28"/>
        </w:rPr>
      </w:pPr>
      <w:bookmarkStart w:id="32" w:name="_Toc137737063"/>
      <w:bookmarkStart w:id="33" w:name="_Toc143780469"/>
      <w:bookmarkStart w:id="34" w:name="_Toc144243685"/>
      <w:r>
        <w:rPr>
          <w:b/>
          <w:color w:val="000000" w:themeColor="text1"/>
          <w:sz w:val="28"/>
          <w:szCs w:val="28"/>
        </w:rPr>
        <w:t>1.2.3 标准规范</w:t>
      </w:r>
      <w:bookmarkEnd w:id="32"/>
      <w:bookmarkEnd w:id="33"/>
      <w:bookmarkEnd w:id="34"/>
    </w:p>
    <w:p w14:paraId="62182750">
      <w:pPr>
        <w:tabs>
          <w:tab w:val="left" w:pos="5400"/>
        </w:tabs>
        <w:spacing w:line="600" w:lineRule="exact"/>
        <w:ind w:firstLine="560" w:firstLineChars="200"/>
        <w:rPr>
          <w:color w:val="000000" w:themeColor="text1"/>
          <w:sz w:val="28"/>
          <w:szCs w:val="28"/>
        </w:rPr>
      </w:pPr>
      <w:r>
        <w:rPr>
          <w:color w:val="000000" w:themeColor="text1"/>
          <w:sz w:val="28"/>
          <w:szCs w:val="28"/>
        </w:rPr>
        <w:t>（1）</w:t>
      </w:r>
      <w:r>
        <w:rPr>
          <w:rFonts w:hint="eastAsia"/>
          <w:color w:val="000000" w:themeColor="text1"/>
          <w:sz w:val="28"/>
          <w:szCs w:val="28"/>
        </w:rPr>
        <w:t>《城镇再生水利用规范编制指南》（SL 760-2018）；</w:t>
      </w:r>
    </w:p>
    <w:p w14:paraId="5229035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《水资源供需预测分析技术规范》（SL 429-2008）；</w:t>
      </w:r>
    </w:p>
    <w:p w14:paraId="6AD5E1E6">
      <w:pPr>
        <w:tabs>
          <w:tab w:val="left" w:pos="5400"/>
        </w:tabs>
        <w:spacing w:line="600" w:lineRule="exact"/>
        <w:ind w:firstLine="560" w:firstLineChars="200"/>
        <w:rPr>
          <w:color w:val="000000" w:themeColor="text1"/>
          <w:sz w:val="28"/>
          <w:szCs w:val="28"/>
        </w:rPr>
      </w:pPr>
      <w:r>
        <w:rPr>
          <w:color w:val="000000" w:themeColor="text1"/>
          <w:sz w:val="28"/>
          <w:szCs w:val="28"/>
        </w:rPr>
        <w:t>（3）《河湖生态需水评估导则（试行）》（SL/Z 479-2010）；</w:t>
      </w:r>
    </w:p>
    <w:p w14:paraId="2A482446">
      <w:pPr>
        <w:tabs>
          <w:tab w:val="left" w:pos="5400"/>
        </w:tabs>
        <w:spacing w:line="600" w:lineRule="exact"/>
        <w:ind w:firstLine="560" w:firstLineChars="200"/>
        <w:rPr>
          <w:color w:val="000000" w:themeColor="text1"/>
          <w:sz w:val="28"/>
          <w:szCs w:val="28"/>
        </w:rPr>
      </w:pPr>
      <w:r>
        <w:rPr>
          <w:color w:val="000000" w:themeColor="text1"/>
          <w:sz w:val="28"/>
          <w:szCs w:val="28"/>
        </w:rPr>
        <w:t>（4）《山东省节水型社会建设技术指标》（2006.6）；</w:t>
      </w:r>
    </w:p>
    <w:p w14:paraId="2CA464AD">
      <w:pPr>
        <w:tabs>
          <w:tab w:val="left" w:pos="5400"/>
        </w:tabs>
        <w:spacing w:line="600" w:lineRule="exact"/>
        <w:ind w:firstLine="560" w:firstLineChars="200"/>
        <w:rPr>
          <w:color w:val="000000" w:themeColor="text1"/>
          <w:sz w:val="28"/>
          <w:szCs w:val="28"/>
        </w:rPr>
      </w:pPr>
      <w:r>
        <w:rPr>
          <w:color w:val="000000" w:themeColor="text1"/>
          <w:sz w:val="28"/>
          <w:szCs w:val="28"/>
        </w:rPr>
        <w:t>（5）《地表水环境质量标准》（GB 3838-2002）；</w:t>
      </w:r>
    </w:p>
    <w:p w14:paraId="39B7131F">
      <w:pPr>
        <w:tabs>
          <w:tab w:val="left" w:pos="5400"/>
        </w:tabs>
        <w:spacing w:line="600" w:lineRule="exact"/>
        <w:ind w:firstLine="560" w:firstLineChars="200"/>
        <w:rPr>
          <w:color w:val="000000" w:themeColor="text1"/>
          <w:sz w:val="28"/>
          <w:szCs w:val="28"/>
        </w:rPr>
      </w:pPr>
      <w:r>
        <w:rPr>
          <w:color w:val="000000" w:themeColor="text1"/>
          <w:sz w:val="28"/>
          <w:szCs w:val="28"/>
        </w:rPr>
        <w:t>（6）《地下水质量标准》（GB/T 14848-2017）；</w:t>
      </w:r>
    </w:p>
    <w:p w14:paraId="3F6550AC">
      <w:pPr>
        <w:tabs>
          <w:tab w:val="left" w:pos="5400"/>
        </w:tabs>
        <w:spacing w:line="600" w:lineRule="exact"/>
        <w:ind w:firstLine="560" w:firstLineChars="200"/>
        <w:rPr>
          <w:color w:val="000000" w:themeColor="text1"/>
          <w:sz w:val="28"/>
          <w:szCs w:val="28"/>
        </w:rPr>
      </w:pPr>
      <w:r>
        <w:rPr>
          <w:color w:val="000000" w:themeColor="text1"/>
          <w:sz w:val="28"/>
          <w:szCs w:val="28"/>
        </w:rPr>
        <w:t>（7）《生活饮用水卫生标准》（GB 5749-2022）；</w:t>
      </w:r>
    </w:p>
    <w:p w14:paraId="2CD4AA1B">
      <w:pPr>
        <w:tabs>
          <w:tab w:val="left" w:pos="5400"/>
        </w:tabs>
        <w:spacing w:line="600" w:lineRule="exact"/>
        <w:ind w:firstLine="560" w:firstLineChars="200"/>
        <w:rPr>
          <w:color w:val="000000" w:themeColor="text1"/>
          <w:sz w:val="28"/>
          <w:szCs w:val="28"/>
        </w:rPr>
      </w:pPr>
      <w:r>
        <w:rPr>
          <w:color w:val="000000" w:themeColor="text1"/>
          <w:sz w:val="28"/>
          <w:szCs w:val="28"/>
        </w:rPr>
        <w:t>（8）《城市供水水质标准》（CJ/T 206-2005）；</w:t>
      </w:r>
    </w:p>
    <w:p w14:paraId="758E9C8E">
      <w:pPr>
        <w:tabs>
          <w:tab w:val="left" w:pos="5400"/>
        </w:tabs>
        <w:spacing w:line="600" w:lineRule="exact"/>
        <w:ind w:firstLine="560" w:firstLineChars="200"/>
        <w:rPr>
          <w:color w:val="000000" w:themeColor="text1"/>
          <w:sz w:val="28"/>
          <w:szCs w:val="28"/>
        </w:rPr>
      </w:pPr>
      <w:r>
        <w:rPr>
          <w:color w:val="000000" w:themeColor="text1"/>
          <w:sz w:val="28"/>
          <w:szCs w:val="28"/>
        </w:rPr>
        <w:t>（9）《城市用水分类标准》（CJ/T</w:t>
      </w:r>
      <w:r>
        <w:rPr>
          <w:rFonts w:hint="eastAsia"/>
          <w:color w:val="000000" w:themeColor="text1"/>
          <w:sz w:val="28"/>
          <w:szCs w:val="28"/>
        </w:rPr>
        <w:t xml:space="preserve"> </w:t>
      </w:r>
      <w:r>
        <w:rPr>
          <w:color w:val="000000" w:themeColor="text1"/>
          <w:sz w:val="28"/>
          <w:szCs w:val="28"/>
        </w:rPr>
        <w:t>3030-1999）；</w:t>
      </w:r>
    </w:p>
    <w:p w14:paraId="193FDDC6">
      <w:pPr>
        <w:tabs>
          <w:tab w:val="left" w:pos="5400"/>
        </w:tabs>
        <w:spacing w:line="600" w:lineRule="exact"/>
        <w:ind w:firstLine="560" w:firstLineChars="200"/>
        <w:rPr>
          <w:color w:val="000000" w:themeColor="text1"/>
          <w:sz w:val="28"/>
          <w:szCs w:val="28"/>
        </w:rPr>
      </w:pPr>
      <w:r>
        <w:rPr>
          <w:color w:val="000000" w:themeColor="text1"/>
          <w:sz w:val="28"/>
          <w:szCs w:val="28"/>
        </w:rPr>
        <w:t>（10）《城市排水工程规划规范》（GB 50318-20017）；</w:t>
      </w:r>
    </w:p>
    <w:p w14:paraId="422BA209">
      <w:pPr>
        <w:tabs>
          <w:tab w:val="left" w:pos="5400"/>
        </w:tabs>
        <w:spacing w:line="600" w:lineRule="exact"/>
        <w:ind w:firstLine="560" w:firstLineChars="200"/>
        <w:rPr>
          <w:color w:val="000000" w:themeColor="text1"/>
          <w:sz w:val="28"/>
          <w:szCs w:val="28"/>
        </w:rPr>
      </w:pPr>
      <w:r>
        <w:rPr>
          <w:color w:val="000000" w:themeColor="text1"/>
          <w:sz w:val="28"/>
          <w:szCs w:val="28"/>
        </w:rPr>
        <w:t>（11）《城市给水工程规划规范》（GB 50282-2016）；</w:t>
      </w:r>
    </w:p>
    <w:p w14:paraId="1EF41A73">
      <w:pPr>
        <w:tabs>
          <w:tab w:val="left" w:pos="5400"/>
        </w:tabs>
        <w:spacing w:line="600" w:lineRule="exact"/>
        <w:ind w:firstLine="560" w:firstLineChars="200"/>
        <w:rPr>
          <w:color w:val="000000" w:themeColor="text1"/>
          <w:sz w:val="28"/>
          <w:szCs w:val="28"/>
        </w:rPr>
      </w:pPr>
      <w:r>
        <w:rPr>
          <w:color w:val="000000" w:themeColor="text1"/>
          <w:sz w:val="28"/>
          <w:szCs w:val="28"/>
        </w:rPr>
        <w:t>（12）《室外排水设计规范》（GB</w:t>
      </w:r>
      <w:r>
        <w:rPr>
          <w:rFonts w:hint="eastAsia"/>
          <w:color w:val="000000" w:themeColor="text1"/>
          <w:sz w:val="28"/>
          <w:szCs w:val="28"/>
        </w:rPr>
        <w:t xml:space="preserve"> </w:t>
      </w:r>
      <w:r>
        <w:rPr>
          <w:color w:val="000000" w:themeColor="text1"/>
          <w:sz w:val="28"/>
          <w:szCs w:val="28"/>
        </w:rPr>
        <w:t>50014-2006）；</w:t>
      </w:r>
    </w:p>
    <w:p w14:paraId="15A765D4">
      <w:pPr>
        <w:tabs>
          <w:tab w:val="left" w:pos="5400"/>
        </w:tabs>
        <w:spacing w:line="600" w:lineRule="exact"/>
        <w:ind w:firstLine="560" w:firstLineChars="200"/>
        <w:rPr>
          <w:color w:val="000000" w:themeColor="text1"/>
          <w:sz w:val="28"/>
          <w:szCs w:val="28"/>
        </w:rPr>
      </w:pPr>
      <w:r>
        <w:rPr>
          <w:color w:val="000000" w:themeColor="text1"/>
          <w:sz w:val="28"/>
          <w:szCs w:val="28"/>
        </w:rPr>
        <w:t>（13）《建筑给水排水设计规范》（GB</w:t>
      </w:r>
      <w:r>
        <w:rPr>
          <w:rFonts w:hint="eastAsia"/>
          <w:color w:val="000000" w:themeColor="text1"/>
          <w:sz w:val="28"/>
          <w:szCs w:val="28"/>
        </w:rPr>
        <w:t xml:space="preserve"> </w:t>
      </w:r>
      <w:r>
        <w:rPr>
          <w:color w:val="000000" w:themeColor="text1"/>
          <w:sz w:val="28"/>
          <w:szCs w:val="28"/>
        </w:rPr>
        <w:t>50015-2003）；</w:t>
      </w:r>
    </w:p>
    <w:p w14:paraId="51FA2465">
      <w:pPr>
        <w:tabs>
          <w:tab w:val="left" w:pos="5400"/>
        </w:tabs>
        <w:spacing w:line="600" w:lineRule="exact"/>
        <w:ind w:firstLine="560" w:firstLineChars="200"/>
        <w:rPr>
          <w:color w:val="000000" w:themeColor="text1"/>
          <w:sz w:val="28"/>
          <w:szCs w:val="28"/>
        </w:rPr>
      </w:pPr>
      <w:r>
        <w:rPr>
          <w:color w:val="000000" w:themeColor="text1"/>
          <w:sz w:val="28"/>
          <w:szCs w:val="28"/>
        </w:rPr>
        <w:t>（14）《城镇污水处理厂污染物排放标准》（GB</w:t>
      </w:r>
      <w:r>
        <w:rPr>
          <w:rFonts w:hint="eastAsia"/>
          <w:color w:val="000000" w:themeColor="text1"/>
          <w:sz w:val="28"/>
          <w:szCs w:val="28"/>
        </w:rPr>
        <w:t xml:space="preserve"> </w:t>
      </w:r>
      <w:r>
        <w:rPr>
          <w:color w:val="000000" w:themeColor="text1"/>
          <w:sz w:val="28"/>
          <w:szCs w:val="28"/>
        </w:rPr>
        <w:t>18918-2002）；</w:t>
      </w:r>
    </w:p>
    <w:p w14:paraId="0453213E">
      <w:pPr>
        <w:tabs>
          <w:tab w:val="left" w:pos="5400"/>
        </w:tabs>
        <w:spacing w:line="600" w:lineRule="exact"/>
        <w:ind w:firstLine="560" w:firstLineChars="200"/>
        <w:rPr>
          <w:color w:val="000000" w:themeColor="text1"/>
          <w:sz w:val="28"/>
          <w:szCs w:val="28"/>
        </w:rPr>
      </w:pPr>
      <w:r>
        <w:rPr>
          <w:color w:val="000000" w:themeColor="text1"/>
          <w:sz w:val="28"/>
          <w:szCs w:val="28"/>
        </w:rPr>
        <w:t>（15）《污水排入城镇下水道水质标准》（CJ/T 343-2010）；</w:t>
      </w:r>
    </w:p>
    <w:p w14:paraId="042F063E">
      <w:pPr>
        <w:tabs>
          <w:tab w:val="left" w:pos="5400"/>
        </w:tabs>
        <w:spacing w:line="600" w:lineRule="exact"/>
        <w:ind w:firstLine="560" w:firstLineChars="200"/>
        <w:rPr>
          <w:color w:val="000000" w:themeColor="text1"/>
          <w:sz w:val="28"/>
          <w:szCs w:val="28"/>
        </w:rPr>
      </w:pPr>
      <w:r>
        <w:rPr>
          <w:color w:val="000000" w:themeColor="text1"/>
          <w:sz w:val="28"/>
          <w:szCs w:val="28"/>
        </w:rPr>
        <w:t>（16）《</w:t>
      </w:r>
      <w:r>
        <w:rPr>
          <w:rFonts w:hint="eastAsia"/>
          <w:color w:val="000000" w:themeColor="text1"/>
          <w:sz w:val="28"/>
          <w:szCs w:val="28"/>
        </w:rPr>
        <w:t>城镇污水再生利用工程设计规范</w:t>
      </w:r>
      <w:r>
        <w:rPr>
          <w:color w:val="000000" w:themeColor="text1"/>
          <w:sz w:val="28"/>
          <w:szCs w:val="28"/>
        </w:rPr>
        <w:t>》（GB/T</w:t>
      </w:r>
      <w:r>
        <w:rPr>
          <w:rFonts w:hint="eastAsia"/>
          <w:color w:val="000000" w:themeColor="text1"/>
          <w:sz w:val="28"/>
          <w:szCs w:val="28"/>
        </w:rPr>
        <w:t xml:space="preserve"> </w:t>
      </w:r>
      <w:r>
        <w:rPr>
          <w:color w:val="000000" w:themeColor="text1"/>
          <w:sz w:val="28"/>
          <w:szCs w:val="28"/>
        </w:rPr>
        <w:t>50335-2016）；</w:t>
      </w:r>
    </w:p>
    <w:p w14:paraId="63E48180">
      <w:pPr>
        <w:tabs>
          <w:tab w:val="left" w:pos="5400"/>
        </w:tabs>
        <w:spacing w:line="600" w:lineRule="exact"/>
        <w:ind w:firstLine="560" w:firstLineChars="200"/>
        <w:rPr>
          <w:color w:val="000000" w:themeColor="text1"/>
          <w:sz w:val="28"/>
          <w:szCs w:val="28"/>
        </w:rPr>
      </w:pPr>
      <w:r>
        <w:rPr>
          <w:color w:val="000000" w:themeColor="text1"/>
          <w:sz w:val="28"/>
          <w:szCs w:val="28"/>
        </w:rPr>
        <w:t>（17）《再生水利用效益评价指南》（T/CSES 01-2019）</w:t>
      </w:r>
      <w:r>
        <w:rPr>
          <w:rFonts w:hint="eastAsia"/>
          <w:color w:val="000000" w:themeColor="text1"/>
          <w:sz w:val="28"/>
          <w:szCs w:val="28"/>
        </w:rPr>
        <w:t>；</w:t>
      </w:r>
    </w:p>
    <w:p w14:paraId="4E6F704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w:t>
      </w:r>
      <w:r>
        <w:rPr>
          <w:color w:val="000000" w:themeColor="text1"/>
          <w:sz w:val="28"/>
          <w:szCs w:val="28"/>
        </w:rPr>
        <w:t>18</w:t>
      </w:r>
      <w:r>
        <w:rPr>
          <w:rFonts w:hint="eastAsia"/>
          <w:color w:val="000000" w:themeColor="text1"/>
          <w:sz w:val="28"/>
          <w:szCs w:val="28"/>
        </w:rPr>
        <w:t>）《城市污水再生回灌农田安全技术规范标准》（GB/T 22103-2008）；</w:t>
      </w:r>
    </w:p>
    <w:p w14:paraId="1B0F2D47">
      <w:pPr>
        <w:tabs>
          <w:tab w:val="left" w:pos="5400"/>
        </w:tabs>
        <w:spacing w:line="600" w:lineRule="exact"/>
        <w:ind w:firstLine="560" w:firstLineChars="200"/>
        <w:rPr>
          <w:color w:val="000000" w:themeColor="text1"/>
          <w:sz w:val="28"/>
          <w:szCs w:val="28"/>
        </w:rPr>
      </w:pPr>
      <w:r>
        <w:rPr>
          <w:color w:val="000000" w:themeColor="text1"/>
          <w:sz w:val="28"/>
          <w:szCs w:val="28"/>
        </w:rPr>
        <w:t>（19）</w:t>
      </w:r>
      <w:r>
        <w:rPr>
          <w:rFonts w:hint="eastAsia"/>
          <w:color w:val="000000" w:themeColor="text1"/>
          <w:sz w:val="28"/>
          <w:szCs w:val="28"/>
        </w:rPr>
        <w:t>《城市污水再生利用 景观环境用水水质》（GB/T 18921-2019）</w:t>
      </w:r>
      <w:r>
        <w:rPr>
          <w:color w:val="000000" w:themeColor="text1"/>
          <w:sz w:val="28"/>
          <w:szCs w:val="28"/>
        </w:rPr>
        <w:t>；</w:t>
      </w:r>
    </w:p>
    <w:p w14:paraId="3048AB79">
      <w:pPr>
        <w:tabs>
          <w:tab w:val="left" w:pos="5400"/>
        </w:tabs>
        <w:spacing w:line="600" w:lineRule="exact"/>
        <w:ind w:firstLine="560" w:firstLineChars="200"/>
        <w:rPr>
          <w:color w:val="000000" w:themeColor="text1"/>
          <w:sz w:val="28"/>
          <w:szCs w:val="28"/>
        </w:rPr>
      </w:pPr>
      <w:r>
        <w:rPr>
          <w:color w:val="000000" w:themeColor="text1"/>
          <w:sz w:val="28"/>
          <w:szCs w:val="28"/>
        </w:rPr>
        <w:t>（20）</w:t>
      </w:r>
      <w:r>
        <w:rPr>
          <w:rFonts w:hint="eastAsia"/>
          <w:color w:val="000000" w:themeColor="text1"/>
          <w:sz w:val="28"/>
          <w:szCs w:val="28"/>
        </w:rPr>
        <w:t>《城市污水再生利用 城市杂用水水质》（GB/T 18920-20</w:t>
      </w:r>
      <w:r>
        <w:rPr>
          <w:color w:val="000000" w:themeColor="text1"/>
          <w:sz w:val="28"/>
          <w:szCs w:val="28"/>
        </w:rPr>
        <w:t>20</w:t>
      </w:r>
      <w:r>
        <w:rPr>
          <w:rFonts w:hint="eastAsia"/>
          <w:color w:val="000000" w:themeColor="text1"/>
          <w:sz w:val="28"/>
          <w:szCs w:val="28"/>
        </w:rPr>
        <w:t>）；</w:t>
      </w:r>
    </w:p>
    <w:p w14:paraId="6EE72103">
      <w:pPr>
        <w:tabs>
          <w:tab w:val="left" w:pos="5400"/>
        </w:tabs>
        <w:spacing w:line="600" w:lineRule="exact"/>
        <w:ind w:firstLine="560" w:firstLineChars="200"/>
        <w:rPr>
          <w:color w:val="000000" w:themeColor="text1"/>
          <w:sz w:val="28"/>
          <w:szCs w:val="28"/>
        </w:rPr>
      </w:pPr>
      <w:r>
        <w:rPr>
          <w:color w:val="000000" w:themeColor="text1"/>
          <w:sz w:val="28"/>
          <w:szCs w:val="28"/>
        </w:rPr>
        <w:t>（21）</w:t>
      </w:r>
      <w:r>
        <w:rPr>
          <w:rFonts w:hint="eastAsia"/>
          <w:color w:val="000000" w:themeColor="text1"/>
          <w:sz w:val="28"/>
          <w:szCs w:val="28"/>
        </w:rPr>
        <w:t>《城市污水再生利用 地下水回灌水质》（GB/T 19772-2005）</w:t>
      </w:r>
      <w:r>
        <w:rPr>
          <w:color w:val="000000" w:themeColor="text1"/>
          <w:sz w:val="28"/>
          <w:szCs w:val="28"/>
        </w:rPr>
        <w:t>；</w:t>
      </w:r>
    </w:p>
    <w:p w14:paraId="35276237">
      <w:pPr>
        <w:tabs>
          <w:tab w:val="left" w:pos="5400"/>
        </w:tabs>
        <w:spacing w:line="600" w:lineRule="exact"/>
        <w:ind w:firstLine="560" w:firstLineChars="200"/>
        <w:rPr>
          <w:color w:val="000000" w:themeColor="text1"/>
          <w:sz w:val="28"/>
          <w:szCs w:val="28"/>
        </w:rPr>
      </w:pPr>
      <w:r>
        <w:rPr>
          <w:color w:val="000000" w:themeColor="text1"/>
          <w:sz w:val="28"/>
          <w:szCs w:val="28"/>
        </w:rPr>
        <w:t>（22）</w:t>
      </w:r>
      <w:r>
        <w:rPr>
          <w:rFonts w:hint="eastAsia"/>
          <w:color w:val="000000" w:themeColor="text1"/>
          <w:sz w:val="28"/>
          <w:szCs w:val="28"/>
        </w:rPr>
        <w:t>《城市污水再生利用 工业用水水质》（GB/T 19923-2024）</w:t>
      </w:r>
      <w:r>
        <w:rPr>
          <w:color w:val="000000" w:themeColor="text1"/>
          <w:sz w:val="28"/>
          <w:szCs w:val="28"/>
        </w:rPr>
        <w:t>；</w:t>
      </w:r>
    </w:p>
    <w:p w14:paraId="1535DA1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3</w:t>
      </w:r>
      <w:r>
        <w:rPr>
          <w:rFonts w:hint="eastAsia"/>
          <w:color w:val="000000" w:themeColor="text1"/>
          <w:sz w:val="28"/>
          <w:szCs w:val="28"/>
        </w:rPr>
        <w:t>）《城市污水再生利用 绿地灌溉水质》（GB/T 25499-2010）；</w:t>
      </w:r>
    </w:p>
    <w:p w14:paraId="0B35AB4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4</w:t>
      </w:r>
      <w:r>
        <w:rPr>
          <w:rFonts w:hint="eastAsia"/>
          <w:color w:val="000000" w:themeColor="text1"/>
          <w:sz w:val="28"/>
          <w:szCs w:val="28"/>
        </w:rPr>
        <w:t>）《城市污水再生利用 农田灌溉用水水质》</w:t>
      </w:r>
      <w:r>
        <w:rPr>
          <w:rFonts w:hint="eastAsia"/>
          <w:color w:val="000000" w:themeColor="text1"/>
          <w:sz w:val="28"/>
          <w:szCs w:val="28"/>
          <w:lang w:eastAsia="zh-CN"/>
        </w:rPr>
        <w:t>（</w:t>
      </w:r>
      <w:r>
        <w:rPr>
          <w:rFonts w:hint="eastAsia"/>
          <w:color w:val="000000" w:themeColor="text1"/>
          <w:sz w:val="28"/>
          <w:szCs w:val="28"/>
        </w:rPr>
        <w:t>GB 20922-2007）；</w:t>
      </w:r>
    </w:p>
    <w:p w14:paraId="52A972A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5</w:t>
      </w:r>
      <w:r>
        <w:rPr>
          <w:rFonts w:hint="eastAsia"/>
          <w:color w:val="000000" w:themeColor="text1"/>
          <w:sz w:val="28"/>
          <w:szCs w:val="28"/>
        </w:rPr>
        <w:t>）《水回用导则再生水厂水质管理》（GB/T 41016-2021）；</w:t>
      </w:r>
    </w:p>
    <w:p w14:paraId="643D9902">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6</w:t>
      </w:r>
      <w:r>
        <w:rPr>
          <w:rFonts w:hint="eastAsia"/>
          <w:color w:val="000000" w:themeColor="text1"/>
          <w:sz w:val="28"/>
          <w:szCs w:val="28"/>
        </w:rPr>
        <w:t>）《水回用导则 污水再生处理技术与工艺评价方法》（GB/T 41017-2021）；</w:t>
      </w:r>
    </w:p>
    <w:p w14:paraId="499FA83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7</w:t>
      </w:r>
      <w:r>
        <w:rPr>
          <w:rFonts w:hint="eastAsia"/>
          <w:color w:val="000000" w:themeColor="text1"/>
          <w:sz w:val="28"/>
          <w:szCs w:val="28"/>
        </w:rPr>
        <w:t>）《水回用导则 再生水分级》（GB/T 41018-2021）；</w:t>
      </w:r>
    </w:p>
    <w:p w14:paraId="28ED597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8</w:t>
      </w:r>
      <w:r>
        <w:rPr>
          <w:rFonts w:hint="eastAsia"/>
          <w:color w:val="000000" w:themeColor="text1"/>
          <w:sz w:val="28"/>
          <w:szCs w:val="28"/>
        </w:rPr>
        <w:t>）《水回用导则再生水利用效益评价》（GBT42247-2022）；</w:t>
      </w:r>
    </w:p>
    <w:p w14:paraId="5C1C271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w:t>
      </w:r>
      <w:r>
        <w:rPr>
          <w:color w:val="000000" w:themeColor="text1"/>
          <w:sz w:val="28"/>
          <w:szCs w:val="28"/>
        </w:rPr>
        <w:t>29</w:t>
      </w:r>
      <w:r>
        <w:rPr>
          <w:rFonts w:hint="eastAsia"/>
          <w:color w:val="000000" w:themeColor="text1"/>
          <w:sz w:val="28"/>
          <w:szCs w:val="28"/>
        </w:rPr>
        <w:t>）《城镇污水再生利用技术指南》（2012年12月）。</w:t>
      </w:r>
    </w:p>
    <w:p w14:paraId="350E661D">
      <w:pPr>
        <w:tabs>
          <w:tab w:val="left" w:pos="5400"/>
        </w:tabs>
        <w:spacing w:line="600" w:lineRule="exact"/>
        <w:outlineLvl w:val="2"/>
        <w:rPr>
          <w:b/>
          <w:color w:val="000000" w:themeColor="text1"/>
          <w:sz w:val="28"/>
          <w:szCs w:val="28"/>
        </w:rPr>
      </w:pPr>
      <w:bookmarkStart w:id="35" w:name="_Toc143780470"/>
      <w:bookmarkStart w:id="36" w:name="_Toc144243686"/>
      <w:bookmarkStart w:id="37" w:name="_Toc137737064"/>
      <w:r>
        <w:rPr>
          <w:b/>
          <w:color w:val="000000" w:themeColor="text1"/>
          <w:sz w:val="28"/>
          <w:szCs w:val="28"/>
        </w:rPr>
        <w:t>1.2.4 参考资料与文献</w:t>
      </w:r>
      <w:bookmarkEnd w:id="35"/>
      <w:bookmarkEnd w:id="36"/>
      <w:bookmarkEnd w:id="37"/>
    </w:p>
    <w:p w14:paraId="5F729544">
      <w:pPr>
        <w:tabs>
          <w:tab w:val="left" w:pos="5400"/>
        </w:tabs>
        <w:spacing w:line="600" w:lineRule="exact"/>
        <w:ind w:firstLine="560" w:firstLineChars="200"/>
        <w:rPr>
          <w:color w:val="000000" w:themeColor="text1"/>
          <w:sz w:val="28"/>
          <w:szCs w:val="28"/>
        </w:rPr>
      </w:pPr>
      <w:r>
        <w:rPr>
          <w:color w:val="000000" w:themeColor="text1"/>
          <w:sz w:val="28"/>
          <w:szCs w:val="28"/>
        </w:rPr>
        <w:t>（1）《“十四五”城镇污水处理及资源化利用发展规划》（</w:t>
      </w:r>
      <w:r>
        <w:rPr>
          <w:rFonts w:hint="eastAsia"/>
          <w:color w:val="000000" w:themeColor="text1"/>
          <w:sz w:val="28"/>
          <w:szCs w:val="28"/>
        </w:rPr>
        <w:t>国家发展改革委 住房和城乡建设部，</w:t>
      </w:r>
      <w:r>
        <w:rPr>
          <w:color w:val="000000" w:themeColor="text1"/>
          <w:sz w:val="28"/>
          <w:szCs w:val="28"/>
        </w:rPr>
        <w:t>2020年11月）；</w:t>
      </w:r>
    </w:p>
    <w:p w14:paraId="49D53DD3">
      <w:pPr>
        <w:tabs>
          <w:tab w:val="left" w:pos="5400"/>
        </w:tabs>
        <w:spacing w:line="600" w:lineRule="exact"/>
        <w:ind w:firstLine="560" w:firstLineChars="200"/>
        <w:rPr>
          <w:color w:val="000000" w:themeColor="text1"/>
          <w:sz w:val="28"/>
          <w:szCs w:val="28"/>
        </w:rPr>
      </w:pPr>
      <w:r>
        <w:rPr>
          <w:color w:val="000000" w:themeColor="text1"/>
          <w:sz w:val="28"/>
          <w:szCs w:val="28"/>
        </w:rPr>
        <w:t>（2）《“十四五”城镇污水处理及资源化利用发展规划》；</w:t>
      </w:r>
    </w:p>
    <w:p w14:paraId="391C11B8">
      <w:pPr>
        <w:tabs>
          <w:tab w:val="left" w:pos="5400"/>
        </w:tabs>
        <w:spacing w:line="600" w:lineRule="exact"/>
        <w:ind w:firstLine="560" w:firstLineChars="200"/>
        <w:rPr>
          <w:color w:val="000000" w:themeColor="text1"/>
          <w:sz w:val="28"/>
          <w:szCs w:val="28"/>
        </w:rPr>
      </w:pPr>
      <w:r>
        <w:rPr>
          <w:color w:val="000000" w:themeColor="text1"/>
          <w:sz w:val="28"/>
          <w:szCs w:val="28"/>
        </w:rPr>
        <w:t>（3）《“十四五”节水型社会建设规划》；</w:t>
      </w:r>
    </w:p>
    <w:p w14:paraId="14B1A59E">
      <w:pPr>
        <w:tabs>
          <w:tab w:val="left" w:pos="5400"/>
        </w:tabs>
        <w:spacing w:line="600" w:lineRule="exact"/>
        <w:ind w:firstLine="560" w:firstLineChars="200"/>
        <w:rPr>
          <w:color w:val="000000" w:themeColor="text1"/>
          <w:sz w:val="28"/>
          <w:szCs w:val="28"/>
        </w:rPr>
      </w:pPr>
      <w:r>
        <w:rPr>
          <w:color w:val="000000" w:themeColor="text1"/>
          <w:sz w:val="28"/>
          <w:szCs w:val="28"/>
        </w:rPr>
        <w:t>（4）《区域再生水循环利用试点实施方案》（</w:t>
      </w:r>
      <w:r>
        <w:rPr>
          <w:rFonts w:hint="eastAsia"/>
          <w:color w:val="000000" w:themeColor="text1"/>
          <w:sz w:val="28"/>
          <w:szCs w:val="28"/>
        </w:rPr>
        <w:t>生态环境部等四部委，</w:t>
      </w:r>
      <w:r>
        <w:rPr>
          <w:color w:val="000000" w:themeColor="text1"/>
          <w:sz w:val="28"/>
          <w:szCs w:val="28"/>
        </w:rPr>
        <w:t>2021年12月）；</w:t>
      </w:r>
    </w:p>
    <w:p w14:paraId="7D469D2F">
      <w:pPr>
        <w:tabs>
          <w:tab w:val="left" w:pos="5400"/>
        </w:tabs>
        <w:spacing w:line="600" w:lineRule="exact"/>
        <w:ind w:firstLine="560" w:firstLineChars="200"/>
        <w:rPr>
          <w:color w:val="000000" w:themeColor="text1"/>
          <w:sz w:val="28"/>
          <w:szCs w:val="28"/>
        </w:rPr>
      </w:pPr>
      <w:r>
        <w:rPr>
          <w:color w:val="000000" w:themeColor="text1"/>
          <w:sz w:val="28"/>
          <w:szCs w:val="28"/>
        </w:rPr>
        <w:t>（5）《黄河流域生态保护和高质量发展规划纲要》（</w:t>
      </w:r>
      <w:r>
        <w:rPr>
          <w:rFonts w:hint="eastAsia"/>
          <w:color w:val="000000" w:themeColor="text1"/>
          <w:sz w:val="28"/>
          <w:szCs w:val="28"/>
        </w:rPr>
        <w:t>中共中央、国务院，</w:t>
      </w:r>
      <w:r>
        <w:rPr>
          <w:color w:val="000000" w:themeColor="text1"/>
          <w:sz w:val="28"/>
          <w:szCs w:val="28"/>
        </w:rPr>
        <w:t>2021年10月）；</w:t>
      </w:r>
    </w:p>
    <w:p w14:paraId="3C72075C">
      <w:pPr>
        <w:tabs>
          <w:tab w:val="left" w:pos="5400"/>
        </w:tabs>
        <w:spacing w:line="600" w:lineRule="exact"/>
        <w:ind w:firstLine="560" w:firstLineChars="200"/>
        <w:rPr>
          <w:color w:val="000000" w:themeColor="text1"/>
          <w:sz w:val="28"/>
          <w:szCs w:val="28"/>
        </w:rPr>
      </w:pPr>
      <w:r>
        <w:rPr>
          <w:color w:val="000000" w:themeColor="text1"/>
          <w:sz w:val="28"/>
          <w:szCs w:val="28"/>
        </w:rPr>
        <w:t>（6）《山东省水资源综合利用中长期规划</w:t>
      </w:r>
      <w:r>
        <w:rPr>
          <w:rFonts w:hint="eastAsia"/>
          <w:color w:val="000000" w:themeColor="text1"/>
          <w:sz w:val="28"/>
          <w:szCs w:val="28"/>
        </w:rPr>
        <w:t>（</w:t>
      </w:r>
      <w:r>
        <w:rPr>
          <w:color w:val="000000" w:themeColor="text1"/>
          <w:sz w:val="28"/>
          <w:szCs w:val="28"/>
        </w:rPr>
        <w:t>2016</w:t>
      </w:r>
      <w:r>
        <w:rPr>
          <w:rFonts w:hint="eastAsia"/>
          <w:color w:val="000000" w:themeColor="text1"/>
          <w:sz w:val="28"/>
          <w:szCs w:val="28"/>
        </w:rPr>
        <w:t>—</w:t>
      </w:r>
      <w:r>
        <w:rPr>
          <w:color w:val="000000" w:themeColor="text1"/>
          <w:sz w:val="28"/>
          <w:szCs w:val="28"/>
        </w:rPr>
        <w:t>2030年</w:t>
      </w:r>
      <w:r>
        <w:rPr>
          <w:rFonts w:hint="eastAsia"/>
          <w:color w:val="000000" w:themeColor="text1"/>
          <w:sz w:val="28"/>
          <w:szCs w:val="28"/>
        </w:rPr>
        <w:t>）</w:t>
      </w:r>
      <w:r>
        <w:rPr>
          <w:color w:val="000000" w:themeColor="text1"/>
          <w:sz w:val="28"/>
          <w:szCs w:val="28"/>
        </w:rPr>
        <w:t>》（</w:t>
      </w:r>
      <w:r>
        <w:rPr>
          <w:rFonts w:hint="eastAsia"/>
          <w:color w:val="000000" w:themeColor="text1"/>
          <w:sz w:val="28"/>
          <w:szCs w:val="28"/>
        </w:rPr>
        <w:t>山东省水利厅</w:t>
      </w:r>
      <w:r>
        <w:rPr>
          <w:color w:val="000000" w:themeColor="text1"/>
          <w:sz w:val="28"/>
          <w:szCs w:val="28"/>
        </w:rPr>
        <w:t>）；</w:t>
      </w:r>
    </w:p>
    <w:p w14:paraId="7D913A3F">
      <w:pPr>
        <w:tabs>
          <w:tab w:val="left" w:pos="5400"/>
        </w:tabs>
        <w:spacing w:line="600" w:lineRule="exact"/>
        <w:ind w:firstLine="560" w:firstLineChars="200"/>
        <w:rPr>
          <w:color w:val="000000" w:themeColor="text1"/>
          <w:sz w:val="28"/>
          <w:szCs w:val="28"/>
        </w:rPr>
      </w:pPr>
      <w:r>
        <w:rPr>
          <w:color w:val="000000" w:themeColor="text1"/>
          <w:sz w:val="28"/>
          <w:szCs w:val="28"/>
        </w:rPr>
        <w:t>（7）《山东省“十四五”节水用水规划》（</w:t>
      </w:r>
      <w:r>
        <w:rPr>
          <w:rFonts w:hint="eastAsia"/>
          <w:color w:val="000000" w:themeColor="text1"/>
          <w:sz w:val="28"/>
          <w:szCs w:val="28"/>
        </w:rPr>
        <w:t>山东省水利厅，</w:t>
      </w:r>
      <w:r>
        <w:rPr>
          <w:color w:val="000000" w:themeColor="text1"/>
          <w:sz w:val="28"/>
          <w:szCs w:val="28"/>
        </w:rPr>
        <w:t>2021年12月）；</w:t>
      </w:r>
    </w:p>
    <w:p w14:paraId="47747D52">
      <w:pPr>
        <w:tabs>
          <w:tab w:val="left" w:pos="5400"/>
        </w:tabs>
        <w:spacing w:line="600" w:lineRule="exact"/>
        <w:ind w:firstLine="560" w:firstLineChars="200"/>
        <w:rPr>
          <w:color w:val="000000" w:themeColor="text1"/>
          <w:sz w:val="28"/>
          <w:szCs w:val="28"/>
        </w:rPr>
      </w:pPr>
      <w:r>
        <w:rPr>
          <w:color w:val="000000" w:themeColor="text1"/>
          <w:sz w:val="28"/>
          <w:szCs w:val="28"/>
        </w:rPr>
        <w:t>（8）《山东省水安全保障总体规划》（山东省水利厅，2017年12月）；</w:t>
      </w:r>
    </w:p>
    <w:p w14:paraId="3653A94C">
      <w:pPr>
        <w:tabs>
          <w:tab w:val="left" w:pos="5400"/>
        </w:tabs>
        <w:spacing w:line="600" w:lineRule="exact"/>
        <w:ind w:firstLine="560" w:firstLineChars="200"/>
        <w:rPr>
          <w:color w:val="000000" w:themeColor="text1"/>
          <w:sz w:val="28"/>
          <w:szCs w:val="28"/>
        </w:rPr>
      </w:pPr>
      <w:r>
        <w:rPr>
          <w:color w:val="000000" w:themeColor="text1"/>
          <w:sz w:val="28"/>
          <w:szCs w:val="28"/>
        </w:rPr>
        <w:t>（9）《山东省落实国家节水行动实施方案》（山东省水利厅，2019年11月）；</w:t>
      </w:r>
    </w:p>
    <w:p w14:paraId="09F768E9">
      <w:pPr>
        <w:tabs>
          <w:tab w:val="left" w:pos="5400"/>
        </w:tabs>
        <w:spacing w:line="600" w:lineRule="exact"/>
        <w:ind w:firstLine="560" w:firstLineChars="200"/>
        <w:rPr>
          <w:color w:val="000000" w:themeColor="text1"/>
          <w:sz w:val="28"/>
          <w:szCs w:val="28"/>
        </w:rPr>
      </w:pPr>
      <w:r>
        <w:rPr>
          <w:color w:val="000000" w:themeColor="text1"/>
          <w:sz w:val="28"/>
          <w:szCs w:val="28"/>
        </w:rPr>
        <w:t>（10）《山东省“十四五”水利发展规划》（</w:t>
      </w:r>
      <w:r>
        <w:rPr>
          <w:rFonts w:hint="eastAsia"/>
          <w:color w:val="000000" w:themeColor="text1"/>
          <w:sz w:val="28"/>
          <w:szCs w:val="28"/>
        </w:rPr>
        <w:t>山东省人民政府</w:t>
      </w:r>
      <w:r>
        <w:rPr>
          <w:color w:val="000000" w:themeColor="text1"/>
          <w:sz w:val="28"/>
          <w:szCs w:val="28"/>
        </w:rPr>
        <w:t>，2021年9月）；</w:t>
      </w:r>
    </w:p>
    <w:p w14:paraId="34087E0F">
      <w:pPr>
        <w:tabs>
          <w:tab w:val="left" w:pos="5400"/>
        </w:tabs>
        <w:spacing w:line="600" w:lineRule="exact"/>
        <w:ind w:firstLine="560" w:firstLineChars="200"/>
        <w:rPr>
          <w:color w:val="000000" w:themeColor="text1"/>
          <w:sz w:val="28"/>
          <w:szCs w:val="28"/>
        </w:rPr>
      </w:pPr>
      <w:r>
        <w:rPr>
          <w:color w:val="000000" w:themeColor="text1"/>
          <w:sz w:val="28"/>
          <w:szCs w:val="28"/>
        </w:rPr>
        <w:t>（11）《山东省水资源管理与保护“十四五”规划》（山东省水利厅，2021年12月）；</w:t>
      </w:r>
    </w:p>
    <w:p w14:paraId="0D2C13A7">
      <w:pPr>
        <w:tabs>
          <w:tab w:val="left" w:pos="5400"/>
        </w:tabs>
        <w:spacing w:line="600" w:lineRule="exact"/>
        <w:ind w:firstLine="560" w:firstLineChars="200"/>
        <w:rPr>
          <w:color w:val="000000" w:themeColor="text1"/>
          <w:sz w:val="28"/>
          <w:szCs w:val="28"/>
        </w:rPr>
      </w:pPr>
      <w:r>
        <w:rPr>
          <w:color w:val="000000" w:themeColor="text1"/>
          <w:sz w:val="28"/>
          <w:szCs w:val="28"/>
        </w:rPr>
        <w:t>（12）《山东省全面推进水资源节约集约利用实施方案》（</w:t>
      </w:r>
      <w:r>
        <w:rPr>
          <w:rFonts w:hint="eastAsia"/>
          <w:color w:val="000000" w:themeColor="text1"/>
          <w:sz w:val="28"/>
          <w:szCs w:val="28"/>
        </w:rPr>
        <w:t>鲁发改环资〔2022〕446号</w:t>
      </w:r>
      <w:r>
        <w:rPr>
          <w:color w:val="000000" w:themeColor="text1"/>
          <w:sz w:val="28"/>
          <w:szCs w:val="28"/>
        </w:rPr>
        <w:t>）；</w:t>
      </w:r>
    </w:p>
    <w:p w14:paraId="1C0D7E8B">
      <w:pPr>
        <w:tabs>
          <w:tab w:val="left" w:pos="5400"/>
        </w:tabs>
        <w:spacing w:line="600" w:lineRule="exact"/>
        <w:ind w:firstLine="560" w:firstLineChars="200"/>
        <w:rPr>
          <w:color w:val="000000" w:themeColor="text1"/>
          <w:sz w:val="28"/>
          <w:szCs w:val="28"/>
        </w:rPr>
      </w:pPr>
      <w:r>
        <w:rPr>
          <w:color w:val="000000" w:themeColor="text1"/>
          <w:sz w:val="28"/>
          <w:szCs w:val="28"/>
        </w:rPr>
        <w:t>（13）《山东省黄河流域生态保护和高质量发展规划》（鲁政办字</w:t>
      </w:r>
      <w:r>
        <w:rPr>
          <w:rFonts w:hint="eastAsia"/>
          <w:color w:val="000000" w:themeColor="text1"/>
          <w:sz w:val="28"/>
          <w:szCs w:val="28"/>
        </w:rPr>
        <w:t>〔</w:t>
      </w:r>
      <w:r>
        <w:rPr>
          <w:color w:val="000000" w:themeColor="text1"/>
          <w:sz w:val="28"/>
          <w:szCs w:val="28"/>
        </w:rPr>
        <w:t>2022</w:t>
      </w:r>
      <w:r>
        <w:rPr>
          <w:rFonts w:hint="eastAsia"/>
          <w:color w:val="000000" w:themeColor="text1"/>
          <w:sz w:val="28"/>
          <w:szCs w:val="28"/>
        </w:rPr>
        <w:t>〕</w:t>
      </w:r>
      <w:r>
        <w:rPr>
          <w:color w:val="000000" w:themeColor="text1"/>
          <w:sz w:val="28"/>
          <w:szCs w:val="28"/>
        </w:rPr>
        <w:t>95号）；</w:t>
      </w:r>
    </w:p>
    <w:p w14:paraId="5AF88522">
      <w:pPr>
        <w:tabs>
          <w:tab w:val="left" w:pos="5400"/>
        </w:tabs>
        <w:spacing w:line="600" w:lineRule="exact"/>
        <w:ind w:firstLine="560" w:firstLineChars="200"/>
        <w:rPr>
          <w:color w:val="000000" w:themeColor="text1"/>
          <w:sz w:val="28"/>
          <w:szCs w:val="28"/>
        </w:rPr>
      </w:pPr>
      <w:r>
        <w:rPr>
          <w:color w:val="000000" w:themeColor="text1"/>
          <w:sz w:val="28"/>
          <w:szCs w:val="28"/>
        </w:rPr>
        <w:t>（14）《济南市水资源综合利用中长期规划（2016-2030）》；</w:t>
      </w:r>
    </w:p>
    <w:p w14:paraId="406B7738">
      <w:pPr>
        <w:tabs>
          <w:tab w:val="left" w:pos="5400"/>
        </w:tabs>
        <w:spacing w:line="600" w:lineRule="exact"/>
        <w:ind w:firstLine="560" w:firstLineChars="200"/>
        <w:rPr>
          <w:color w:val="000000" w:themeColor="text1"/>
          <w:sz w:val="28"/>
          <w:szCs w:val="28"/>
        </w:rPr>
      </w:pPr>
      <w:r>
        <w:rPr>
          <w:color w:val="000000" w:themeColor="text1"/>
          <w:sz w:val="28"/>
          <w:szCs w:val="28"/>
        </w:rPr>
        <w:t>（15）《济南市水资源综合调查与评价》（山东省水文水资源勘测局，2010）；</w:t>
      </w:r>
    </w:p>
    <w:p w14:paraId="4B9FC43D">
      <w:pPr>
        <w:tabs>
          <w:tab w:val="left" w:pos="5400"/>
        </w:tabs>
        <w:spacing w:line="600" w:lineRule="exact"/>
        <w:ind w:firstLine="560" w:firstLineChars="200"/>
        <w:rPr>
          <w:color w:val="000000" w:themeColor="text1"/>
          <w:sz w:val="28"/>
          <w:szCs w:val="28"/>
        </w:rPr>
      </w:pPr>
      <w:r>
        <w:rPr>
          <w:color w:val="000000" w:themeColor="text1"/>
          <w:sz w:val="28"/>
          <w:szCs w:val="28"/>
        </w:rPr>
        <w:t>（16）《济南市“十四五”水务发展规划》（济南市</w:t>
      </w:r>
      <w:r>
        <w:rPr>
          <w:rFonts w:hint="eastAsia"/>
          <w:color w:val="000000" w:themeColor="text1"/>
          <w:sz w:val="28"/>
          <w:szCs w:val="28"/>
        </w:rPr>
        <w:t>人民</w:t>
      </w:r>
      <w:r>
        <w:rPr>
          <w:color w:val="000000" w:themeColor="text1"/>
          <w:sz w:val="28"/>
          <w:szCs w:val="28"/>
        </w:rPr>
        <w:t>政府，2021.12）；</w:t>
      </w:r>
    </w:p>
    <w:p w14:paraId="4B383F7C">
      <w:pPr>
        <w:tabs>
          <w:tab w:val="left" w:pos="5400"/>
        </w:tabs>
        <w:spacing w:line="600" w:lineRule="exact"/>
        <w:ind w:firstLine="560" w:firstLineChars="200"/>
        <w:rPr>
          <w:color w:val="000000" w:themeColor="text1"/>
          <w:sz w:val="28"/>
          <w:szCs w:val="28"/>
        </w:rPr>
      </w:pPr>
      <w:r>
        <w:rPr>
          <w:color w:val="000000" w:themeColor="text1"/>
          <w:sz w:val="28"/>
          <w:szCs w:val="28"/>
        </w:rPr>
        <w:t>（17）《济南节水典范城市建设方案》（济南市人民政府，2021.5）；</w:t>
      </w:r>
    </w:p>
    <w:p w14:paraId="47E86465">
      <w:pPr>
        <w:tabs>
          <w:tab w:val="left" w:pos="5400"/>
        </w:tabs>
        <w:spacing w:line="600" w:lineRule="exact"/>
        <w:ind w:firstLine="560" w:firstLineChars="200"/>
        <w:rPr>
          <w:color w:val="000000" w:themeColor="text1"/>
          <w:sz w:val="28"/>
          <w:szCs w:val="28"/>
        </w:rPr>
      </w:pPr>
      <w:r>
        <w:rPr>
          <w:color w:val="000000" w:themeColor="text1"/>
          <w:sz w:val="28"/>
          <w:szCs w:val="28"/>
        </w:rPr>
        <w:t>（18）《济南市“十四五”节约用水规划》（济南市政府办公厅，2022.3）；</w:t>
      </w:r>
    </w:p>
    <w:p w14:paraId="5AA99C8B">
      <w:pPr>
        <w:tabs>
          <w:tab w:val="left" w:pos="5400"/>
        </w:tabs>
        <w:spacing w:line="600" w:lineRule="exact"/>
        <w:ind w:firstLine="560" w:firstLineChars="200"/>
        <w:rPr>
          <w:color w:val="000000" w:themeColor="text1"/>
          <w:sz w:val="28"/>
          <w:szCs w:val="28"/>
        </w:rPr>
      </w:pPr>
      <w:r>
        <w:rPr>
          <w:color w:val="000000" w:themeColor="text1"/>
          <w:sz w:val="28"/>
          <w:szCs w:val="28"/>
        </w:rPr>
        <w:t>（19）《济南市黄河流域生态保护和高质量发展规划》（2021年10月）；</w:t>
      </w:r>
    </w:p>
    <w:p w14:paraId="2C4A7E14">
      <w:pPr>
        <w:tabs>
          <w:tab w:val="left" w:pos="5400"/>
        </w:tabs>
        <w:spacing w:line="600" w:lineRule="exact"/>
        <w:ind w:firstLine="560" w:firstLineChars="200"/>
        <w:rPr>
          <w:color w:val="000000" w:themeColor="text1"/>
          <w:sz w:val="28"/>
          <w:szCs w:val="28"/>
        </w:rPr>
      </w:pPr>
      <w:r>
        <w:rPr>
          <w:color w:val="000000" w:themeColor="text1"/>
          <w:sz w:val="28"/>
          <w:szCs w:val="28"/>
        </w:rPr>
        <w:t>（20）《平阴县地表水水功能区划》（平政字</w:t>
      </w:r>
      <w:r>
        <w:rPr>
          <w:rFonts w:hint="eastAsia"/>
          <w:color w:val="000000" w:themeColor="text1"/>
          <w:sz w:val="28"/>
          <w:szCs w:val="28"/>
        </w:rPr>
        <w:t>〔</w:t>
      </w:r>
      <w:r>
        <w:rPr>
          <w:color w:val="000000" w:themeColor="text1"/>
          <w:sz w:val="28"/>
          <w:szCs w:val="28"/>
        </w:rPr>
        <w:t>2017</w:t>
      </w:r>
      <w:r>
        <w:rPr>
          <w:rFonts w:hint="eastAsia"/>
          <w:color w:val="000000" w:themeColor="text1"/>
          <w:sz w:val="28"/>
          <w:szCs w:val="28"/>
        </w:rPr>
        <w:t>〕</w:t>
      </w:r>
      <w:r>
        <w:rPr>
          <w:color w:val="000000" w:themeColor="text1"/>
          <w:sz w:val="28"/>
          <w:szCs w:val="28"/>
        </w:rPr>
        <w:t>91号）；</w:t>
      </w:r>
    </w:p>
    <w:p w14:paraId="38E2A4A1">
      <w:pPr>
        <w:tabs>
          <w:tab w:val="left" w:pos="5400"/>
        </w:tabs>
        <w:spacing w:line="600" w:lineRule="exact"/>
        <w:ind w:firstLine="560" w:firstLineChars="200"/>
        <w:rPr>
          <w:color w:val="000000" w:themeColor="text1"/>
          <w:sz w:val="28"/>
          <w:szCs w:val="28"/>
        </w:rPr>
      </w:pPr>
      <w:r>
        <w:rPr>
          <w:color w:val="000000" w:themeColor="text1"/>
          <w:sz w:val="28"/>
          <w:szCs w:val="28"/>
        </w:rPr>
        <w:t>（21）《平阴县城市总体规划（2017</w:t>
      </w:r>
      <w:r>
        <w:rPr>
          <w:rFonts w:hint="eastAsia"/>
          <w:color w:val="000000" w:themeColor="text1"/>
          <w:sz w:val="28"/>
          <w:szCs w:val="28"/>
        </w:rPr>
        <w:t>—</w:t>
      </w:r>
      <w:r>
        <w:rPr>
          <w:color w:val="000000" w:themeColor="text1"/>
          <w:sz w:val="28"/>
          <w:szCs w:val="28"/>
        </w:rPr>
        <w:t>2035年）》；</w:t>
      </w:r>
    </w:p>
    <w:p w14:paraId="4CDEE75F">
      <w:pPr>
        <w:tabs>
          <w:tab w:val="left" w:pos="5400"/>
        </w:tabs>
        <w:spacing w:line="600" w:lineRule="exact"/>
        <w:ind w:firstLine="560" w:firstLineChars="200"/>
        <w:rPr>
          <w:color w:val="000000" w:themeColor="text1"/>
          <w:sz w:val="28"/>
          <w:szCs w:val="28"/>
        </w:rPr>
      </w:pPr>
      <w:r>
        <w:rPr>
          <w:color w:val="000000" w:themeColor="text1"/>
          <w:sz w:val="28"/>
          <w:szCs w:val="28"/>
        </w:rPr>
        <w:t>（22）《平阴县2023年统计年鉴》；</w:t>
      </w:r>
    </w:p>
    <w:p w14:paraId="3B8D64D8">
      <w:pPr>
        <w:tabs>
          <w:tab w:val="left" w:pos="5400"/>
        </w:tabs>
        <w:spacing w:line="600" w:lineRule="exact"/>
        <w:ind w:firstLine="560" w:firstLineChars="200"/>
        <w:rPr>
          <w:color w:val="000000" w:themeColor="text1"/>
          <w:sz w:val="28"/>
          <w:szCs w:val="28"/>
        </w:rPr>
      </w:pPr>
      <w:r>
        <w:rPr>
          <w:color w:val="000000" w:themeColor="text1"/>
          <w:sz w:val="28"/>
          <w:szCs w:val="28"/>
        </w:rPr>
        <w:t>（23）《平阴县节约用水规划（2021</w:t>
      </w:r>
      <w:r>
        <w:rPr>
          <w:rFonts w:hint="eastAsia"/>
          <w:color w:val="000000" w:themeColor="text1"/>
          <w:sz w:val="28"/>
          <w:szCs w:val="28"/>
        </w:rPr>
        <w:t>—</w:t>
      </w:r>
      <w:r>
        <w:rPr>
          <w:color w:val="000000" w:themeColor="text1"/>
          <w:sz w:val="28"/>
          <w:szCs w:val="28"/>
        </w:rPr>
        <w:t>2035）》</w:t>
      </w:r>
      <w:r>
        <w:rPr>
          <w:rFonts w:hint="eastAsia"/>
          <w:color w:val="000000" w:themeColor="text1"/>
          <w:sz w:val="28"/>
          <w:szCs w:val="28"/>
        </w:rPr>
        <w:t>；</w:t>
      </w:r>
    </w:p>
    <w:p w14:paraId="240E84EB">
      <w:pPr>
        <w:tabs>
          <w:tab w:val="left" w:pos="5400"/>
        </w:tabs>
        <w:spacing w:line="600" w:lineRule="exact"/>
        <w:ind w:firstLine="560" w:firstLineChars="200"/>
        <w:rPr>
          <w:color w:val="000000" w:themeColor="text1"/>
          <w:sz w:val="28"/>
          <w:szCs w:val="28"/>
        </w:rPr>
      </w:pPr>
      <w:r>
        <w:rPr>
          <w:color w:val="000000" w:themeColor="text1"/>
          <w:sz w:val="28"/>
          <w:szCs w:val="28"/>
        </w:rPr>
        <w:t>（24）《平阴县水资源公报表》（201</w:t>
      </w:r>
      <w:r>
        <w:rPr>
          <w:rFonts w:hint="eastAsia"/>
          <w:color w:val="000000" w:themeColor="text1"/>
          <w:sz w:val="28"/>
          <w:szCs w:val="28"/>
        </w:rPr>
        <w:t>9—</w:t>
      </w:r>
      <w:r>
        <w:rPr>
          <w:color w:val="000000" w:themeColor="text1"/>
          <w:sz w:val="28"/>
          <w:szCs w:val="28"/>
        </w:rPr>
        <w:t>202</w:t>
      </w:r>
      <w:r>
        <w:rPr>
          <w:rFonts w:hint="eastAsia"/>
          <w:color w:val="000000" w:themeColor="text1"/>
          <w:sz w:val="28"/>
          <w:szCs w:val="28"/>
        </w:rPr>
        <w:t>3</w:t>
      </w:r>
      <w:r>
        <w:rPr>
          <w:color w:val="000000" w:themeColor="text1"/>
          <w:sz w:val="28"/>
          <w:szCs w:val="28"/>
        </w:rPr>
        <w:t>年）；</w:t>
      </w:r>
    </w:p>
    <w:p w14:paraId="5ACAD21B">
      <w:pPr>
        <w:tabs>
          <w:tab w:val="left" w:pos="5400"/>
        </w:tabs>
        <w:spacing w:line="600" w:lineRule="exact"/>
        <w:ind w:firstLine="560" w:firstLineChars="200"/>
        <w:rPr>
          <w:color w:val="000000" w:themeColor="text1"/>
          <w:sz w:val="28"/>
          <w:szCs w:val="28"/>
        </w:rPr>
      </w:pPr>
      <w:r>
        <w:rPr>
          <w:color w:val="000000" w:themeColor="text1"/>
          <w:sz w:val="28"/>
          <w:szCs w:val="28"/>
        </w:rPr>
        <w:t>（25）《山东平阴经济开发区调区规划水资源论证报告》（2023年4月）；</w:t>
      </w:r>
    </w:p>
    <w:p w14:paraId="1B9557B9">
      <w:pPr>
        <w:tabs>
          <w:tab w:val="left" w:pos="5400"/>
        </w:tabs>
        <w:spacing w:line="600" w:lineRule="exact"/>
        <w:ind w:firstLine="560" w:firstLineChars="200"/>
        <w:rPr>
          <w:color w:val="000000" w:themeColor="text1"/>
          <w:sz w:val="28"/>
          <w:szCs w:val="28"/>
        </w:rPr>
      </w:pPr>
      <w:r>
        <w:rPr>
          <w:color w:val="000000" w:themeColor="text1"/>
          <w:sz w:val="28"/>
          <w:szCs w:val="28"/>
        </w:rPr>
        <w:t>（26）《平阴县水资源综合利用中长期规划（2016</w:t>
      </w:r>
      <w:r>
        <w:rPr>
          <w:rFonts w:hint="eastAsia"/>
          <w:color w:val="000000" w:themeColor="text1"/>
          <w:sz w:val="28"/>
          <w:szCs w:val="28"/>
        </w:rPr>
        <w:t>—</w:t>
      </w:r>
      <w:r>
        <w:rPr>
          <w:color w:val="000000" w:themeColor="text1"/>
          <w:sz w:val="28"/>
          <w:szCs w:val="28"/>
        </w:rPr>
        <w:t>2030）》；</w:t>
      </w:r>
    </w:p>
    <w:p w14:paraId="5A45CBCD">
      <w:pPr>
        <w:tabs>
          <w:tab w:val="left" w:pos="5400"/>
        </w:tabs>
        <w:spacing w:line="600" w:lineRule="exact"/>
        <w:ind w:firstLine="560" w:firstLineChars="200"/>
        <w:rPr>
          <w:color w:val="000000" w:themeColor="text1"/>
          <w:sz w:val="28"/>
          <w:szCs w:val="28"/>
        </w:rPr>
      </w:pPr>
      <w:r>
        <w:rPr>
          <w:color w:val="000000" w:themeColor="text1"/>
          <w:sz w:val="28"/>
          <w:szCs w:val="28"/>
        </w:rPr>
        <w:t>（27）《平阴县国土空间总体规划（2021</w:t>
      </w:r>
      <w:r>
        <w:rPr>
          <w:rFonts w:hint="eastAsia"/>
          <w:color w:val="000000" w:themeColor="text1"/>
          <w:sz w:val="28"/>
          <w:szCs w:val="28"/>
        </w:rPr>
        <w:t>—</w:t>
      </w:r>
      <w:r>
        <w:rPr>
          <w:color w:val="000000" w:themeColor="text1"/>
          <w:sz w:val="28"/>
          <w:szCs w:val="28"/>
        </w:rPr>
        <w:t>2035年）》；</w:t>
      </w:r>
    </w:p>
    <w:p w14:paraId="4D7DE4A8">
      <w:pPr>
        <w:tabs>
          <w:tab w:val="left" w:pos="5400"/>
        </w:tabs>
        <w:spacing w:line="600" w:lineRule="exact"/>
        <w:ind w:firstLine="560" w:firstLineChars="200"/>
        <w:rPr>
          <w:color w:val="000000" w:themeColor="text1"/>
          <w:sz w:val="28"/>
          <w:szCs w:val="28"/>
        </w:rPr>
      </w:pPr>
      <w:r>
        <w:rPr>
          <w:color w:val="000000" w:themeColor="text1"/>
          <w:sz w:val="28"/>
          <w:szCs w:val="28"/>
        </w:rPr>
        <w:t>（28）《平阴县中心城区污水专项规划（2017</w:t>
      </w:r>
      <w:r>
        <w:rPr>
          <w:rFonts w:hint="eastAsia"/>
          <w:color w:val="000000" w:themeColor="text1"/>
          <w:sz w:val="28"/>
          <w:szCs w:val="28"/>
        </w:rPr>
        <w:t>—</w:t>
      </w:r>
      <w:r>
        <w:rPr>
          <w:color w:val="000000" w:themeColor="text1"/>
          <w:sz w:val="28"/>
          <w:szCs w:val="28"/>
        </w:rPr>
        <w:t>2035年）》；</w:t>
      </w:r>
    </w:p>
    <w:p w14:paraId="7D4EB8CA">
      <w:pPr>
        <w:tabs>
          <w:tab w:val="left" w:pos="5400"/>
        </w:tabs>
        <w:spacing w:line="600" w:lineRule="exact"/>
        <w:ind w:firstLine="560" w:firstLineChars="200"/>
        <w:rPr>
          <w:color w:val="000000" w:themeColor="text1"/>
          <w:sz w:val="28"/>
          <w:szCs w:val="28"/>
        </w:rPr>
      </w:pPr>
      <w:r>
        <w:rPr>
          <w:color w:val="000000" w:themeColor="text1"/>
          <w:sz w:val="28"/>
          <w:szCs w:val="28"/>
        </w:rPr>
        <w:t>（29）《平阴县中心城区排水（雨水）防涝综合规划（2017</w:t>
      </w:r>
      <w:r>
        <w:rPr>
          <w:rFonts w:hint="eastAsia"/>
          <w:color w:val="000000" w:themeColor="text1"/>
          <w:sz w:val="28"/>
          <w:szCs w:val="28"/>
        </w:rPr>
        <w:t>—</w:t>
      </w:r>
      <w:r>
        <w:rPr>
          <w:color w:val="000000" w:themeColor="text1"/>
          <w:sz w:val="28"/>
          <w:szCs w:val="28"/>
        </w:rPr>
        <w:t>2035 年）》；</w:t>
      </w:r>
    </w:p>
    <w:p w14:paraId="39E4461D">
      <w:pPr>
        <w:tabs>
          <w:tab w:val="left" w:pos="5400"/>
        </w:tabs>
        <w:spacing w:line="600" w:lineRule="exact"/>
        <w:ind w:firstLine="560" w:firstLineChars="200"/>
        <w:rPr>
          <w:color w:val="000000" w:themeColor="text1"/>
          <w:sz w:val="28"/>
          <w:szCs w:val="28"/>
        </w:rPr>
      </w:pPr>
      <w:r>
        <w:rPr>
          <w:color w:val="000000" w:themeColor="text1"/>
          <w:sz w:val="28"/>
          <w:szCs w:val="28"/>
        </w:rPr>
        <w:t>（30）《平阴县城乡污水处理统筹规划（2017</w:t>
      </w:r>
      <w:r>
        <w:rPr>
          <w:rFonts w:hint="eastAsia"/>
          <w:color w:val="000000" w:themeColor="text1"/>
          <w:sz w:val="28"/>
          <w:szCs w:val="28"/>
        </w:rPr>
        <w:t>—</w:t>
      </w:r>
      <w:r>
        <w:rPr>
          <w:color w:val="000000" w:themeColor="text1"/>
          <w:sz w:val="28"/>
          <w:szCs w:val="28"/>
        </w:rPr>
        <w:t>2035）》；</w:t>
      </w:r>
    </w:p>
    <w:p w14:paraId="78F751C5">
      <w:pPr>
        <w:tabs>
          <w:tab w:val="left" w:pos="5400"/>
        </w:tabs>
        <w:spacing w:line="600" w:lineRule="exact"/>
        <w:ind w:firstLine="560" w:firstLineChars="200"/>
        <w:rPr>
          <w:color w:val="000000" w:themeColor="text1"/>
          <w:sz w:val="28"/>
          <w:szCs w:val="28"/>
        </w:rPr>
      </w:pPr>
      <w:r>
        <w:rPr>
          <w:color w:val="000000" w:themeColor="text1"/>
          <w:sz w:val="28"/>
          <w:szCs w:val="28"/>
        </w:rPr>
        <w:t>（31）《平阴县黄河流域生态保护</w:t>
      </w:r>
      <w:r>
        <w:rPr>
          <w:rFonts w:hint="eastAsia"/>
          <w:color w:val="000000" w:themeColor="text1"/>
          <w:sz w:val="28"/>
          <w:szCs w:val="28"/>
        </w:rPr>
        <w:t>和</w:t>
      </w:r>
      <w:r>
        <w:rPr>
          <w:color w:val="000000" w:themeColor="text1"/>
          <w:sz w:val="28"/>
          <w:szCs w:val="28"/>
        </w:rPr>
        <w:t>高质量发展规划》；</w:t>
      </w:r>
    </w:p>
    <w:p w14:paraId="3EDCD355">
      <w:pPr>
        <w:tabs>
          <w:tab w:val="left" w:pos="5400"/>
        </w:tabs>
        <w:spacing w:line="600" w:lineRule="exact"/>
        <w:ind w:firstLine="560" w:firstLineChars="200"/>
        <w:rPr>
          <w:color w:val="000000" w:themeColor="text1"/>
          <w:sz w:val="28"/>
          <w:szCs w:val="28"/>
        </w:rPr>
      </w:pPr>
      <w:r>
        <w:rPr>
          <w:color w:val="000000" w:themeColor="text1"/>
          <w:sz w:val="28"/>
          <w:szCs w:val="28"/>
        </w:rPr>
        <w:t>（32）其他与本项目相关资料。</w:t>
      </w:r>
    </w:p>
    <w:p w14:paraId="25136F4F">
      <w:pPr>
        <w:snapToGrid w:val="0"/>
        <w:spacing w:before="120" w:beforeLines="50" w:after="120" w:afterLines="50" w:line="600" w:lineRule="exact"/>
        <w:outlineLvl w:val="1"/>
        <w:rPr>
          <w:b/>
          <w:color w:val="000000" w:themeColor="text1"/>
          <w:sz w:val="30"/>
          <w:szCs w:val="30"/>
        </w:rPr>
      </w:pPr>
      <w:bookmarkStart w:id="38" w:name="_Toc181472920"/>
      <w:bookmarkStart w:id="39" w:name="_Toc144243687"/>
      <w:r>
        <w:rPr>
          <w:b/>
          <w:color w:val="000000" w:themeColor="text1"/>
          <w:sz w:val="30"/>
          <w:szCs w:val="30"/>
        </w:rPr>
        <w:t>1.3 规划</w:t>
      </w:r>
      <w:r>
        <w:rPr>
          <w:rFonts w:hint="eastAsia"/>
          <w:b/>
          <w:color w:val="000000" w:themeColor="text1"/>
          <w:sz w:val="30"/>
          <w:szCs w:val="30"/>
        </w:rPr>
        <w:t>目的</w:t>
      </w:r>
      <w:bookmarkEnd w:id="38"/>
      <w:bookmarkEnd w:id="39"/>
    </w:p>
    <w:p w14:paraId="61AB117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近些年，平阴县积极推进实施再生水利用工作，主要用于景观河生态补水、炭素工业企业、绿化及道路喷洒等，而热电、钢铁加工等工业及其他行业未利用再生水，具有再生水利用量不足，利用率偏低，配置不合理等特点。为进一步推进平阴县污水资源化和再生水利用工作，建立水资源节约集约利用统筹协调机制，将再生水纳入平阴县水资源统一配置，挖掘再生水利用潜力，结合</w:t>
      </w:r>
      <w:r>
        <w:rPr>
          <w:color w:val="000000" w:themeColor="text1"/>
          <w:sz w:val="28"/>
          <w:szCs w:val="28"/>
        </w:rPr>
        <w:t>《平阴县国土空间总体规划》《平阴县城乡污水处理统筹规划》《平阴县黄河流域生态保护</w:t>
      </w:r>
      <w:r>
        <w:rPr>
          <w:rFonts w:hint="eastAsia"/>
          <w:color w:val="000000" w:themeColor="text1"/>
          <w:sz w:val="28"/>
          <w:szCs w:val="28"/>
        </w:rPr>
        <w:t>和</w:t>
      </w:r>
      <w:r>
        <w:rPr>
          <w:color w:val="000000" w:themeColor="text1"/>
          <w:sz w:val="28"/>
          <w:szCs w:val="28"/>
        </w:rPr>
        <w:t>高质量发展规划》</w:t>
      </w:r>
      <w:r>
        <w:rPr>
          <w:rFonts w:hint="eastAsia"/>
          <w:color w:val="000000" w:themeColor="text1"/>
          <w:sz w:val="28"/>
          <w:szCs w:val="28"/>
        </w:rPr>
        <w:t>等规划，编制平阴县再生水利用规划。通过规划实施，加大平阴县对再生水利用，进而缓解平阴县水资源短缺，优化平阴县供水结构，改善水环境质量，保障平阴县水生态安全，促进黄河流域水生态保护工作和高质量发展，全面贯彻落实“节水优先”“四水四定”、黄河流域生态保护和高质量发展的工作要求</w:t>
      </w:r>
      <w:r>
        <w:rPr>
          <w:color w:val="000000" w:themeColor="text1"/>
          <w:sz w:val="28"/>
          <w:szCs w:val="28"/>
        </w:rPr>
        <w:t>。</w:t>
      </w:r>
    </w:p>
    <w:p w14:paraId="7502E872">
      <w:pPr>
        <w:snapToGrid w:val="0"/>
        <w:spacing w:before="120" w:beforeLines="50" w:after="120" w:afterLines="50" w:line="600" w:lineRule="exact"/>
        <w:outlineLvl w:val="1"/>
        <w:rPr>
          <w:b/>
          <w:color w:val="000000" w:themeColor="text1"/>
          <w:sz w:val="30"/>
          <w:szCs w:val="30"/>
        </w:rPr>
      </w:pPr>
      <w:bookmarkStart w:id="40" w:name="_Toc181472921"/>
      <w:bookmarkStart w:id="41" w:name="_Toc144243688"/>
      <w:bookmarkStart w:id="42" w:name="_Toc55920525"/>
      <w:r>
        <w:rPr>
          <w:b/>
          <w:color w:val="000000" w:themeColor="text1"/>
          <w:sz w:val="30"/>
          <w:szCs w:val="30"/>
        </w:rPr>
        <w:t>1.4 规划指导思想与基本原则</w:t>
      </w:r>
      <w:bookmarkEnd w:id="40"/>
      <w:bookmarkEnd w:id="41"/>
    </w:p>
    <w:p w14:paraId="0B9C4FAF">
      <w:pPr>
        <w:autoSpaceDE w:val="0"/>
        <w:autoSpaceDN w:val="0"/>
        <w:adjustRightInd w:val="0"/>
        <w:snapToGrid w:val="0"/>
        <w:spacing w:line="600" w:lineRule="exact"/>
        <w:textAlignment w:val="bottom"/>
        <w:outlineLvl w:val="2"/>
        <w:rPr>
          <w:b/>
          <w:color w:val="000000" w:themeColor="text1"/>
          <w:sz w:val="28"/>
          <w:szCs w:val="28"/>
        </w:rPr>
      </w:pPr>
      <w:bookmarkStart w:id="43" w:name="_Toc144243689"/>
      <w:bookmarkStart w:id="44" w:name="_Toc143780474"/>
      <w:bookmarkStart w:id="45" w:name="_Toc137737068"/>
      <w:r>
        <w:rPr>
          <w:b/>
          <w:color w:val="000000" w:themeColor="text1"/>
          <w:sz w:val="28"/>
          <w:szCs w:val="28"/>
        </w:rPr>
        <w:t>1.4.1 指导思想</w:t>
      </w:r>
      <w:bookmarkEnd w:id="43"/>
      <w:bookmarkEnd w:id="44"/>
      <w:bookmarkEnd w:id="45"/>
    </w:p>
    <w:p w14:paraId="06A9A03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为深入贯彻党的二十大及中央城镇化工作会议精神，牢固树立“创新、协调、绿色、开放、共享”的发展理念，严格遵循“节水优先、空间均衡、系统治理、两手发力”的新时期治水方针，认真落实“水利工程补短板、水利行业强监管”的水利改革发展总基调</w:t>
      </w:r>
      <w:r>
        <w:rPr>
          <w:color w:val="000000" w:themeColor="text1"/>
          <w:sz w:val="28"/>
          <w:szCs w:val="28"/>
        </w:rPr>
        <w:t>，</w:t>
      </w:r>
      <w:r>
        <w:rPr>
          <w:rFonts w:hint="eastAsia"/>
          <w:color w:val="000000" w:themeColor="text1"/>
          <w:sz w:val="28"/>
          <w:szCs w:val="28"/>
        </w:rPr>
        <w:t>按照《国家节水行动方案》的要求，以节水减排为核心，统筹规划、科学引导，加快形成“绿色生态、系统协调”的污水处理再生利用设施建设格局。</w:t>
      </w:r>
      <w:r>
        <w:rPr>
          <w:color w:val="000000" w:themeColor="text1"/>
          <w:sz w:val="28"/>
          <w:szCs w:val="28"/>
        </w:rPr>
        <w:t>根据平阴县经济社会发展的新形势及新时期节水型社会和节水型城市建设的新要求，坚持全面节流、综合保护、多渠道开源的原则，</w:t>
      </w:r>
      <w:r>
        <w:rPr>
          <w:rFonts w:hint="eastAsia"/>
          <w:color w:val="000000" w:themeColor="text1"/>
          <w:sz w:val="28"/>
          <w:szCs w:val="28"/>
        </w:rPr>
        <w:t>基于平阴县现有各种资源和设施，合理开发与配置城市再生水资源，为推动平阴县经济社会长期平稳较快发展提供可靠的水资源保障。</w:t>
      </w:r>
    </w:p>
    <w:p w14:paraId="3473A423">
      <w:pPr>
        <w:autoSpaceDE w:val="0"/>
        <w:autoSpaceDN w:val="0"/>
        <w:adjustRightInd w:val="0"/>
        <w:snapToGrid w:val="0"/>
        <w:spacing w:line="600" w:lineRule="exact"/>
        <w:textAlignment w:val="bottom"/>
        <w:outlineLvl w:val="2"/>
        <w:rPr>
          <w:b/>
          <w:color w:val="000000" w:themeColor="text1"/>
          <w:sz w:val="28"/>
          <w:szCs w:val="28"/>
        </w:rPr>
      </w:pPr>
      <w:bookmarkStart w:id="46" w:name="_Toc143780475"/>
      <w:bookmarkStart w:id="47" w:name="_Toc137737069"/>
      <w:bookmarkStart w:id="48" w:name="_Toc144243690"/>
      <w:r>
        <w:rPr>
          <w:b/>
          <w:color w:val="000000" w:themeColor="text1"/>
          <w:sz w:val="28"/>
          <w:szCs w:val="28"/>
        </w:rPr>
        <w:t>1.4.2 基本原则</w:t>
      </w:r>
      <w:bookmarkEnd w:id="46"/>
      <w:bookmarkEnd w:id="47"/>
      <w:bookmarkEnd w:id="48"/>
    </w:p>
    <w:p w14:paraId="536CA3D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1、坚持生态优先、绿色发展</w:t>
      </w:r>
    </w:p>
    <w:p w14:paraId="09D7244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污水再生利用可节约水资源，减轻水体环境污染，是国家实施生态优先、绿色发展的重要措施。平阴县污水再生利用应坚持开源节流并重、治污为本，减少黄河入河污染物，保护黄河水，保障水安全，为推进黄河流域生态保护和高质量发展服务。</w:t>
      </w:r>
    </w:p>
    <w:p w14:paraId="1D96E30D">
      <w:pPr>
        <w:tabs>
          <w:tab w:val="left" w:pos="5400"/>
        </w:tabs>
        <w:spacing w:line="600" w:lineRule="exact"/>
        <w:ind w:firstLine="560" w:firstLineChars="200"/>
        <w:rPr>
          <w:color w:val="000000" w:themeColor="text1"/>
          <w:sz w:val="28"/>
          <w:szCs w:val="28"/>
        </w:rPr>
      </w:pPr>
      <w:r>
        <w:rPr>
          <w:color w:val="000000" w:themeColor="text1"/>
          <w:sz w:val="28"/>
          <w:szCs w:val="28"/>
        </w:rPr>
        <w:t>2</w:t>
      </w:r>
      <w:r>
        <w:rPr>
          <w:rFonts w:hint="eastAsia"/>
          <w:color w:val="000000" w:themeColor="text1"/>
          <w:sz w:val="28"/>
          <w:szCs w:val="28"/>
        </w:rPr>
        <w:t>、统一规划，合理调配再生水资源</w:t>
      </w:r>
    </w:p>
    <w:p w14:paraId="409132D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再生水利用规划是水资源配置规划的组成部分，因此《平阴县再生水利用规划》也是《平阴县水资源综合规划》的重要组成部分。在制定城市水资源发展规划时，根据城市可用水源的特点和具体需要，优化配置各类水资源，明确污水再生利用是城市水资源的重要组成部分，按照“优水优用、一水多用、重复利用”的原则，将再生水优先配置给工业循环冷却水、市政杂用水、河道生态补水等低质用水，合理调配再生水资源。</w:t>
      </w:r>
    </w:p>
    <w:p w14:paraId="1D58B9D4">
      <w:pPr>
        <w:tabs>
          <w:tab w:val="left" w:pos="5400"/>
        </w:tabs>
        <w:spacing w:line="600" w:lineRule="exact"/>
        <w:ind w:firstLine="560" w:firstLineChars="200"/>
        <w:rPr>
          <w:color w:val="000000" w:themeColor="text1"/>
          <w:sz w:val="28"/>
          <w:szCs w:val="28"/>
        </w:rPr>
      </w:pPr>
      <w:r>
        <w:rPr>
          <w:color w:val="000000" w:themeColor="text1"/>
          <w:sz w:val="28"/>
          <w:szCs w:val="28"/>
        </w:rPr>
        <w:t>3</w:t>
      </w:r>
      <w:r>
        <w:rPr>
          <w:rFonts w:hint="eastAsia"/>
          <w:color w:val="000000" w:themeColor="text1"/>
          <w:sz w:val="28"/>
          <w:szCs w:val="28"/>
        </w:rPr>
        <w:t>、全面规划，合理布局</w:t>
      </w:r>
    </w:p>
    <w:p w14:paraId="6FDDAB5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污水再生利用总体还处在起步阶段，污水再生利用的推广不可能一步到位，故应按照“长远规划、分期实施”的原则，逐步推进。污水再生利用与处理设施的布局宜采用集中与分散相结合，集中回用为主，分散回用为辅，兼顾规模效益。规划再生水利用时，应尽可能少建再生水管网，全局规划与就近辐射利用相结合，采取对就近企业优先供给的策略，力求经济合理。</w:t>
      </w:r>
    </w:p>
    <w:p w14:paraId="2602303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4、安全性原则</w:t>
      </w:r>
    </w:p>
    <w:p w14:paraId="3CFFCC0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城市污水再生利用应以保障人类健康安全为前提，严格执行国家有关法律法规和技术标准规范，水质必须满足回用水质标准要求。对污水再生利用系统要进行正确的管理维护及水质监测，防止误饮、误接、误用，确保污水再生利用的安全。城市污水利用需因地制宜、因水制宜、因用制宜，以求获得最大的经济、社会和环境效益。</w:t>
      </w:r>
    </w:p>
    <w:p w14:paraId="3C43D90D">
      <w:pPr>
        <w:tabs>
          <w:tab w:val="left" w:pos="5400"/>
        </w:tabs>
        <w:spacing w:line="600" w:lineRule="exact"/>
        <w:ind w:firstLine="560" w:firstLineChars="200"/>
        <w:rPr>
          <w:color w:val="000000" w:themeColor="text1"/>
          <w:sz w:val="28"/>
          <w:szCs w:val="28"/>
        </w:rPr>
      </w:pPr>
      <w:r>
        <w:rPr>
          <w:color w:val="000000" w:themeColor="text1"/>
          <w:sz w:val="28"/>
          <w:szCs w:val="28"/>
        </w:rPr>
        <w:t>5</w:t>
      </w:r>
      <w:r>
        <w:rPr>
          <w:rFonts w:hint="eastAsia"/>
          <w:color w:val="000000" w:themeColor="text1"/>
          <w:sz w:val="28"/>
          <w:szCs w:val="28"/>
        </w:rPr>
        <w:t>、</w:t>
      </w:r>
      <w:r>
        <w:rPr>
          <w:color w:val="000000" w:themeColor="text1"/>
          <w:sz w:val="28"/>
          <w:szCs w:val="28"/>
        </w:rPr>
        <w:t>系统协调原则</w:t>
      </w:r>
    </w:p>
    <w:p w14:paraId="11EAA8C2">
      <w:pPr>
        <w:tabs>
          <w:tab w:val="left" w:pos="5400"/>
        </w:tabs>
        <w:spacing w:line="600" w:lineRule="exact"/>
        <w:ind w:firstLine="560" w:firstLineChars="200"/>
        <w:rPr>
          <w:color w:val="000000" w:themeColor="text1"/>
          <w:sz w:val="28"/>
          <w:szCs w:val="28"/>
        </w:rPr>
      </w:pPr>
      <w:r>
        <w:rPr>
          <w:color w:val="000000" w:themeColor="text1"/>
          <w:sz w:val="28"/>
          <w:szCs w:val="28"/>
        </w:rPr>
        <w:t>再生水利用涉及水资源开发利用、供水、排水、污水处理、用水成本、水环境保护等各方面，是水循环系统的一个重要组成部分，因此在制定再生水利用规划时应注重协调各系统间的关系，</w:t>
      </w:r>
      <w:r>
        <w:rPr>
          <w:rFonts w:hint="eastAsia"/>
          <w:color w:val="000000" w:themeColor="text1"/>
          <w:sz w:val="28"/>
          <w:szCs w:val="28"/>
        </w:rPr>
        <w:t>做好与县供水专项规划、县排水专项规划、县绿地系统规划等规划的衔接，</w:t>
      </w:r>
      <w:r>
        <w:rPr>
          <w:color w:val="000000" w:themeColor="text1"/>
          <w:sz w:val="28"/>
          <w:szCs w:val="28"/>
        </w:rPr>
        <w:t>从水资源系统角度，全面协调，科学布局。</w:t>
      </w:r>
    </w:p>
    <w:p w14:paraId="4622CF98">
      <w:pPr>
        <w:snapToGrid w:val="0"/>
        <w:spacing w:before="120" w:beforeLines="50" w:after="120" w:afterLines="50" w:line="600" w:lineRule="exact"/>
        <w:outlineLvl w:val="1"/>
        <w:rPr>
          <w:b/>
          <w:color w:val="000000" w:themeColor="text1"/>
          <w:sz w:val="30"/>
          <w:szCs w:val="30"/>
        </w:rPr>
      </w:pPr>
      <w:bookmarkStart w:id="49" w:name="_Toc144243691"/>
      <w:bookmarkStart w:id="50" w:name="_Toc181472922"/>
      <w:r>
        <w:rPr>
          <w:b/>
          <w:color w:val="000000" w:themeColor="text1"/>
          <w:sz w:val="30"/>
          <w:szCs w:val="30"/>
        </w:rPr>
        <w:t>1.5 规划年限</w:t>
      </w:r>
      <w:bookmarkEnd w:id="49"/>
      <w:bookmarkEnd w:id="50"/>
    </w:p>
    <w:p w14:paraId="4082E1C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本规划</w:t>
      </w:r>
      <w:r>
        <w:rPr>
          <w:color w:val="000000" w:themeColor="text1"/>
          <w:sz w:val="28"/>
          <w:szCs w:val="28"/>
        </w:rPr>
        <w:t>选取202</w:t>
      </w:r>
      <w:r>
        <w:rPr>
          <w:rFonts w:hint="eastAsia"/>
          <w:color w:val="000000" w:themeColor="text1"/>
          <w:sz w:val="28"/>
          <w:szCs w:val="28"/>
        </w:rPr>
        <w:t>3</w:t>
      </w:r>
      <w:r>
        <w:rPr>
          <w:color w:val="000000" w:themeColor="text1"/>
          <w:sz w:val="28"/>
          <w:szCs w:val="28"/>
        </w:rPr>
        <w:t>年为现状基准年，规划水平年与相关规划保持一致，20</w:t>
      </w:r>
      <w:r>
        <w:rPr>
          <w:rFonts w:hint="eastAsia"/>
          <w:color w:val="000000" w:themeColor="text1"/>
          <w:sz w:val="28"/>
          <w:szCs w:val="28"/>
        </w:rPr>
        <w:t>30</w:t>
      </w:r>
      <w:r>
        <w:rPr>
          <w:color w:val="000000" w:themeColor="text1"/>
          <w:sz w:val="28"/>
          <w:szCs w:val="28"/>
        </w:rPr>
        <w:t>年为近期规划水平年，2035年为远期规划水平年。</w:t>
      </w:r>
    </w:p>
    <w:p w14:paraId="4B46337D">
      <w:pPr>
        <w:snapToGrid w:val="0"/>
        <w:spacing w:before="120" w:beforeLines="50" w:after="120" w:afterLines="50" w:line="600" w:lineRule="exact"/>
        <w:outlineLvl w:val="1"/>
        <w:rPr>
          <w:b/>
          <w:color w:val="000000" w:themeColor="text1"/>
          <w:sz w:val="30"/>
          <w:szCs w:val="30"/>
        </w:rPr>
      </w:pPr>
      <w:bookmarkStart w:id="51" w:name="_Toc181472923"/>
      <w:bookmarkStart w:id="52" w:name="_Toc144243692"/>
      <w:r>
        <w:rPr>
          <w:b/>
          <w:color w:val="000000" w:themeColor="text1"/>
          <w:sz w:val="30"/>
          <w:szCs w:val="30"/>
        </w:rPr>
        <w:t>1.6 规划范围</w:t>
      </w:r>
      <w:bookmarkEnd w:id="42"/>
      <w:bookmarkEnd w:id="51"/>
      <w:bookmarkEnd w:id="52"/>
    </w:p>
    <w:p w14:paraId="44DCDD2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本规划按照一方面考虑到平阴县近年来对城区市政建设投入的不断加大，市政基础设施已逐渐形成规模和体系，尤其是大量建成区道路没有预留污水再生利用管位，不具备大面积敷设再生水利用管道的条件，改造工作量和影响面较大；而超出城区以外的区域，潜在的污水再生利用用户比较缺乏；另一方面考虑到平阴县污水再生利用主要用于工业用水、城市绿化、道路清扫、景观环境用水等。因此，本规划范围确定为中心城区和各镇驻地，按照《平阴县国土空间总体规划（2</w:t>
      </w:r>
      <w:r>
        <w:rPr>
          <w:color w:val="000000" w:themeColor="text1"/>
          <w:sz w:val="28"/>
          <w:szCs w:val="28"/>
        </w:rPr>
        <w:t>021</w:t>
      </w:r>
      <w:r>
        <w:rPr>
          <w:rFonts w:hint="eastAsia"/>
          <w:color w:val="000000" w:themeColor="text1"/>
          <w:sz w:val="28"/>
          <w:szCs w:val="28"/>
        </w:rPr>
        <w:t>—</w:t>
      </w:r>
      <w:r>
        <w:rPr>
          <w:color w:val="000000" w:themeColor="text1"/>
          <w:sz w:val="28"/>
          <w:szCs w:val="28"/>
        </w:rPr>
        <w:t>2035</w:t>
      </w:r>
      <w:r>
        <w:rPr>
          <w:rFonts w:hint="eastAsia"/>
          <w:color w:val="000000" w:themeColor="text1"/>
          <w:sz w:val="28"/>
          <w:szCs w:val="28"/>
        </w:rPr>
        <w:t>年）》和《平阴县城乡污水处理统筹规划（2017—2035）》确定各分区的具体规划范围如下。</w:t>
      </w:r>
    </w:p>
    <w:p w14:paraId="19952EF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1、中心城区</w:t>
      </w:r>
    </w:p>
    <w:p w14:paraId="61B708D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中心城区规划范围南起城区南部山体，东至济菏高速，北、西至国道220，总面积39.67km</w:t>
      </w:r>
      <w:r>
        <w:rPr>
          <w:color w:val="000000" w:themeColor="text1"/>
          <w:sz w:val="28"/>
          <w:szCs w:val="28"/>
          <w:vertAlign w:val="superscript"/>
        </w:rPr>
        <w:t>2</w:t>
      </w:r>
      <w:r>
        <w:rPr>
          <w:rFonts w:hint="eastAsia"/>
          <w:color w:val="000000" w:themeColor="text1"/>
          <w:sz w:val="28"/>
          <w:szCs w:val="28"/>
        </w:rPr>
        <w:t>。</w:t>
      </w:r>
    </w:p>
    <w:p w14:paraId="34462685">
      <w:pPr>
        <w:tabs>
          <w:tab w:val="left" w:pos="5400"/>
        </w:tabs>
        <w:spacing w:line="600" w:lineRule="exact"/>
        <w:ind w:firstLine="560" w:firstLineChars="200"/>
        <w:rPr>
          <w:color w:val="000000" w:themeColor="text1"/>
          <w:sz w:val="28"/>
          <w:szCs w:val="28"/>
        </w:rPr>
      </w:pPr>
      <w:r>
        <w:rPr>
          <w:color w:val="000000" w:themeColor="text1"/>
          <w:sz w:val="28"/>
          <w:szCs w:val="28"/>
        </w:rPr>
        <w:t>2</w:t>
      </w:r>
      <w:r>
        <w:rPr>
          <w:rFonts w:hint="eastAsia"/>
          <w:color w:val="000000" w:themeColor="text1"/>
          <w:sz w:val="28"/>
          <w:szCs w:val="28"/>
        </w:rPr>
        <w:t>、孔村镇</w:t>
      </w:r>
    </w:p>
    <w:p w14:paraId="028E110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孔村镇规划范围为镇区，位于济菏高速防护隔离带东边界以东、青兰高速防护隔离带北边界以北，规划面积26km</w:t>
      </w:r>
      <w:r>
        <w:rPr>
          <w:color w:val="000000" w:themeColor="text1"/>
          <w:sz w:val="28"/>
          <w:szCs w:val="28"/>
          <w:vertAlign w:val="superscript"/>
        </w:rPr>
        <w:t>2</w:t>
      </w:r>
      <w:r>
        <w:rPr>
          <w:rFonts w:hint="eastAsia"/>
          <w:color w:val="000000" w:themeColor="text1"/>
          <w:sz w:val="28"/>
          <w:szCs w:val="28"/>
        </w:rPr>
        <w:t>。</w:t>
      </w:r>
    </w:p>
    <w:p w14:paraId="0F73B87B">
      <w:pPr>
        <w:tabs>
          <w:tab w:val="left" w:pos="5400"/>
        </w:tabs>
        <w:spacing w:line="600" w:lineRule="exact"/>
        <w:ind w:firstLine="560" w:firstLineChars="200"/>
        <w:rPr>
          <w:color w:val="000000" w:themeColor="text1"/>
          <w:sz w:val="28"/>
          <w:szCs w:val="28"/>
        </w:rPr>
      </w:pPr>
      <w:r>
        <w:rPr>
          <w:color w:val="000000" w:themeColor="text1"/>
          <w:sz w:val="28"/>
          <w:szCs w:val="28"/>
        </w:rPr>
        <w:t>3</w:t>
      </w:r>
      <w:r>
        <w:rPr>
          <w:rFonts w:hint="eastAsia"/>
          <w:color w:val="000000" w:themeColor="text1"/>
          <w:sz w:val="28"/>
          <w:szCs w:val="28"/>
        </w:rPr>
        <w:t>、安城镇</w:t>
      </w:r>
    </w:p>
    <w:p w14:paraId="6578F2E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洪范池镇规划范围为镇区，北至济平干渠，南至张天水库，西至环秀山，东至山水工业园，规划面积21.66km</w:t>
      </w:r>
      <w:r>
        <w:rPr>
          <w:color w:val="000000" w:themeColor="text1"/>
          <w:sz w:val="28"/>
          <w:szCs w:val="28"/>
          <w:vertAlign w:val="superscript"/>
        </w:rPr>
        <w:t>2</w:t>
      </w:r>
      <w:r>
        <w:rPr>
          <w:rFonts w:hint="eastAsia"/>
          <w:color w:val="000000" w:themeColor="text1"/>
          <w:sz w:val="28"/>
          <w:szCs w:val="28"/>
        </w:rPr>
        <w:t>。</w:t>
      </w:r>
    </w:p>
    <w:p w14:paraId="46CB2DA5">
      <w:pPr>
        <w:tabs>
          <w:tab w:val="left" w:pos="5400"/>
        </w:tabs>
        <w:spacing w:line="600" w:lineRule="exact"/>
        <w:ind w:firstLine="560" w:firstLineChars="200"/>
        <w:rPr>
          <w:color w:val="000000" w:themeColor="text1"/>
          <w:sz w:val="28"/>
          <w:szCs w:val="28"/>
        </w:rPr>
      </w:pPr>
      <w:r>
        <w:rPr>
          <w:color w:val="000000" w:themeColor="text1"/>
          <w:sz w:val="28"/>
          <w:szCs w:val="28"/>
        </w:rPr>
        <w:t>4</w:t>
      </w:r>
      <w:r>
        <w:rPr>
          <w:rFonts w:hint="eastAsia"/>
          <w:color w:val="000000" w:themeColor="text1"/>
          <w:sz w:val="28"/>
          <w:szCs w:val="28"/>
        </w:rPr>
        <w:t>、孝直镇</w:t>
      </w:r>
    </w:p>
    <w:p w14:paraId="7BA2E49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孝直镇规划范围为镇区，北至孝直镇行政边界；南至大兴村、李庄村、贾庄村行政边界，西至济菏高速公路西100m，东至汇河东100m，规划面积30.77km</w:t>
      </w:r>
      <w:r>
        <w:rPr>
          <w:color w:val="000000" w:themeColor="text1"/>
          <w:sz w:val="28"/>
          <w:szCs w:val="28"/>
          <w:vertAlign w:val="superscript"/>
        </w:rPr>
        <w:t>2</w:t>
      </w:r>
      <w:r>
        <w:rPr>
          <w:rFonts w:hint="eastAsia"/>
          <w:color w:val="000000" w:themeColor="text1"/>
          <w:sz w:val="28"/>
          <w:szCs w:val="28"/>
        </w:rPr>
        <w:t>。</w:t>
      </w:r>
    </w:p>
    <w:p w14:paraId="1F30E0B1">
      <w:pPr>
        <w:tabs>
          <w:tab w:val="left" w:pos="5400"/>
        </w:tabs>
        <w:spacing w:line="600" w:lineRule="exact"/>
        <w:ind w:firstLine="560" w:firstLineChars="200"/>
        <w:rPr>
          <w:color w:val="000000" w:themeColor="text1"/>
          <w:sz w:val="28"/>
          <w:szCs w:val="28"/>
        </w:rPr>
      </w:pPr>
      <w:r>
        <w:rPr>
          <w:color w:val="000000" w:themeColor="text1"/>
          <w:sz w:val="28"/>
          <w:szCs w:val="28"/>
        </w:rPr>
        <w:t>5</w:t>
      </w:r>
      <w:r>
        <w:rPr>
          <w:rFonts w:hint="eastAsia"/>
          <w:color w:val="000000" w:themeColor="text1"/>
          <w:sz w:val="28"/>
          <w:szCs w:val="28"/>
        </w:rPr>
        <w:t>、东阿镇</w:t>
      </w:r>
    </w:p>
    <w:p w14:paraId="7E18C58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东阿镇规划范围为镇区，位于浪溪河以东，东西向220国道以南，规划面积9.11km</w:t>
      </w:r>
      <w:r>
        <w:rPr>
          <w:color w:val="000000" w:themeColor="text1"/>
          <w:sz w:val="28"/>
          <w:szCs w:val="28"/>
          <w:vertAlign w:val="superscript"/>
        </w:rPr>
        <w:t>2</w:t>
      </w:r>
      <w:r>
        <w:rPr>
          <w:rFonts w:hint="eastAsia"/>
          <w:color w:val="000000" w:themeColor="text1"/>
          <w:sz w:val="28"/>
          <w:szCs w:val="28"/>
        </w:rPr>
        <w:t>。</w:t>
      </w:r>
    </w:p>
    <w:p w14:paraId="175EA3F0">
      <w:pPr>
        <w:tabs>
          <w:tab w:val="left" w:pos="5400"/>
        </w:tabs>
        <w:spacing w:line="600" w:lineRule="exact"/>
        <w:ind w:firstLine="560" w:firstLineChars="200"/>
        <w:rPr>
          <w:color w:val="000000" w:themeColor="text1"/>
          <w:sz w:val="28"/>
          <w:szCs w:val="28"/>
        </w:rPr>
      </w:pPr>
      <w:r>
        <w:rPr>
          <w:color w:val="000000" w:themeColor="text1"/>
          <w:sz w:val="28"/>
          <w:szCs w:val="28"/>
        </w:rPr>
        <w:t>6</w:t>
      </w:r>
      <w:r>
        <w:rPr>
          <w:rFonts w:hint="eastAsia"/>
          <w:color w:val="000000" w:themeColor="text1"/>
          <w:sz w:val="28"/>
          <w:szCs w:val="28"/>
        </w:rPr>
        <w:t>、玫瑰镇</w:t>
      </w:r>
    </w:p>
    <w:p w14:paraId="0A16C40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玫瑰镇规划范围为镇区，东至北石峡玫瑰种植区，西至崔山头村以西，南至翠屏山南侧，北至镇界，规划面积26.98km</w:t>
      </w:r>
      <w:r>
        <w:rPr>
          <w:color w:val="000000" w:themeColor="text1"/>
          <w:sz w:val="28"/>
          <w:szCs w:val="28"/>
          <w:vertAlign w:val="superscript"/>
        </w:rPr>
        <w:t>2</w:t>
      </w:r>
      <w:r>
        <w:rPr>
          <w:rFonts w:hint="eastAsia"/>
          <w:color w:val="000000" w:themeColor="text1"/>
          <w:sz w:val="28"/>
          <w:szCs w:val="28"/>
        </w:rPr>
        <w:t>。</w:t>
      </w:r>
    </w:p>
    <w:p w14:paraId="266B4DA3">
      <w:pPr>
        <w:tabs>
          <w:tab w:val="left" w:pos="5400"/>
        </w:tabs>
        <w:spacing w:line="600" w:lineRule="exact"/>
        <w:ind w:firstLine="560" w:firstLineChars="200"/>
        <w:rPr>
          <w:color w:val="000000" w:themeColor="text1"/>
          <w:sz w:val="28"/>
          <w:szCs w:val="28"/>
        </w:rPr>
      </w:pPr>
      <w:r>
        <w:rPr>
          <w:color w:val="000000" w:themeColor="text1"/>
          <w:sz w:val="28"/>
          <w:szCs w:val="28"/>
        </w:rPr>
        <w:t>7</w:t>
      </w:r>
      <w:r>
        <w:rPr>
          <w:rFonts w:hint="eastAsia"/>
          <w:color w:val="000000" w:themeColor="text1"/>
          <w:sz w:val="28"/>
          <w:szCs w:val="28"/>
        </w:rPr>
        <w:t>、洪范池镇</w:t>
      </w:r>
    </w:p>
    <w:p w14:paraId="4FA78B0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洪范池镇规划范围为镇区，北至浪溪河心线，东至大寨山山脊线，南至铁矿区南侧，西侧山体边缘，规划面积5</w:t>
      </w:r>
      <w:r>
        <w:rPr>
          <w:color w:val="000000" w:themeColor="text1"/>
          <w:sz w:val="28"/>
          <w:szCs w:val="28"/>
        </w:rPr>
        <w:t>.</w:t>
      </w:r>
      <w:r>
        <w:rPr>
          <w:rFonts w:hint="eastAsia"/>
          <w:color w:val="000000" w:themeColor="text1"/>
          <w:sz w:val="28"/>
          <w:szCs w:val="28"/>
        </w:rPr>
        <w:t>58km</w:t>
      </w:r>
      <w:r>
        <w:rPr>
          <w:color w:val="000000" w:themeColor="text1"/>
          <w:sz w:val="28"/>
          <w:szCs w:val="28"/>
          <w:vertAlign w:val="superscript"/>
        </w:rPr>
        <w:t>2</w:t>
      </w:r>
      <w:r>
        <w:rPr>
          <w:rFonts w:hint="eastAsia"/>
          <w:color w:val="000000" w:themeColor="text1"/>
          <w:sz w:val="28"/>
          <w:szCs w:val="28"/>
        </w:rPr>
        <w:t>。</w:t>
      </w:r>
    </w:p>
    <w:bookmarkEnd w:id="25"/>
    <w:p w14:paraId="2C6591E5">
      <w:pPr>
        <w:snapToGrid w:val="0"/>
        <w:spacing w:before="120" w:beforeLines="50" w:after="120" w:afterLines="50" w:line="600" w:lineRule="exact"/>
        <w:outlineLvl w:val="1"/>
        <w:rPr>
          <w:b/>
          <w:color w:val="000000" w:themeColor="text1"/>
          <w:sz w:val="30"/>
          <w:szCs w:val="30"/>
        </w:rPr>
      </w:pPr>
      <w:bookmarkStart w:id="53" w:name="_Toc55920527"/>
      <w:bookmarkStart w:id="54" w:name="_Toc181472924"/>
      <w:bookmarkStart w:id="55" w:name="_Toc144243693"/>
      <w:r>
        <w:rPr>
          <w:b/>
          <w:color w:val="000000" w:themeColor="text1"/>
          <w:sz w:val="30"/>
          <w:szCs w:val="30"/>
        </w:rPr>
        <w:t>1.</w:t>
      </w:r>
      <w:bookmarkEnd w:id="53"/>
      <w:r>
        <w:rPr>
          <w:b/>
          <w:color w:val="000000" w:themeColor="text1"/>
          <w:sz w:val="30"/>
          <w:szCs w:val="30"/>
        </w:rPr>
        <w:t>7 规划目标</w:t>
      </w:r>
      <w:bookmarkEnd w:id="54"/>
      <w:bookmarkEnd w:id="55"/>
    </w:p>
    <w:p w14:paraId="074ED970">
      <w:pPr>
        <w:tabs>
          <w:tab w:val="left" w:pos="5400"/>
        </w:tabs>
        <w:spacing w:line="600" w:lineRule="exact"/>
        <w:ind w:firstLine="560" w:firstLineChars="200"/>
        <w:rPr>
          <w:color w:val="000000" w:themeColor="text1"/>
          <w:sz w:val="28"/>
          <w:szCs w:val="28"/>
        </w:rPr>
      </w:pPr>
      <w:r>
        <w:rPr>
          <w:color w:val="000000" w:themeColor="text1"/>
          <w:sz w:val="28"/>
          <w:szCs w:val="28"/>
        </w:rPr>
        <w:t>平阴县再生水利用的总体目标是充分利用城镇污水</w:t>
      </w:r>
      <w:r>
        <w:rPr>
          <w:rFonts w:hint="eastAsia"/>
          <w:color w:val="000000" w:themeColor="text1"/>
          <w:sz w:val="28"/>
          <w:szCs w:val="28"/>
        </w:rPr>
        <w:t>再生</w:t>
      </w:r>
      <w:r>
        <w:rPr>
          <w:color w:val="000000" w:themeColor="text1"/>
          <w:sz w:val="28"/>
          <w:szCs w:val="28"/>
        </w:rPr>
        <w:t>资源，削减水污染负荷，</w:t>
      </w:r>
      <w:r>
        <w:rPr>
          <w:rFonts w:hint="eastAsia"/>
          <w:color w:val="000000" w:themeColor="text1"/>
          <w:sz w:val="28"/>
          <w:szCs w:val="28"/>
        </w:rPr>
        <w:t>节约用水、促进水的循环利用、</w:t>
      </w:r>
      <w:r>
        <w:rPr>
          <w:color w:val="000000" w:themeColor="text1"/>
          <w:sz w:val="28"/>
          <w:szCs w:val="28"/>
        </w:rPr>
        <w:t>提升城市水资源的综合利用效率和水平，</w:t>
      </w:r>
      <w:r>
        <w:rPr>
          <w:rFonts w:hint="eastAsia"/>
          <w:color w:val="000000" w:themeColor="text1"/>
          <w:sz w:val="28"/>
          <w:szCs w:val="28"/>
        </w:rPr>
        <w:t>提高供水保障率，</w:t>
      </w:r>
      <w:r>
        <w:rPr>
          <w:color w:val="000000" w:themeColor="text1"/>
          <w:sz w:val="28"/>
          <w:szCs w:val="28"/>
        </w:rPr>
        <w:t>缓解</w:t>
      </w:r>
      <w:r>
        <w:rPr>
          <w:rFonts w:hint="eastAsia"/>
          <w:color w:val="000000" w:themeColor="text1"/>
          <w:sz w:val="28"/>
          <w:szCs w:val="28"/>
        </w:rPr>
        <w:t>平阴县</w:t>
      </w:r>
      <w:r>
        <w:rPr>
          <w:color w:val="000000" w:themeColor="text1"/>
          <w:sz w:val="28"/>
          <w:szCs w:val="28"/>
        </w:rPr>
        <w:t>水资源短缺，推动节水型</w:t>
      </w:r>
      <w:r>
        <w:rPr>
          <w:rFonts w:hint="eastAsia"/>
          <w:color w:val="000000" w:themeColor="text1"/>
          <w:sz w:val="28"/>
          <w:szCs w:val="28"/>
        </w:rPr>
        <w:t>社会和</w:t>
      </w:r>
      <w:r>
        <w:rPr>
          <w:color w:val="000000" w:themeColor="text1"/>
          <w:sz w:val="28"/>
          <w:szCs w:val="28"/>
        </w:rPr>
        <w:t>城市建设，促进黄河流域生态保护和高质量发展。</w:t>
      </w:r>
    </w:p>
    <w:p w14:paraId="7884BAD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根据《国家节水行动方案》及山东省、济南市相关文件，结合平阴县水务局、县住房和城乡建设局等相关单位意见和平阴县用水结构特点，确定平阴县近期</w:t>
      </w:r>
      <w:r>
        <w:rPr>
          <w:color w:val="000000" w:themeColor="text1"/>
          <w:sz w:val="28"/>
          <w:szCs w:val="28"/>
        </w:rPr>
        <w:t>20</w:t>
      </w:r>
      <w:r>
        <w:rPr>
          <w:rFonts w:hint="eastAsia"/>
          <w:color w:val="000000" w:themeColor="text1"/>
          <w:sz w:val="28"/>
          <w:szCs w:val="28"/>
        </w:rPr>
        <w:t>30年</w:t>
      </w:r>
      <w:bookmarkStart w:id="56" w:name="_Hlk184999293"/>
      <w:r>
        <w:rPr>
          <w:rFonts w:hint="eastAsia"/>
          <w:color w:val="000000" w:themeColor="text1"/>
          <w:sz w:val="28"/>
          <w:szCs w:val="28"/>
        </w:rPr>
        <w:t>城市再生水利用量（包含生态环境补水）不低于958.6万m</w:t>
      </w:r>
      <w:r>
        <w:rPr>
          <w:rFonts w:hint="eastAsia"/>
          <w:color w:val="000000" w:themeColor="text1"/>
          <w:sz w:val="28"/>
          <w:szCs w:val="28"/>
          <w:vertAlign w:val="superscript"/>
        </w:rPr>
        <w:t>3</w:t>
      </w:r>
      <w:r>
        <w:rPr>
          <w:rFonts w:hint="eastAsia"/>
          <w:color w:val="000000" w:themeColor="text1"/>
          <w:sz w:val="28"/>
          <w:szCs w:val="28"/>
        </w:rPr>
        <w:t>，城市再生水利用率不小于60%</w:t>
      </w:r>
      <w:bookmarkEnd w:id="56"/>
      <w:r>
        <w:rPr>
          <w:rFonts w:hint="eastAsia"/>
          <w:color w:val="000000" w:themeColor="text1"/>
          <w:sz w:val="28"/>
          <w:szCs w:val="28"/>
        </w:rPr>
        <w:t>；远期</w:t>
      </w:r>
      <w:r>
        <w:rPr>
          <w:color w:val="000000" w:themeColor="text1"/>
          <w:sz w:val="28"/>
          <w:szCs w:val="28"/>
        </w:rPr>
        <w:t>2035</w:t>
      </w:r>
      <w:r>
        <w:rPr>
          <w:rFonts w:hint="eastAsia"/>
          <w:color w:val="000000" w:themeColor="text1"/>
          <w:sz w:val="28"/>
          <w:szCs w:val="28"/>
        </w:rPr>
        <w:t>年城市再生水利用量（包含生态环境补水）不低于1160.3万m</w:t>
      </w:r>
      <w:r>
        <w:rPr>
          <w:rFonts w:hint="eastAsia"/>
          <w:color w:val="000000" w:themeColor="text1"/>
          <w:sz w:val="28"/>
          <w:szCs w:val="28"/>
          <w:vertAlign w:val="superscript"/>
        </w:rPr>
        <w:t>3</w:t>
      </w:r>
      <w:r>
        <w:rPr>
          <w:rFonts w:hint="eastAsia"/>
          <w:color w:val="000000" w:themeColor="text1"/>
          <w:sz w:val="28"/>
          <w:szCs w:val="28"/>
        </w:rPr>
        <w:t>，城市再生水利用率（包含生态环境补水）不小于</w:t>
      </w:r>
      <w:r>
        <w:rPr>
          <w:color w:val="000000" w:themeColor="text1"/>
          <w:sz w:val="28"/>
          <w:szCs w:val="28"/>
        </w:rPr>
        <w:t>6</w:t>
      </w:r>
      <w:r>
        <w:rPr>
          <w:rFonts w:hint="eastAsia"/>
          <w:color w:val="000000" w:themeColor="text1"/>
          <w:sz w:val="28"/>
          <w:szCs w:val="28"/>
        </w:rPr>
        <w:t>5</w:t>
      </w:r>
      <w:r>
        <w:rPr>
          <w:color w:val="000000" w:themeColor="text1"/>
          <w:sz w:val="28"/>
          <w:szCs w:val="28"/>
        </w:rPr>
        <w:t>%</w:t>
      </w:r>
      <w:r>
        <w:rPr>
          <w:rFonts w:hint="eastAsia"/>
          <w:color w:val="000000" w:themeColor="text1"/>
          <w:sz w:val="28"/>
          <w:szCs w:val="28"/>
        </w:rPr>
        <w:t>。</w:t>
      </w:r>
    </w:p>
    <w:p w14:paraId="2377FD43">
      <w:pPr>
        <w:tabs>
          <w:tab w:val="left" w:pos="5400"/>
        </w:tabs>
        <w:spacing w:line="600" w:lineRule="exact"/>
        <w:ind w:firstLine="560" w:firstLineChars="200"/>
        <w:rPr>
          <w:color w:val="000000" w:themeColor="text1"/>
          <w:sz w:val="28"/>
          <w:szCs w:val="28"/>
        </w:rPr>
        <w:sectPr>
          <w:footerReference r:id="rId11" w:type="default"/>
          <w:pgSz w:w="11906" w:h="16838"/>
          <w:pgMar w:top="1440" w:right="1800" w:bottom="1440" w:left="1800" w:header="1020" w:footer="992" w:gutter="0"/>
          <w:pgNumType w:start="1"/>
          <w:cols w:space="425" w:num="1"/>
          <w:titlePg/>
          <w:docGrid w:linePitch="312" w:charSpace="0"/>
        </w:sectPr>
      </w:pPr>
    </w:p>
    <w:p w14:paraId="59DD65BD">
      <w:pPr>
        <w:pageBreakBefore/>
        <w:numPr>
          <w:ilvl w:val="0"/>
          <w:numId w:val="2"/>
        </w:numPr>
        <w:tabs>
          <w:tab w:val="center" w:pos="4535"/>
          <w:tab w:val="right" w:pos="9070"/>
        </w:tabs>
        <w:spacing w:before="480" w:beforeLines="200" w:after="360" w:afterLines="150" w:line="600" w:lineRule="exact"/>
        <w:jc w:val="center"/>
        <w:outlineLvl w:val="0"/>
        <w:rPr>
          <w:b/>
          <w:color w:val="000000" w:themeColor="text1"/>
          <w:sz w:val="44"/>
          <w:szCs w:val="36"/>
        </w:rPr>
      </w:pPr>
      <w:r>
        <w:rPr>
          <w:rFonts w:hint="eastAsia"/>
          <w:b/>
          <w:color w:val="000000" w:themeColor="text1"/>
          <w:sz w:val="44"/>
          <w:szCs w:val="36"/>
        </w:rPr>
        <w:t xml:space="preserve"> </w:t>
      </w:r>
      <w:bookmarkStart w:id="57" w:name="_Toc181472925"/>
      <w:bookmarkStart w:id="58" w:name="_Toc144243694"/>
      <w:r>
        <w:rPr>
          <w:rFonts w:hint="eastAsia"/>
          <w:b/>
          <w:color w:val="000000" w:themeColor="text1"/>
          <w:sz w:val="44"/>
          <w:szCs w:val="36"/>
        </w:rPr>
        <w:t>区域概况</w:t>
      </w:r>
      <w:bookmarkEnd w:id="57"/>
      <w:bookmarkEnd w:id="58"/>
    </w:p>
    <w:p w14:paraId="51FABB01">
      <w:pPr>
        <w:snapToGrid w:val="0"/>
        <w:spacing w:before="120" w:beforeLines="50" w:after="120" w:afterLines="50" w:line="600" w:lineRule="exact"/>
        <w:outlineLvl w:val="1"/>
        <w:rPr>
          <w:b/>
          <w:color w:val="000000" w:themeColor="text1"/>
          <w:sz w:val="30"/>
          <w:szCs w:val="30"/>
        </w:rPr>
      </w:pPr>
      <w:bookmarkStart w:id="59" w:name="_Toc181472926"/>
      <w:bookmarkStart w:id="60" w:name="_Toc144243695"/>
      <w:r>
        <w:rPr>
          <w:b/>
          <w:color w:val="000000" w:themeColor="text1"/>
          <w:sz w:val="30"/>
          <w:szCs w:val="30"/>
        </w:rPr>
        <w:t xml:space="preserve">2.1 </w:t>
      </w:r>
      <w:r>
        <w:rPr>
          <w:rFonts w:hint="eastAsia"/>
          <w:b/>
          <w:color w:val="000000" w:themeColor="text1"/>
          <w:sz w:val="30"/>
          <w:szCs w:val="30"/>
        </w:rPr>
        <w:t>自然概况</w:t>
      </w:r>
      <w:bookmarkEnd w:id="59"/>
      <w:bookmarkEnd w:id="60"/>
    </w:p>
    <w:p w14:paraId="1AE4F08E">
      <w:pPr>
        <w:autoSpaceDE w:val="0"/>
        <w:autoSpaceDN w:val="0"/>
        <w:adjustRightInd w:val="0"/>
        <w:snapToGrid w:val="0"/>
        <w:spacing w:line="600" w:lineRule="exact"/>
        <w:textAlignment w:val="bottom"/>
        <w:outlineLvl w:val="2"/>
        <w:rPr>
          <w:b/>
          <w:color w:val="000000" w:themeColor="text1"/>
          <w:sz w:val="28"/>
          <w:szCs w:val="28"/>
        </w:rPr>
      </w:pPr>
      <w:bookmarkStart w:id="61" w:name="_Toc144243696"/>
      <w:r>
        <w:rPr>
          <w:b/>
          <w:color w:val="000000" w:themeColor="text1"/>
          <w:sz w:val="28"/>
          <w:szCs w:val="28"/>
        </w:rPr>
        <w:t xml:space="preserve">2.1.1 </w:t>
      </w:r>
      <w:r>
        <w:rPr>
          <w:rFonts w:hint="eastAsia"/>
          <w:b/>
          <w:color w:val="000000" w:themeColor="text1"/>
          <w:sz w:val="28"/>
          <w:szCs w:val="28"/>
        </w:rPr>
        <w:t>地理位置</w:t>
      </w:r>
      <w:bookmarkEnd w:id="61"/>
    </w:p>
    <w:p w14:paraId="5BED2D3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平阴县位于山东省济南市的西南部，黄河南岸，与泰安、聊城相邻，距济南60km，地处东经116°12′~116°27′，北纬36°01′~36°23′，东西长37km，南北长50km，总面积</w:t>
      </w:r>
      <w:r>
        <w:rPr>
          <w:color w:val="000000" w:themeColor="text1"/>
          <w:sz w:val="28"/>
          <w:szCs w:val="28"/>
        </w:rPr>
        <w:t>715</w:t>
      </w:r>
      <w:r>
        <w:rPr>
          <w:rFonts w:hint="eastAsia"/>
          <w:color w:val="000000" w:themeColor="text1"/>
          <w:sz w:val="28"/>
          <w:szCs w:val="28"/>
        </w:rPr>
        <w:t>km</w:t>
      </w:r>
      <w:r>
        <w:rPr>
          <w:rFonts w:hint="eastAsia"/>
          <w:color w:val="000000" w:themeColor="text1"/>
          <w:sz w:val="28"/>
          <w:szCs w:val="28"/>
          <w:vertAlign w:val="superscript"/>
        </w:rPr>
        <w:t>2</w:t>
      </w:r>
      <w:r>
        <w:rPr>
          <w:rFonts w:hint="eastAsia"/>
          <w:color w:val="000000" w:themeColor="text1"/>
          <w:sz w:val="28"/>
          <w:szCs w:val="28"/>
        </w:rPr>
        <w:t>。平阴县是华北与中原、山东半岛与内陆地区进行经济贸易的必经之地，历史上就是重要的商品集散地和物资中转站。现在已成为济南向鲁西南辐射的重要窗口，105、220两条国道和104省道贯穿全境，与京沪、京九两大动脉相连。平阴县行政区域分布情况详见附图1。</w:t>
      </w:r>
    </w:p>
    <w:p w14:paraId="48D669D2">
      <w:pPr>
        <w:autoSpaceDE w:val="0"/>
        <w:autoSpaceDN w:val="0"/>
        <w:adjustRightInd w:val="0"/>
        <w:snapToGrid w:val="0"/>
        <w:spacing w:line="600" w:lineRule="exact"/>
        <w:textAlignment w:val="bottom"/>
        <w:outlineLvl w:val="2"/>
        <w:rPr>
          <w:b/>
          <w:color w:val="000000" w:themeColor="text1"/>
          <w:sz w:val="28"/>
          <w:szCs w:val="28"/>
        </w:rPr>
      </w:pPr>
      <w:bookmarkStart w:id="62" w:name="_Toc144243697"/>
      <w:r>
        <w:rPr>
          <w:b/>
          <w:color w:val="000000" w:themeColor="text1"/>
          <w:sz w:val="28"/>
          <w:szCs w:val="28"/>
        </w:rPr>
        <w:t xml:space="preserve">2.1.2 </w:t>
      </w:r>
      <w:r>
        <w:rPr>
          <w:rFonts w:hint="eastAsia"/>
          <w:b/>
          <w:color w:val="000000" w:themeColor="text1"/>
          <w:sz w:val="28"/>
          <w:szCs w:val="28"/>
        </w:rPr>
        <w:t>地形地貌</w:t>
      </w:r>
      <w:bookmarkEnd w:id="62"/>
    </w:p>
    <w:p w14:paraId="64A668E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平阴县地处泰山山脉西延余脉与鲁西平原的过渡地带，地势南高北低，中部隆起，属浅切割构造剥蚀低山丘陵区。县域内山峦绵延起伏，纵横交错，遍布全县大部分地区。全县山地丘陵面积</w:t>
      </w:r>
      <w:r>
        <w:rPr>
          <w:color w:val="000000" w:themeColor="text1"/>
          <w:sz w:val="28"/>
          <w:szCs w:val="28"/>
        </w:rPr>
        <w:t>445.5</w:t>
      </w:r>
      <w:r>
        <w:rPr>
          <w:rFonts w:hint="eastAsia"/>
          <w:color w:val="000000" w:themeColor="text1"/>
          <w:sz w:val="28"/>
          <w:szCs w:val="28"/>
        </w:rPr>
        <w:t>km</w:t>
      </w:r>
      <w:r>
        <w:rPr>
          <w:rFonts w:hint="eastAsia"/>
          <w:color w:val="000000" w:themeColor="text1"/>
          <w:sz w:val="28"/>
          <w:szCs w:val="28"/>
          <w:vertAlign w:val="superscript"/>
        </w:rPr>
        <w:t>2</w:t>
      </w:r>
      <w:r>
        <w:rPr>
          <w:rFonts w:hint="eastAsia"/>
          <w:color w:val="000000" w:themeColor="text1"/>
          <w:sz w:val="28"/>
          <w:szCs w:val="28"/>
        </w:rPr>
        <w:t>，占总面积的62.3%。境内除沿黄地区与东部汇河流域为冲洪积平原和局部洼地外，其余皆为低山丘陵区。海拔高程一般在100m～250m，最高点大寨山海拔494.8m，最低点城西洼海拔35.5m，形成了以丘陵台地为主，平原、洼地为次的地形分布特征，主要有荒岭坡、岭坡梯田、近山阶地、山前平地、扇间洼地、黄泛缓平洼地，平阴县地形分布情况详见附图2。</w:t>
      </w:r>
    </w:p>
    <w:p w14:paraId="49EC23AA">
      <w:pPr>
        <w:keepNext/>
        <w:autoSpaceDE w:val="0"/>
        <w:autoSpaceDN w:val="0"/>
        <w:adjustRightInd w:val="0"/>
        <w:snapToGrid w:val="0"/>
        <w:spacing w:line="600" w:lineRule="exact"/>
        <w:textAlignment w:val="bottom"/>
        <w:outlineLvl w:val="2"/>
        <w:rPr>
          <w:b/>
          <w:color w:val="000000" w:themeColor="text1"/>
          <w:sz w:val="28"/>
          <w:szCs w:val="28"/>
        </w:rPr>
      </w:pPr>
      <w:bookmarkStart w:id="63" w:name="_Toc144243698"/>
      <w:r>
        <w:rPr>
          <w:b/>
          <w:color w:val="000000" w:themeColor="text1"/>
          <w:sz w:val="28"/>
          <w:szCs w:val="28"/>
        </w:rPr>
        <w:t xml:space="preserve">2.1.3 </w:t>
      </w:r>
      <w:r>
        <w:rPr>
          <w:rFonts w:hint="eastAsia"/>
          <w:b/>
          <w:color w:val="000000" w:themeColor="text1"/>
          <w:sz w:val="28"/>
          <w:szCs w:val="28"/>
        </w:rPr>
        <w:t>水文气象</w:t>
      </w:r>
      <w:bookmarkEnd w:id="63"/>
    </w:p>
    <w:p w14:paraId="032119B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地属暖温带半湿润大陆性季风气候，四季分明，具有春季干燥多风、夏季高温多雨、秋季天高气爽、冬季寒冷而少雪的特点。在夏季受热带、副热带海洋气团影响，而冬季受极地大陆气团和西伯利亚干冷气团的侵袭，同时受到地形变化影响，使当地降水、蒸发、气温等呈现地带性和多样性，并具有垂直分布和水平分布特点。全年风多雨少，降水集中，光照充沛，气温变化幅度较大。</w:t>
      </w:r>
    </w:p>
    <w:p w14:paraId="5381DE6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气温：平阴县多年平均气温13.6℃，等温线呈现南北走向，基本趋势是中间高、两边低。其中2002年最高为15.3℃，较平均值偏高0.9℃；1993年、1996年最低为13.9℃，较平均值偏低0.5℃，年际差为1.4℃。年内最冷月是1月，平均气温为-0.7℃；最热月是7月，平均气温27.5℃，气温年较差为28.2℃。极端最高气温41.9℃，出现在2002年7月15日；极端最低气温-20.3℃，出现在1990年1月31日。</w:t>
      </w:r>
    </w:p>
    <w:p w14:paraId="508B95B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降水量：平阴县1956年至2016年平均年降水量为623.9mm，年际变化较大，最多年为991.9mm（1961年），最少年为289.8mm（2002年），相差2.4倍。四季降水中夏季降水最多，冬季降水最少，四季降水分布差别明显。</w:t>
      </w:r>
    </w:p>
    <w:p w14:paraId="15FC0CC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蒸发：平阴县多年平均水面蒸发量为1002.6mm。平阴县多年平均干旱指数为1.</w:t>
      </w:r>
      <w:r>
        <w:rPr>
          <w:color w:val="000000" w:themeColor="text1"/>
          <w:sz w:val="28"/>
          <w:szCs w:val="28"/>
        </w:rPr>
        <w:t>6</w:t>
      </w:r>
      <w:r>
        <w:rPr>
          <w:rFonts w:hint="eastAsia"/>
          <w:color w:val="000000" w:themeColor="text1"/>
          <w:sz w:val="28"/>
          <w:szCs w:val="28"/>
        </w:rPr>
        <w:t>1。</w:t>
      </w:r>
    </w:p>
    <w:p w14:paraId="018268E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风向风速：全年主导风向为南东南，占全年的18%。年平均风速为2.2m/s，平均风速最大年份为1990年，平均风速为2.6m/s，最小年份为1993年，平均风速为1.9m/s。</w:t>
      </w:r>
    </w:p>
    <w:p w14:paraId="66A524D4">
      <w:pPr>
        <w:autoSpaceDE w:val="0"/>
        <w:autoSpaceDN w:val="0"/>
        <w:adjustRightInd w:val="0"/>
        <w:snapToGrid w:val="0"/>
        <w:spacing w:line="600" w:lineRule="exact"/>
        <w:textAlignment w:val="bottom"/>
        <w:outlineLvl w:val="2"/>
        <w:rPr>
          <w:b/>
          <w:color w:val="000000" w:themeColor="text1"/>
          <w:sz w:val="28"/>
          <w:szCs w:val="28"/>
        </w:rPr>
      </w:pPr>
      <w:bookmarkStart w:id="64" w:name="_Toc144243699"/>
      <w:r>
        <w:rPr>
          <w:b/>
          <w:color w:val="000000" w:themeColor="text1"/>
          <w:sz w:val="28"/>
          <w:szCs w:val="28"/>
        </w:rPr>
        <w:t xml:space="preserve">2.1.4 </w:t>
      </w:r>
      <w:r>
        <w:rPr>
          <w:rFonts w:hint="eastAsia"/>
          <w:b/>
          <w:color w:val="000000" w:themeColor="text1"/>
          <w:sz w:val="28"/>
          <w:szCs w:val="28"/>
        </w:rPr>
        <w:t>地质构造</w:t>
      </w:r>
      <w:bookmarkEnd w:id="64"/>
    </w:p>
    <w:p w14:paraId="6882B746">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平阴县在大地构造单元上位于中朝准地台（Ⅰ级）鲁西断隆（Ⅱ级）鲁中隆起（Ⅲ级）平阴凸起（Ⅳ级）区，长清断裂以西。</w:t>
      </w:r>
    </w:p>
    <w:p w14:paraId="79BDE599">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1．地层</w:t>
      </w:r>
    </w:p>
    <w:p w14:paraId="625D329A">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平阴县出露地层主要为古生界寒武系、奥陶系和新生界第四系松散沉积地层。本区地层总体上自东南往西北依次由老至新分布。现将本区地层由老至新简述如下：</w:t>
      </w:r>
    </w:p>
    <w:p w14:paraId="2C6B1769">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（1）古生界寒武系（</w:t>
      </w:r>
      <w:r>
        <w:rPr>
          <w:color w:val="000000" w:themeColor="text1"/>
          <w:kern w:val="0"/>
          <w:sz w:val="28"/>
          <w:szCs w:val="28"/>
        </w:rPr>
        <w:drawing>
          <wp:inline distT="0" distB="0" distL="0" distR="0">
            <wp:extent cx="106680" cy="144780"/>
            <wp:effectExtent l="0" t="0" r="7620" b="7620"/>
            <wp:docPr id="631218276" name="图片 63121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18276" name="图片 63121827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06680" cy="144780"/>
                    </a:xfrm>
                    <a:prstGeom prst="rect">
                      <a:avLst/>
                    </a:prstGeom>
                    <a:noFill/>
                    <a:ln>
                      <a:noFill/>
                    </a:ln>
                  </pic:spPr>
                </pic:pic>
              </a:graphicData>
            </a:graphic>
          </wp:inline>
        </w:drawing>
      </w:r>
      <w:r>
        <w:rPr>
          <w:color w:val="000000" w:themeColor="text1"/>
          <w:kern w:val="0"/>
          <w:sz w:val="28"/>
          <w:szCs w:val="28"/>
        </w:rPr>
        <w:t>）</w:t>
      </w:r>
    </w:p>
    <w:p w14:paraId="236DEC57">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①</w:t>
      </w:r>
      <w:r>
        <w:rPr>
          <w:color w:val="000000" w:themeColor="text1"/>
          <w:kern w:val="0"/>
          <w:sz w:val="28"/>
          <w:szCs w:val="28"/>
        </w:rPr>
        <w:t>长清群（</w:t>
      </w:r>
      <w:r>
        <w:rPr>
          <w:color w:val="000000" w:themeColor="text1"/>
          <w:kern w:val="0"/>
          <w:sz w:val="28"/>
          <w:szCs w:val="28"/>
        </w:rPr>
        <w:drawing>
          <wp:inline distT="0" distB="0" distL="0" distR="0">
            <wp:extent cx="106680" cy="144780"/>
            <wp:effectExtent l="0" t="0" r="7620" b="7620"/>
            <wp:docPr id="1098472603" name="图片 109847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72603" name="图片 109847260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06680" cy="144780"/>
                    </a:xfrm>
                    <a:prstGeom prst="rect">
                      <a:avLst/>
                    </a:prstGeom>
                    <a:noFill/>
                    <a:ln>
                      <a:noFill/>
                    </a:ln>
                  </pic:spPr>
                </pic:pic>
              </a:graphicData>
            </a:graphic>
          </wp:inline>
        </w:drawing>
      </w:r>
      <w:r>
        <w:rPr>
          <w:color w:val="000000" w:themeColor="text1"/>
          <w:kern w:val="0"/>
          <w:sz w:val="28"/>
          <w:szCs w:val="28"/>
        </w:rPr>
        <w:drawing>
          <wp:inline distT="0" distB="0" distL="0" distR="0">
            <wp:extent cx="53340" cy="91440"/>
            <wp:effectExtent l="0" t="0" r="3810" b="3810"/>
            <wp:docPr id="1577505193" name="图片 157750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05193" name="图片 157750519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3340" cy="91440"/>
                    </a:xfrm>
                    <a:prstGeom prst="rect">
                      <a:avLst/>
                    </a:prstGeom>
                    <a:noFill/>
                    <a:ln>
                      <a:noFill/>
                    </a:ln>
                  </pic:spPr>
                </pic:pic>
              </a:graphicData>
            </a:graphic>
          </wp:inline>
        </w:drawing>
      </w:r>
      <w:r>
        <w:rPr>
          <w:color w:val="000000" w:themeColor="text1"/>
          <w:kern w:val="0"/>
          <w:sz w:val="28"/>
          <w:szCs w:val="28"/>
        </w:rPr>
        <w:t>）</w:t>
      </w:r>
    </w:p>
    <w:p w14:paraId="4B108D3D">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长清群以砖红色、紫红色页岩或泥岩为主，次为灰黄色、灰色灰岩、泥云岩、白云岩、粉砂岩及灰质砂岩等，底部为紫红色含砾砂岩。长清群自下而上分为李官组、朱砂洞组和馒头组，与上覆九龙群整合接触，与下伏土门群不整合接触，与泰山群或变质变形侵入岩均呈角度不整合接触。但在工作区，长清群只发育朱砂洞组及馒头组。</w:t>
      </w:r>
    </w:p>
    <w:p w14:paraId="55072983">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②</w:t>
      </w:r>
      <w:r>
        <w:rPr>
          <w:color w:val="000000" w:themeColor="text1"/>
          <w:kern w:val="0"/>
          <w:sz w:val="28"/>
          <w:szCs w:val="28"/>
        </w:rPr>
        <w:t>九龙群（</w:t>
      </w:r>
      <w:r>
        <w:rPr>
          <w:color w:val="000000" w:themeColor="text1"/>
          <w:kern w:val="0"/>
          <w:sz w:val="28"/>
          <w:szCs w:val="28"/>
        </w:rPr>
        <w:drawing>
          <wp:inline distT="0" distB="0" distL="0" distR="0">
            <wp:extent cx="106680" cy="144780"/>
            <wp:effectExtent l="0" t="0" r="7620" b="7620"/>
            <wp:docPr id="1509236932" name="图片 15092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36932" name="图片 15092369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06680" cy="144780"/>
                    </a:xfrm>
                    <a:prstGeom prst="rect">
                      <a:avLst/>
                    </a:prstGeom>
                    <a:noFill/>
                    <a:ln>
                      <a:noFill/>
                    </a:ln>
                  </pic:spPr>
                </pic:pic>
              </a:graphicData>
            </a:graphic>
          </wp:inline>
        </w:drawing>
      </w:r>
      <w:r>
        <w:rPr>
          <w:color w:val="000000" w:themeColor="text1"/>
          <w:kern w:val="0"/>
          <w:sz w:val="28"/>
          <w:szCs w:val="28"/>
        </w:rPr>
        <w:t>j）</w:t>
      </w:r>
    </w:p>
    <w:p w14:paraId="0ED063F4">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九龙群主要由厚层鲕粒灰岩、藻凝块灰岩、中～薄层微晶灰岩、竹叶状砾屑灰岩及厚层白云岩组成，中下部夹黄绿色页岩及瘤状灰岩，自下而上分为张夏组、崮山组、炒米店组和三山子组。与下伏长清群整合接触，与上覆马家沟组平行不整合接触，在平阴县广大丘陵区出露广泛。</w:t>
      </w:r>
    </w:p>
    <w:p w14:paraId="6B97478D">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（2）古生界奥陶系（O）</w:t>
      </w:r>
    </w:p>
    <w:p w14:paraId="25A0EA1B">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color w:val="000000" w:themeColor="text1"/>
          <w:kern w:val="0"/>
          <w:sz w:val="28"/>
          <w:szCs w:val="28"/>
        </w:rPr>
        <w:t>县域内</w:t>
      </w:r>
      <w:r>
        <w:rPr>
          <w:color w:val="000000" w:themeColor="text1"/>
          <w:kern w:val="0"/>
          <w:sz w:val="28"/>
          <w:szCs w:val="28"/>
        </w:rPr>
        <w:t>出露的奥陶系为马家沟组（OM），自下而上可分为东黄山段（OMd）和北庵庄段（OMb）。东黄山段及北庵庄段集中出露于平阴县</w:t>
      </w:r>
      <w:r>
        <w:rPr>
          <w:rFonts w:hint="eastAsia"/>
          <w:color w:val="000000" w:themeColor="text1"/>
          <w:kern w:val="0"/>
          <w:sz w:val="28"/>
          <w:szCs w:val="28"/>
        </w:rPr>
        <w:t>安城镇的</w:t>
      </w:r>
      <w:r>
        <w:rPr>
          <w:color w:val="000000" w:themeColor="text1"/>
          <w:kern w:val="0"/>
          <w:sz w:val="28"/>
          <w:szCs w:val="28"/>
        </w:rPr>
        <w:t>东北部。</w:t>
      </w:r>
    </w:p>
    <w:p w14:paraId="2941C748">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①</w:t>
      </w:r>
      <w:r>
        <w:rPr>
          <w:color w:val="000000" w:themeColor="text1"/>
          <w:kern w:val="0"/>
          <w:sz w:val="28"/>
          <w:szCs w:val="28"/>
        </w:rPr>
        <w:t>东黄山段（OMd）</w:t>
      </w:r>
    </w:p>
    <w:p w14:paraId="5B86D4D8">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据区域地质调查资料，岩性主要为灰黄色薄层状白云质泥晶灰岩，底部为褐灰色白云质角砾岩，厚度11～29m。东黄山段与下伏三山子组平行不整合接触。</w:t>
      </w:r>
    </w:p>
    <w:p w14:paraId="5EA04B71">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②</w:t>
      </w:r>
      <w:r>
        <w:rPr>
          <w:color w:val="000000" w:themeColor="text1"/>
          <w:kern w:val="0"/>
          <w:sz w:val="28"/>
          <w:szCs w:val="28"/>
        </w:rPr>
        <w:t>北庵庄段（OMb）</w:t>
      </w:r>
    </w:p>
    <w:p w14:paraId="467B1A3F">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据区域资料，岩性主要为灰色中厚层状微晶灰岩及灰褐色薄层白云岩，地层厚度57～162m。</w:t>
      </w:r>
    </w:p>
    <w:p w14:paraId="7BAAC7D0">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（3）新生界第四系（Q）</w:t>
      </w:r>
    </w:p>
    <w:p w14:paraId="61C06A1A">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color w:val="000000" w:themeColor="text1"/>
          <w:kern w:val="0"/>
          <w:sz w:val="28"/>
          <w:szCs w:val="28"/>
        </w:rPr>
        <w:t>县域内</w:t>
      </w:r>
      <w:r>
        <w:rPr>
          <w:color w:val="000000" w:themeColor="text1"/>
          <w:kern w:val="0"/>
          <w:sz w:val="28"/>
          <w:szCs w:val="28"/>
        </w:rPr>
        <w:t>出露第四系主要为：黄河组（</w:t>
      </w:r>
      <w:r>
        <w:rPr>
          <w:rFonts w:hint="eastAsia"/>
          <w:color w:val="000000" w:themeColor="text1"/>
          <w:kern w:val="0"/>
          <w:sz w:val="28"/>
          <w:szCs w:val="28"/>
        </w:rPr>
        <w:t>Q</w:t>
      </w:r>
      <w:r>
        <w:rPr>
          <w:color w:val="000000" w:themeColor="text1"/>
          <w:kern w:val="0"/>
          <w:sz w:val="28"/>
          <w:szCs w:val="28"/>
        </w:rPr>
        <w:t>Hh）、大站组</w:t>
      </w:r>
      <w:r>
        <w:rPr>
          <w:rFonts w:hint="eastAsia"/>
          <w:color w:val="000000" w:themeColor="text1"/>
          <w:kern w:val="0"/>
          <w:sz w:val="28"/>
          <w:szCs w:val="28"/>
        </w:rPr>
        <w:t>（</w:t>
      </w:r>
      <w:r>
        <w:rPr>
          <w:color w:val="000000" w:themeColor="text1"/>
          <w:kern w:val="0"/>
          <w:sz w:val="28"/>
          <w:szCs w:val="28"/>
        </w:rPr>
        <w:t>QD</w:t>
      </w:r>
      <w:r>
        <w:rPr>
          <w:rFonts w:hint="eastAsia"/>
          <w:color w:val="000000" w:themeColor="text1"/>
          <w:kern w:val="0"/>
          <w:sz w:val="28"/>
          <w:szCs w:val="28"/>
        </w:rPr>
        <w:t>）</w:t>
      </w:r>
      <w:r>
        <w:rPr>
          <w:color w:val="000000" w:themeColor="text1"/>
          <w:kern w:val="0"/>
          <w:sz w:val="28"/>
          <w:szCs w:val="28"/>
        </w:rPr>
        <w:t>、临沂组（QL）等，岩性主要为：灰黄色粉土、粉砂及棕褐、棕红色粉质粘土、粉土夹砾石层、黄色粉质粘土或粉土，厚度2～20m不等。</w:t>
      </w:r>
    </w:p>
    <w:p w14:paraId="2DB344E2">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2．构造</w:t>
      </w:r>
    </w:p>
    <w:p w14:paraId="516658FC">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（1）断裂</w:t>
      </w:r>
    </w:p>
    <w:p w14:paraId="5E708EF1">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平阴县及附近断裂构造发育，但展布较为复杂，根据其展布特征及相互切割关系，可归并为北东向、北西向及近南北向三组。但对本区水文地质条件影响较大的断裂主要有东阿断裂、孝直断裂、牛角店断裂、戴韩断裂等。</w:t>
      </w:r>
    </w:p>
    <w:p w14:paraId="1F2893C3">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①</w:t>
      </w:r>
      <w:r>
        <w:rPr>
          <w:color w:val="000000" w:themeColor="text1"/>
          <w:kern w:val="0"/>
          <w:sz w:val="28"/>
          <w:szCs w:val="28"/>
        </w:rPr>
        <w:t>东阿断裂</w:t>
      </w:r>
    </w:p>
    <w:p w14:paraId="72B95C01">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该断裂为隐伏断裂，是区内北东向主要大断裂。南西起于</w:t>
      </w:r>
      <w:r>
        <w:rPr>
          <w:rFonts w:hint="eastAsia"/>
          <w:color w:val="000000" w:themeColor="text1"/>
          <w:kern w:val="0"/>
          <w:sz w:val="28"/>
          <w:szCs w:val="28"/>
        </w:rPr>
        <w:t>东</w:t>
      </w:r>
      <w:r>
        <w:rPr>
          <w:color w:val="000000" w:themeColor="text1"/>
          <w:kern w:val="0"/>
          <w:sz w:val="28"/>
          <w:szCs w:val="28"/>
        </w:rPr>
        <w:t>阿镇南，经东阿镇，呈北东向往区外继续延伸，后被齐广断裂所截。断裂总体走向为NE40º，北东段走向45º，南西段走向35º，倾向北西，倾角大于0°，总长度100km。</w:t>
      </w:r>
    </w:p>
    <w:p w14:paraId="4C0B8D18">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②</w:t>
      </w:r>
      <w:r>
        <w:rPr>
          <w:color w:val="000000" w:themeColor="text1"/>
          <w:kern w:val="0"/>
          <w:sz w:val="28"/>
          <w:szCs w:val="28"/>
        </w:rPr>
        <w:t>孝直断裂</w:t>
      </w:r>
    </w:p>
    <w:p w14:paraId="7230BFEF">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孝直断裂为北东向断裂，大体在孝直镇西南分为南、北两支，北支北部起自平阴县</w:t>
      </w:r>
      <w:r>
        <w:rPr>
          <w:rFonts w:hint="eastAsia"/>
          <w:color w:val="000000" w:themeColor="text1"/>
          <w:kern w:val="0"/>
          <w:sz w:val="28"/>
          <w:szCs w:val="28"/>
        </w:rPr>
        <w:t>城区</w:t>
      </w:r>
      <w:r>
        <w:rPr>
          <w:color w:val="000000" w:themeColor="text1"/>
          <w:kern w:val="0"/>
          <w:sz w:val="28"/>
          <w:szCs w:val="28"/>
        </w:rPr>
        <w:t>东南部，大体与黄山岩脉</w:t>
      </w:r>
      <w:r>
        <w:rPr>
          <w:rFonts w:hint="eastAsia"/>
          <w:color w:val="000000" w:themeColor="text1"/>
          <w:kern w:val="0"/>
          <w:sz w:val="28"/>
          <w:szCs w:val="28"/>
        </w:rPr>
        <w:t>的</w:t>
      </w:r>
      <w:r>
        <w:rPr>
          <w:color w:val="000000" w:themeColor="text1"/>
          <w:kern w:val="0"/>
          <w:sz w:val="28"/>
          <w:szCs w:val="28"/>
        </w:rPr>
        <w:t>走向一致，呈近南北向，向南经南官庄、孔村到达箔庄南部，全长约21km；南支又为石横断裂的一个分支，自孝直</w:t>
      </w:r>
      <w:r>
        <w:rPr>
          <w:rFonts w:hint="eastAsia"/>
          <w:color w:val="000000" w:themeColor="text1"/>
          <w:kern w:val="0"/>
          <w:sz w:val="28"/>
          <w:szCs w:val="28"/>
        </w:rPr>
        <w:t>镇</w:t>
      </w:r>
      <w:r>
        <w:rPr>
          <w:color w:val="000000" w:themeColor="text1"/>
          <w:kern w:val="0"/>
          <w:sz w:val="28"/>
          <w:szCs w:val="28"/>
        </w:rPr>
        <w:t>向南西经后庄科到李家</w:t>
      </w:r>
      <w:r>
        <w:rPr>
          <w:rFonts w:hint="eastAsia"/>
          <w:color w:val="000000" w:themeColor="text1"/>
          <w:kern w:val="0"/>
          <w:sz w:val="28"/>
          <w:szCs w:val="28"/>
        </w:rPr>
        <w:t>村</w:t>
      </w:r>
      <w:r>
        <w:rPr>
          <w:color w:val="000000" w:themeColor="text1"/>
          <w:kern w:val="0"/>
          <w:sz w:val="28"/>
          <w:szCs w:val="28"/>
        </w:rPr>
        <w:t>一带，全长约19km。该断裂北支总体走向5º～30º，倾向南东，倾角15º～55º；孝直断裂南支总体走向45°，倾向135°，倾角50°。</w:t>
      </w:r>
    </w:p>
    <w:p w14:paraId="53403B72">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③</w:t>
      </w:r>
      <w:r>
        <w:rPr>
          <w:color w:val="000000" w:themeColor="text1"/>
          <w:kern w:val="0"/>
          <w:sz w:val="28"/>
          <w:szCs w:val="28"/>
        </w:rPr>
        <w:t>石横断裂</w:t>
      </w:r>
    </w:p>
    <w:p w14:paraId="6235558F">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石横断裂为北东向隐伏断裂，是肥城盆地的西北部边界断裂，南西端起自洲城镇，向北东经石横镇至王瓜店镇北部，切割北西向大羊断裂。该断裂总体走向34º，倾向南东。断裂北西侧主要为寒武系，南东侧主要为奥陶系，其北东段为寒武系和二叠系分界断裂。</w:t>
      </w:r>
    </w:p>
    <w:p w14:paraId="3320444A">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④</w:t>
      </w:r>
      <w:r>
        <w:rPr>
          <w:color w:val="000000" w:themeColor="text1"/>
          <w:kern w:val="0"/>
          <w:sz w:val="28"/>
          <w:szCs w:val="28"/>
        </w:rPr>
        <w:t>牛角店断裂</w:t>
      </w:r>
    </w:p>
    <w:p w14:paraId="77E88F97">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牛角店断裂又称杜郎口～牛角店断裂，为北西向推测性断裂，东南端起自平阴县安城镇大官庄，向北东经</w:t>
      </w:r>
      <w:r>
        <w:rPr>
          <w:rFonts w:hint="eastAsia"/>
          <w:color w:val="000000" w:themeColor="text1"/>
          <w:kern w:val="0"/>
          <w:sz w:val="28"/>
          <w:szCs w:val="28"/>
        </w:rPr>
        <w:t>安城镇</w:t>
      </w:r>
      <w:r>
        <w:rPr>
          <w:color w:val="000000" w:themeColor="text1"/>
          <w:kern w:val="0"/>
          <w:sz w:val="28"/>
          <w:szCs w:val="28"/>
        </w:rPr>
        <w:t>后被第四系覆盖，又经傅寨、牛角店，</w:t>
      </w:r>
      <w:r>
        <w:rPr>
          <w:rFonts w:hint="eastAsia"/>
          <w:color w:val="000000" w:themeColor="text1"/>
          <w:kern w:val="0"/>
          <w:sz w:val="28"/>
          <w:szCs w:val="28"/>
        </w:rPr>
        <w:t>自</w:t>
      </w:r>
      <w:r>
        <w:rPr>
          <w:color w:val="000000" w:themeColor="text1"/>
          <w:kern w:val="0"/>
          <w:sz w:val="28"/>
          <w:szCs w:val="28"/>
        </w:rPr>
        <w:t>西北延出区外，全长约55km，区内长度32km。断裂总体走向335º</w:t>
      </w:r>
      <w:r>
        <w:rPr>
          <w:rFonts w:hint="eastAsia"/>
          <w:color w:val="000000" w:themeColor="text1"/>
          <w:kern w:val="0"/>
          <w:sz w:val="28"/>
          <w:szCs w:val="28"/>
        </w:rPr>
        <w:t>，</w:t>
      </w:r>
      <w:r>
        <w:rPr>
          <w:color w:val="000000" w:themeColor="text1"/>
          <w:kern w:val="0"/>
          <w:sz w:val="28"/>
          <w:szCs w:val="28"/>
        </w:rPr>
        <w:t>倾向南西，倾角约75º，但该断裂断距较小。</w:t>
      </w:r>
    </w:p>
    <w:p w14:paraId="2FD9835A">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（2）黄山岩脉及侵入岩</w:t>
      </w:r>
    </w:p>
    <w:p w14:paraId="4690D1F6">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①</w:t>
      </w:r>
      <w:r>
        <w:rPr>
          <w:color w:val="000000" w:themeColor="text1"/>
          <w:kern w:val="0"/>
          <w:sz w:val="28"/>
          <w:szCs w:val="28"/>
        </w:rPr>
        <w:t>黄山岩脉</w:t>
      </w:r>
    </w:p>
    <w:p w14:paraId="3CD3A209">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黄山岩脉位于平阴县城东侧黄山附近，黄山岩脉总体走向北西，局部走向摆动于NW30º～NE18º之间，直立，宽度一般</w:t>
      </w:r>
      <w:r>
        <w:rPr>
          <w:rFonts w:hint="eastAsia"/>
          <w:color w:val="000000" w:themeColor="text1"/>
          <w:kern w:val="0"/>
          <w:sz w:val="28"/>
          <w:szCs w:val="28"/>
        </w:rPr>
        <w:t>为</w:t>
      </w:r>
      <w:r>
        <w:rPr>
          <w:color w:val="000000" w:themeColor="text1"/>
          <w:kern w:val="0"/>
          <w:sz w:val="28"/>
          <w:szCs w:val="28"/>
        </w:rPr>
        <w:t>7m，最宽处11m，主支长度10km。经物探实测，黄山岩脉向北延伸至黄河南岸，岩性为中性煌斑岩，主要成</w:t>
      </w:r>
      <w:r>
        <w:rPr>
          <w:rFonts w:hint="eastAsia"/>
          <w:color w:val="000000" w:themeColor="text1"/>
          <w:kern w:val="0"/>
          <w:sz w:val="28"/>
          <w:szCs w:val="28"/>
        </w:rPr>
        <w:t>分</w:t>
      </w:r>
      <w:r>
        <w:rPr>
          <w:color w:val="000000" w:themeColor="text1"/>
          <w:kern w:val="0"/>
          <w:sz w:val="28"/>
          <w:szCs w:val="28"/>
        </w:rPr>
        <w:t>为正长石、斜长石、角闪石，次要成</w:t>
      </w:r>
      <w:r>
        <w:rPr>
          <w:rFonts w:hint="eastAsia"/>
          <w:color w:val="000000" w:themeColor="text1"/>
          <w:kern w:val="0"/>
          <w:sz w:val="28"/>
          <w:szCs w:val="28"/>
        </w:rPr>
        <w:t>分</w:t>
      </w:r>
      <w:r>
        <w:rPr>
          <w:color w:val="000000" w:themeColor="text1"/>
          <w:kern w:val="0"/>
          <w:sz w:val="28"/>
          <w:szCs w:val="28"/>
        </w:rPr>
        <w:t>是石英、云母等。</w:t>
      </w:r>
    </w:p>
    <w:p w14:paraId="1DFBFAAE">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ascii="宋体" w:hAnsi="宋体" w:cs="宋体"/>
          <w:color w:val="000000" w:themeColor="text1"/>
          <w:kern w:val="0"/>
          <w:sz w:val="28"/>
          <w:szCs w:val="28"/>
        </w:rPr>
        <w:t>②</w:t>
      </w:r>
      <w:r>
        <w:rPr>
          <w:color w:val="000000" w:themeColor="text1"/>
          <w:kern w:val="0"/>
          <w:sz w:val="28"/>
          <w:szCs w:val="28"/>
        </w:rPr>
        <w:t>侵入岩</w:t>
      </w:r>
    </w:p>
    <w:p w14:paraId="66CC9CA8">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区内侵入岩出露较少，除黄山岩脉外，基本无出露。</w:t>
      </w:r>
    </w:p>
    <w:p w14:paraId="2FBB9EF4">
      <w:pPr>
        <w:autoSpaceDE w:val="0"/>
        <w:autoSpaceDN w:val="0"/>
        <w:adjustRightInd w:val="0"/>
        <w:snapToGrid w:val="0"/>
        <w:spacing w:line="600" w:lineRule="exact"/>
        <w:textAlignment w:val="bottom"/>
        <w:outlineLvl w:val="2"/>
        <w:rPr>
          <w:b/>
          <w:color w:val="000000" w:themeColor="text1"/>
          <w:sz w:val="28"/>
          <w:szCs w:val="28"/>
        </w:rPr>
      </w:pPr>
      <w:bookmarkStart w:id="65" w:name="_Toc144243700"/>
      <w:r>
        <w:rPr>
          <w:b/>
          <w:color w:val="000000" w:themeColor="text1"/>
          <w:sz w:val="28"/>
          <w:szCs w:val="28"/>
        </w:rPr>
        <w:t xml:space="preserve">2.1.5 </w:t>
      </w:r>
      <w:r>
        <w:rPr>
          <w:rFonts w:hint="eastAsia"/>
          <w:b/>
          <w:color w:val="000000" w:themeColor="text1"/>
          <w:sz w:val="28"/>
          <w:szCs w:val="28"/>
        </w:rPr>
        <w:t>水文地质</w:t>
      </w:r>
      <w:bookmarkEnd w:id="65"/>
    </w:p>
    <w:p w14:paraId="4BCDC3F7">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平阴县地下水主要分为两大类，一类是孔隙含水岩组，另一类是裂隙岩溶含水岩组。</w:t>
      </w:r>
    </w:p>
    <w:p w14:paraId="2FE3C5F4">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1、松散岩类孔隙含水岩组（Q～N）</w:t>
      </w:r>
    </w:p>
    <w:p w14:paraId="502DF8B5">
      <w:pPr>
        <w:autoSpaceDE w:val="0"/>
        <w:autoSpaceDN w:val="0"/>
        <w:adjustRightInd w:val="0"/>
        <w:snapToGrid w:val="0"/>
        <w:spacing w:line="600" w:lineRule="exact"/>
        <w:ind w:firstLine="560" w:firstLineChars="200"/>
        <w:textAlignment w:val="bottom"/>
        <w:rPr>
          <w:color w:val="000000" w:themeColor="text1"/>
          <w:kern w:val="0"/>
          <w:sz w:val="28"/>
          <w:szCs w:val="28"/>
        </w:rPr>
      </w:pPr>
      <w:r>
        <w:rPr>
          <w:rFonts w:hint="eastAsia"/>
          <w:color w:val="000000" w:themeColor="text1"/>
          <w:kern w:val="0"/>
          <w:sz w:val="28"/>
          <w:szCs w:val="28"/>
        </w:rPr>
        <w:t>松散岩类孔隙含水岩组</w:t>
      </w:r>
      <w:r>
        <w:rPr>
          <w:color w:val="000000" w:themeColor="text1"/>
          <w:kern w:val="0"/>
          <w:sz w:val="28"/>
          <w:szCs w:val="28"/>
        </w:rPr>
        <w:t>包括第四系及上第三系中的各类砂层、砂砾岩、碎石层等，平阴县松散岩类孔隙水含水岩组主要分布在黄河以南山前坡洪积平原区及丘陵山区的沟谷地带。</w:t>
      </w:r>
    </w:p>
    <w:p w14:paraId="0EAB1425">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在黄河南岸山前坡洪积平原区，第四系厚度一般小于30m，含水层多为含砾中粗砂或角砾碎石层，单井出水量一般在30～50m</w:t>
      </w:r>
      <w:r>
        <w:rPr>
          <w:color w:val="000000" w:themeColor="text1"/>
          <w:kern w:val="0"/>
          <w:sz w:val="28"/>
          <w:szCs w:val="28"/>
          <w:vertAlign w:val="superscript"/>
        </w:rPr>
        <w:t>3</w:t>
      </w:r>
      <w:r>
        <w:rPr>
          <w:color w:val="000000" w:themeColor="text1"/>
          <w:kern w:val="0"/>
          <w:sz w:val="28"/>
          <w:szCs w:val="28"/>
        </w:rPr>
        <w:t>/h。该区开采井多为第四系水与岩溶水</w:t>
      </w:r>
      <w:r>
        <w:rPr>
          <w:rFonts w:hint="eastAsia"/>
          <w:color w:val="000000" w:themeColor="text1"/>
          <w:kern w:val="0"/>
          <w:sz w:val="28"/>
          <w:szCs w:val="28"/>
        </w:rPr>
        <w:t>混合</w:t>
      </w:r>
      <w:r>
        <w:rPr>
          <w:color w:val="000000" w:themeColor="text1"/>
          <w:kern w:val="0"/>
          <w:sz w:val="28"/>
          <w:szCs w:val="28"/>
        </w:rPr>
        <w:t>开采井，深度一般120～180m，单井涌水量可达50～220m</w:t>
      </w:r>
      <w:r>
        <w:rPr>
          <w:color w:val="000000" w:themeColor="text1"/>
          <w:kern w:val="0"/>
          <w:sz w:val="28"/>
          <w:szCs w:val="28"/>
          <w:vertAlign w:val="superscript"/>
        </w:rPr>
        <w:t>3</w:t>
      </w:r>
      <w:r>
        <w:rPr>
          <w:color w:val="000000" w:themeColor="text1"/>
          <w:kern w:val="0"/>
          <w:sz w:val="28"/>
          <w:szCs w:val="28"/>
        </w:rPr>
        <w:t>/h。在丘陵山区的沟谷地带，第四系厚度一般小于10m，含水层颗粒粗大，多为含砾中粗砂及砂砾石，但由于厚度较薄（一般小于5m），富水性较差，单井涌水量一般500m</w:t>
      </w:r>
      <w:r>
        <w:rPr>
          <w:color w:val="000000" w:themeColor="text1"/>
          <w:kern w:val="0"/>
          <w:sz w:val="28"/>
          <w:szCs w:val="28"/>
          <w:vertAlign w:val="superscript"/>
        </w:rPr>
        <w:t>3</w:t>
      </w:r>
      <w:r>
        <w:rPr>
          <w:color w:val="000000" w:themeColor="text1"/>
          <w:kern w:val="0"/>
          <w:sz w:val="28"/>
          <w:szCs w:val="28"/>
        </w:rPr>
        <w:t>/d左右。</w:t>
      </w:r>
    </w:p>
    <w:p w14:paraId="5430817E">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2、碳酸盐岩类裂隙岩溶含水岩组（</w:t>
      </w:r>
      <w:r>
        <w:rPr>
          <w:color w:val="000000" w:themeColor="text1"/>
          <w:kern w:val="0"/>
          <w:sz w:val="28"/>
          <w:szCs w:val="28"/>
        </w:rPr>
        <w:drawing>
          <wp:inline distT="0" distB="0" distL="0" distR="0">
            <wp:extent cx="106680" cy="144780"/>
            <wp:effectExtent l="0" t="0" r="7620" b="7620"/>
            <wp:docPr id="1981763486" name="图片 198176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63486" name="图片 198176348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06680" cy="144780"/>
                    </a:xfrm>
                    <a:prstGeom prst="rect">
                      <a:avLst/>
                    </a:prstGeom>
                    <a:noFill/>
                    <a:ln>
                      <a:noFill/>
                    </a:ln>
                  </pic:spPr>
                </pic:pic>
              </a:graphicData>
            </a:graphic>
          </wp:inline>
        </w:drawing>
      </w:r>
      <w:r>
        <w:rPr>
          <w:color w:val="000000" w:themeColor="text1"/>
          <w:kern w:val="0"/>
          <w:sz w:val="28"/>
          <w:szCs w:val="28"/>
        </w:rPr>
        <w:t>～O）</w:t>
      </w:r>
    </w:p>
    <w:p w14:paraId="63E4A580">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该含水岩组包括以石灰岩、白云岩为主的奥陶系马家沟组、寒武～奥陶系三山子组、寒武系炒米店组、张夏组及页岩夹灰岩为主的寒武系崮山组、馒头组和朱砂洞组。根据含水层岩性特征及富水性等特征，可将其分为三类含水层。</w:t>
      </w:r>
    </w:p>
    <w:p w14:paraId="55ADFA76">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（1）裂隙岩溶含水层</w:t>
      </w:r>
    </w:p>
    <w:p w14:paraId="0E6E6E57">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该含水层广泛出露于平阴县中北部，岩层倾向北西。含水层岩性主要为奥陶系马家沟组、寒武系炒米店组灰岩和三山子组灰岩、白云岩。其裸露区分布在黄河以南，因所处地势较高，水位埋深一般在15～30m，富水性变化大，大体分为3级：靠近沿黄冲积平原区的安城镇～县城～玫瑰镇～东阿镇一线以北，单井涌水量为1000～5000m</w:t>
      </w:r>
      <w:r>
        <w:rPr>
          <w:color w:val="000000" w:themeColor="text1"/>
          <w:kern w:val="0"/>
          <w:sz w:val="28"/>
          <w:szCs w:val="28"/>
          <w:vertAlign w:val="superscript"/>
        </w:rPr>
        <w:t>3</w:t>
      </w:r>
      <w:r>
        <w:rPr>
          <w:color w:val="000000" w:themeColor="text1"/>
          <w:kern w:val="0"/>
          <w:sz w:val="28"/>
          <w:szCs w:val="28"/>
        </w:rPr>
        <w:t>/d；自该线向南或东南，主要包括县城，单井涌水量为500～1000m</w:t>
      </w:r>
      <w:r>
        <w:rPr>
          <w:color w:val="000000" w:themeColor="text1"/>
          <w:kern w:val="0"/>
          <w:sz w:val="28"/>
          <w:szCs w:val="28"/>
          <w:vertAlign w:val="superscript"/>
        </w:rPr>
        <w:t>3</w:t>
      </w:r>
      <w:r>
        <w:rPr>
          <w:color w:val="000000" w:themeColor="text1"/>
          <w:kern w:val="0"/>
          <w:sz w:val="28"/>
          <w:szCs w:val="28"/>
        </w:rPr>
        <w:t>/d；再向南或东南到该类含水层零星出露区，单井涌水量一般小于500m</w:t>
      </w:r>
      <w:r>
        <w:rPr>
          <w:color w:val="000000" w:themeColor="text1"/>
          <w:kern w:val="0"/>
          <w:sz w:val="28"/>
          <w:szCs w:val="28"/>
          <w:vertAlign w:val="superscript"/>
        </w:rPr>
        <w:t>3</w:t>
      </w:r>
      <w:r>
        <w:rPr>
          <w:color w:val="000000" w:themeColor="text1"/>
          <w:kern w:val="0"/>
          <w:sz w:val="28"/>
          <w:szCs w:val="28"/>
        </w:rPr>
        <w:t>/d。</w:t>
      </w:r>
    </w:p>
    <w:p w14:paraId="3D8BC18B">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（2）灰岩夹页岩裂隙岩溶含水层</w:t>
      </w:r>
    </w:p>
    <w:p w14:paraId="358CC558">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该含水层主要出露于平阴县东阿镇～李沟以南，黄河以东等地。含水层岩性以灰岩为主，夹薄层页岩，单井涌水量一般在500～1000m</w:t>
      </w:r>
      <w:r>
        <w:rPr>
          <w:color w:val="000000" w:themeColor="text1"/>
          <w:kern w:val="0"/>
          <w:sz w:val="28"/>
          <w:szCs w:val="28"/>
          <w:vertAlign w:val="superscript"/>
        </w:rPr>
        <w:t>3</w:t>
      </w:r>
      <w:r>
        <w:rPr>
          <w:color w:val="000000" w:themeColor="text1"/>
          <w:kern w:val="0"/>
          <w:sz w:val="28"/>
          <w:szCs w:val="28"/>
        </w:rPr>
        <w:t>/d。局部区域由于靠近断裂构造带，岩溶裂隙较为发育，单井涌水量一般大于1000m</w:t>
      </w:r>
      <w:r>
        <w:rPr>
          <w:color w:val="000000" w:themeColor="text1"/>
          <w:kern w:val="0"/>
          <w:sz w:val="28"/>
          <w:szCs w:val="28"/>
          <w:vertAlign w:val="superscript"/>
        </w:rPr>
        <w:t>3</w:t>
      </w:r>
      <w:r>
        <w:rPr>
          <w:color w:val="000000" w:themeColor="text1"/>
          <w:kern w:val="0"/>
          <w:sz w:val="28"/>
          <w:szCs w:val="28"/>
        </w:rPr>
        <w:t>/d。这些地区主要分布在东阿镇、孔村镇和孝直镇附近。</w:t>
      </w:r>
    </w:p>
    <w:p w14:paraId="747B7E42">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（3）页岩夹灰岩岩溶裂隙含水层</w:t>
      </w:r>
    </w:p>
    <w:p w14:paraId="40A79A25">
      <w:pPr>
        <w:autoSpaceDE w:val="0"/>
        <w:autoSpaceDN w:val="0"/>
        <w:adjustRightInd w:val="0"/>
        <w:snapToGrid w:val="0"/>
        <w:spacing w:line="600" w:lineRule="exact"/>
        <w:ind w:firstLine="560" w:firstLineChars="200"/>
        <w:textAlignment w:val="bottom"/>
        <w:rPr>
          <w:color w:val="000000" w:themeColor="text1"/>
          <w:kern w:val="0"/>
          <w:sz w:val="28"/>
          <w:szCs w:val="28"/>
        </w:rPr>
      </w:pPr>
      <w:r>
        <w:rPr>
          <w:color w:val="000000" w:themeColor="text1"/>
          <w:kern w:val="0"/>
          <w:sz w:val="28"/>
          <w:szCs w:val="28"/>
        </w:rPr>
        <w:t>在平阴县以东</w:t>
      </w:r>
      <w:r>
        <w:rPr>
          <w:rFonts w:hint="eastAsia"/>
          <w:color w:val="000000" w:themeColor="text1"/>
          <w:kern w:val="0"/>
          <w:sz w:val="28"/>
          <w:szCs w:val="28"/>
        </w:rPr>
        <w:t>、</w:t>
      </w:r>
      <w:r>
        <w:rPr>
          <w:color w:val="000000" w:themeColor="text1"/>
          <w:kern w:val="0"/>
          <w:sz w:val="28"/>
          <w:szCs w:val="28"/>
        </w:rPr>
        <w:t>安城镇南部</w:t>
      </w:r>
      <w:r>
        <w:rPr>
          <w:rFonts w:hint="eastAsia"/>
          <w:color w:val="000000" w:themeColor="text1"/>
          <w:kern w:val="0"/>
          <w:sz w:val="28"/>
          <w:szCs w:val="28"/>
        </w:rPr>
        <w:t>区域</w:t>
      </w:r>
      <w:r>
        <w:rPr>
          <w:color w:val="000000" w:themeColor="text1"/>
          <w:kern w:val="0"/>
          <w:sz w:val="28"/>
          <w:szCs w:val="28"/>
        </w:rPr>
        <w:t>，含水层岩性以页岩为主，夹薄层灰岩、白云质灰岩，岩溶裂隙发育程度弱，水位埋深多在20～50m之间，单井涌水量小于500m</w:t>
      </w:r>
      <w:r>
        <w:rPr>
          <w:color w:val="000000" w:themeColor="text1"/>
          <w:kern w:val="0"/>
          <w:sz w:val="28"/>
          <w:szCs w:val="28"/>
          <w:vertAlign w:val="superscript"/>
        </w:rPr>
        <w:t>3</w:t>
      </w:r>
      <w:r>
        <w:rPr>
          <w:color w:val="000000" w:themeColor="text1"/>
          <w:kern w:val="0"/>
          <w:sz w:val="28"/>
          <w:szCs w:val="28"/>
        </w:rPr>
        <w:t>/d。局部地段靠近断裂构造带，岩溶裂隙较为发育，富水性较好。根据地质勘察资料，在石横～孝直断裂带附近，单井涌水量达1980m</w:t>
      </w:r>
      <w:r>
        <w:rPr>
          <w:color w:val="000000" w:themeColor="text1"/>
          <w:kern w:val="0"/>
          <w:sz w:val="28"/>
          <w:szCs w:val="28"/>
          <w:vertAlign w:val="superscript"/>
        </w:rPr>
        <w:t>3</w:t>
      </w:r>
      <w:r>
        <w:rPr>
          <w:color w:val="000000" w:themeColor="text1"/>
          <w:kern w:val="0"/>
          <w:sz w:val="28"/>
          <w:szCs w:val="28"/>
        </w:rPr>
        <w:t>/d，降深仅0.39m。</w:t>
      </w:r>
    </w:p>
    <w:p w14:paraId="3107A17C">
      <w:pPr>
        <w:keepNext/>
        <w:autoSpaceDE w:val="0"/>
        <w:autoSpaceDN w:val="0"/>
        <w:adjustRightInd w:val="0"/>
        <w:snapToGrid w:val="0"/>
        <w:spacing w:line="600" w:lineRule="exact"/>
        <w:textAlignment w:val="bottom"/>
        <w:outlineLvl w:val="2"/>
        <w:rPr>
          <w:b/>
          <w:color w:val="000000" w:themeColor="text1"/>
          <w:sz w:val="28"/>
          <w:szCs w:val="28"/>
        </w:rPr>
      </w:pPr>
      <w:bookmarkStart w:id="66" w:name="_Toc144243701"/>
      <w:r>
        <w:rPr>
          <w:b/>
          <w:color w:val="000000" w:themeColor="text1"/>
          <w:sz w:val="28"/>
          <w:szCs w:val="28"/>
        </w:rPr>
        <w:t xml:space="preserve">2.1.6 </w:t>
      </w:r>
      <w:r>
        <w:rPr>
          <w:rFonts w:hint="eastAsia"/>
          <w:b/>
          <w:color w:val="000000" w:themeColor="text1"/>
          <w:sz w:val="28"/>
          <w:szCs w:val="28"/>
        </w:rPr>
        <w:t>河流与泉</w:t>
      </w:r>
      <w:bookmarkEnd w:id="66"/>
    </w:p>
    <w:p w14:paraId="0CCAEBE4">
      <w:pPr>
        <w:tabs>
          <w:tab w:val="left" w:pos="5400"/>
        </w:tabs>
        <w:spacing w:line="600" w:lineRule="exact"/>
        <w:ind w:firstLine="560" w:firstLineChars="200"/>
        <w:rPr>
          <w:color w:val="000000" w:themeColor="text1"/>
          <w:sz w:val="28"/>
          <w:szCs w:val="28"/>
        </w:rPr>
      </w:pPr>
      <w:r>
        <w:rPr>
          <w:color w:val="000000" w:themeColor="text1"/>
          <w:sz w:val="28"/>
          <w:szCs w:val="28"/>
        </w:rPr>
        <w:t>1、河流</w:t>
      </w:r>
    </w:p>
    <w:p w14:paraId="5FC83523">
      <w:pPr>
        <w:tabs>
          <w:tab w:val="left" w:pos="5400"/>
        </w:tabs>
        <w:spacing w:line="600" w:lineRule="exact"/>
        <w:ind w:firstLine="560" w:firstLineChars="200"/>
        <w:rPr>
          <w:color w:val="000000" w:themeColor="text1"/>
          <w:sz w:val="28"/>
          <w:szCs w:val="28"/>
        </w:rPr>
      </w:pPr>
      <w:r>
        <w:rPr>
          <w:color w:val="000000" w:themeColor="text1"/>
          <w:sz w:val="28"/>
          <w:szCs w:val="28"/>
        </w:rPr>
        <w:t>平阴县的河流分为过境河流与境内河流，过境河流有黄河、汇河，境内河流主要有浪溪河、玉带河、龙柳河、锦水河、安栾河等</w:t>
      </w:r>
      <w:r>
        <w:rPr>
          <w:rFonts w:hint="eastAsia"/>
          <w:color w:val="000000" w:themeColor="text1"/>
          <w:sz w:val="28"/>
          <w:szCs w:val="28"/>
        </w:rPr>
        <w:t>；</w:t>
      </w:r>
      <w:r>
        <w:rPr>
          <w:color w:val="000000" w:themeColor="text1"/>
          <w:sz w:val="28"/>
          <w:szCs w:val="28"/>
        </w:rPr>
        <w:t>除黄河外</w:t>
      </w:r>
      <w:r>
        <w:rPr>
          <w:rFonts w:hint="eastAsia"/>
          <w:color w:val="000000" w:themeColor="text1"/>
          <w:sz w:val="28"/>
          <w:szCs w:val="28"/>
        </w:rPr>
        <w:t>，其他河流</w:t>
      </w:r>
      <w:r>
        <w:rPr>
          <w:color w:val="000000" w:themeColor="text1"/>
          <w:sz w:val="28"/>
          <w:szCs w:val="28"/>
        </w:rPr>
        <w:t>为季节性河流，</w:t>
      </w:r>
      <w:r>
        <w:rPr>
          <w:rFonts w:hint="eastAsia"/>
          <w:color w:val="000000" w:themeColor="text1"/>
          <w:sz w:val="28"/>
          <w:szCs w:val="28"/>
        </w:rPr>
        <w:t>具体详见附图</w:t>
      </w:r>
      <w:r>
        <w:rPr>
          <w:color w:val="000000" w:themeColor="text1"/>
          <w:sz w:val="28"/>
          <w:szCs w:val="28"/>
        </w:rPr>
        <w:t>3。</w:t>
      </w:r>
    </w:p>
    <w:p w14:paraId="1EAB591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（1）黄河</w:t>
      </w:r>
    </w:p>
    <w:p w14:paraId="2E862F0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黄河干流从平阴县东阿镇进入平阴县境，逶迤东北，从平阴县安城镇王营村出境，流经长度39</w:t>
      </w:r>
      <w:r>
        <w:rPr>
          <w:color w:val="000000" w:themeColor="text1"/>
          <w:sz w:val="28"/>
          <w:szCs w:val="28"/>
        </w:rPr>
        <w:t>.0</w:t>
      </w:r>
      <w:r>
        <w:rPr>
          <w:rFonts w:hint="eastAsia"/>
          <w:color w:val="000000" w:themeColor="text1"/>
          <w:sz w:val="28"/>
          <w:szCs w:val="28"/>
        </w:rPr>
        <w:t>km，汇流面积为598.6 km</w:t>
      </w:r>
      <w:r>
        <w:rPr>
          <w:rFonts w:hint="eastAsia"/>
          <w:color w:val="000000" w:themeColor="text1"/>
          <w:sz w:val="28"/>
          <w:szCs w:val="28"/>
          <w:vertAlign w:val="superscript"/>
          <w:lang w:val="zh-CN"/>
        </w:rPr>
        <w:t>2</w:t>
      </w:r>
      <w:r>
        <w:rPr>
          <w:rFonts w:hint="eastAsia"/>
          <w:color w:val="000000" w:themeColor="text1"/>
          <w:sz w:val="28"/>
          <w:szCs w:val="28"/>
        </w:rPr>
        <w:t>。</w:t>
      </w:r>
    </w:p>
    <w:p w14:paraId="6CC7380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（2）汇河</w:t>
      </w:r>
    </w:p>
    <w:p w14:paraId="31BD0A2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汇河发源于肥城市湖屯镇陶山，从陈屯村南部流入境内，于展小庄出境，流经孔村、孝直二个镇，长12.5km，流域面积220km</w:t>
      </w:r>
      <w:r>
        <w:rPr>
          <w:rFonts w:hint="eastAsia"/>
          <w:color w:val="000000" w:themeColor="text1"/>
          <w:sz w:val="28"/>
          <w:szCs w:val="28"/>
          <w:vertAlign w:val="superscript"/>
          <w:lang w:val="zh-CN"/>
        </w:rPr>
        <w:t>2</w:t>
      </w:r>
      <w:r>
        <w:rPr>
          <w:rFonts w:hint="eastAsia"/>
          <w:color w:val="000000" w:themeColor="text1"/>
          <w:sz w:val="28"/>
          <w:szCs w:val="28"/>
        </w:rPr>
        <w:t>。</w:t>
      </w:r>
    </w:p>
    <w:p w14:paraId="3C3B8190">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（3）浪溪河</w:t>
      </w:r>
    </w:p>
    <w:p w14:paraId="51E653C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浪溪河发源于洪范池镇山区，纳入丁泉、书院泉、洪范池等泉水，于东阿镇入黄河，长26km，流域面积118km</w:t>
      </w:r>
      <w:r>
        <w:rPr>
          <w:rFonts w:hint="eastAsia"/>
          <w:color w:val="000000" w:themeColor="text1"/>
          <w:sz w:val="28"/>
          <w:szCs w:val="28"/>
          <w:vertAlign w:val="superscript"/>
          <w:lang w:val="zh-CN"/>
        </w:rPr>
        <w:t>2</w:t>
      </w:r>
      <w:r>
        <w:rPr>
          <w:rFonts w:hint="eastAsia"/>
          <w:color w:val="000000" w:themeColor="text1"/>
          <w:sz w:val="28"/>
          <w:szCs w:val="28"/>
        </w:rPr>
        <w:t>。</w:t>
      </w:r>
    </w:p>
    <w:p w14:paraId="0C2879F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（4）玉带河</w:t>
      </w:r>
    </w:p>
    <w:p w14:paraId="07DBEAE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玉带河源于孔村镇山区，于玫瑰镇外山入黄河，长27.5km，流域面积134.2km</w:t>
      </w:r>
      <w:r>
        <w:rPr>
          <w:rFonts w:hint="eastAsia"/>
          <w:color w:val="000000" w:themeColor="text1"/>
          <w:sz w:val="28"/>
          <w:szCs w:val="28"/>
          <w:vertAlign w:val="superscript"/>
          <w:lang w:val="zh-CN"/>
        </w:rPr>
        <w:t>2</w:t>
      </w:r>
      <w:r>
        <w:rPr>
          <w:rFonts w:hint="eastAsia"/>
          <w:color w:val="000000" w:themeColor="text1"/>
          <w:sz w:val="28"/>
          <w:szCs w:val="28"/>
        </w:rPr>
        <w:t>。由于该河流下游易受黄河水的顶托，积成内涝。</w:t>
      </w:r>
    </w:p>
    <w:p w14:paraId="1AD032A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w:t>
      </w:r>
      <w:r>
        <w:rPr>
          <w:color w:val="000000" w:themeColor="text1"/>
          <w:sz w:val="28"/>
          <w:szCs w:val="28"/>
        </w:rPr>
        <w:t>5</w:t>
      </w:r>
      <w:r>
        <w:rPr>
          <w:rFonts w:hint="eastAsia"/>
          <w:color w:val="000000" w:themeColor="text1"/>
          <w:sz w:val="28"/>
          <w:szCs w:val="28"/>
        </w:rPr>
        <w:t>）锦水河</w:t>
      </w:r>
    </w:p>
    <w:p w14:paraId="403519F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锦水河发源于平阴县城区南部山区，长11.9km，流域面积57.2km</w:t>
      </w:r>
      <w:r>
        <w:rPr>
          <w:rFonts w:hint="eastAsia"/>
          <w:color w:val="000000" w:themeColor="text1"/>
          <w:sz w:val="28"/>
          <w:szCs w:val="28"/>
          <w:vertAlign w:val="superscript"/>
          <w:lang w:val="zh-CN"/>
        </w:rPr>
        <w:t>2</w:t>
      </w:r>
      <w:r>
        <w:rPr>
          <w:rFonts w:hint="eastAsia"/>
          <w:color w:val="000000" w:themeColor="text1"/>
          <w:sz w:val="28"/>
          <w:szCs w:val="28"/>
        </w:rPr>
        <w:t>。河流有东、西两条支流，东支流穿平阴县城而过，主要排入玫瑰湖湿地和玫城湿地，用于河道和湿地生态景观，一般河水不排入黄河。</w:t>
      </w:r>
    </w:p>
    <w:p w14:paraId="50323A5A">
      <w:pPr>
        <w:tabs>
          <w:tab w:val="left" w:pos="5400"/>
        </w:tabs>
        <w:spacing w:line="600" w:lineRule="exact"/>
        <w:ind w:firstLine="560" w:firstLineChars="200"/>
        <w:rPr>
          <w:color w:val="000000" w:themeColor="text1"/>
          <w:sz w:val="28"/>
          <w:szCs w:val="28"/>
        </w:rPr>
      </w:pPr>
      <w:r>
        <w:rPr>
          <w:color w:val="000000" w:themeColor="text1"/>
          <w:sz w:val="28"/>
          <w:szCs w:val="28"/>
        </w:rPr>
        <w:t>2、泉水</w:t>
      </w:r>
    </w:p>
    <w:p w14:paraId="31F560D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共有53处泉水出露，其中洪范池泉、书院泉、扈泉、日月泉属于济南市七十二名泉。泉水在地形分布上，一般出露于山间谷地，高程在海拔75m～110m之间，多属裂隙下降泉；泉的涌水量大小不一，差异性较大，季节性强，常年有水泉占比77%，季节性有水泉占比23%。</w:t>
      </w:r>
    </w:p>
    <w:p w14:paraId="11182599">
      <w:pPr>
        <w:autoSpaceDE w:val="0"/>
        <w:autoSpaceDN w:val="0"/>
        <w:adjustRightInd w:val="0"/>
        <w:snapToGrid w:val="0"/>
        <w:spacing w:line="600" w:lineRule="exact"/>
        <w:textAlignment w:val="bottom"/>
        <w:outlineLvl w:val="2"/>
        <w:rPr>
          <w:b/>
          <w:color w:val="000000" w:themeColor="text1"/>
          <w:sz w:val="28"/>
          <w:szCs w:val="28"/>
        </w:rPr>
      </w:pPr>
      <w:bookmarkStart w:id="67" w:name="_Toc144243702"/>
      <w:r>
        <w:rPr>
          <w:b/>
          <w:color w:val="000000" w:themeColor="text1"/>
          <w:sz w:val="28"/>
          <w:szCs w:val="28"/>
        </w:rPr>
        <w:t xml:space="preserve">2.1.7 </w:t>
      </w:r>
      <w:r>
        <w:rPr>
          <w:rFonts w:hint="eastAsia"/>
          <w:b/>
          <w:color w:val="000000" w:themeColor="text1"/>
          <w:sz w:val="28"/>
          <w:szCs w:val="28"/>
        </w:rPr>
        <w:t>土壤植被</w:t>
      </w:r>
      <w:bookmarkEnd w:id="67"/>
    </w:p>
    <w:p w14:paraId="66671042">
      <w:pPr>
        <w:tabs>
          <w:tab w:val="left" w:pos="5400"/>
        </w:tabs>
        <w:spacing w:line="600" w:lineRule="exact"/>
        <w:ind w:firstLine="560" w:firstLineChars="200"/>
        <w:rPr>
          <w:color w:val="000000" w:themeColor="text1"/>
          <w:sz w:val="28"/>
          <w:szCs w:val="28"/>
        </w:rPr>
      </w:pPr>
      <w:r>
        <w:rPr>
          <w:color w:val="000000" w:themeColor="text1"/>
          <w:sz w:val="28"/>
          <w:szCs w:val="28"/>
        </w:rPr>
        <w:t>平阴县境内土壤主要分为3个土类、7个亚类。褐土类主要有褐土性土、褐土、潮褐土3个亚类，面积609.2km</w:t>
      </w:r>
      <w:r>
        <w:rPr>
          <w:color w:val="000000" w:themeColor="text1"/>
          <w:sz w:val="28"/>
          <w:szCs w:val="28"/>
          <w:vertAlign w:val="superscript"/>
        </w:rPr>
        <w:t>2</w:t>
      </w:r>
      <w:r>
        <w:rPr>
          <w:color w:val="000000" w:themeColor="text1"/>
          <w:sz w:val="28"/>
          <w:szCs w:val="28"/>
        </w:rPr>
        <w:t>，占全县土地总面积的73.66%，除沿黄地带外全县广泛分布。其中褐土、潮褐土适宜种植各种农作物及林果，是平阴县高产、优质农产品发展区。潮土类主要包括褐土化潮土、潮土和盐化潮土3个亚类，面积79.8km</w:t>
      </w:r>
      <w:r>
        <w:rPr>
          <w:color w:val="000000" w:themeColor="text1"/>
          <w:sz w:val="28"/>
          <w:szCs w:val="28"/>
          <w:vertAlign w:val="superscript"/>
        </w:rPr>
        <w:t>2</w:t>
      </w:r>
      <w:r>
        <w:rPr>
          <w:color w:val="000000" w:themeColor="text1"/>
          <w:sz w:val="28"/>
          <w:szCs w:val="28"/>
        </w:rPr>
        <w:t>，占全县土地总面积的9.65%，主要分布在沿黄冲积平原地带。适宜种植小麦、玉米、花生、大豆等作物。砂</w:t>
      </w:r>
      <w:r>
        <w:rPr>
          <w:rFonts w:hint="eastAsia"/>
          <w:color w:val="000000" w:themeColor="text1"/>
          <w:sz w:val="28"/>
          <w:szCs w:val="28"/>
        </w:rPr>
        <w:t>姜</w:t>
      </w:r>
      <w:r>
        <w:rPr>
          <w:color w:val="000000" w:themeColor="text1"/>
          <w:sz w:val="28"/>
          <w:szCs w:val="28"/>
        </w:rPr>
        <w:t>黑土1个亚类，面积8.7km</w:t>
      </w:r>
      <w:r>
        <w:rPr>
          <w:color w:val="000000" w:themeColor="text1"/>
          <w:sz w:val="28"/>
          <w:szCs w:val="28"/>
          <w:vertAlign w:val="superscript"/>
        </w:rPr>
        <w:t>2</w:t>
      </w:r>
      <w:r>
        <w:rPr>
          <w:color w:val="000000" w:themeColor="text1"/>
          <w:sz w:val="28"/>
          <w:szCs w:val="28"/>
        </w:rPr>
        <w:t>，占全县土地总面积的1.05%，主要分布在孝直镇的东部和店子乡西部汇河两岸的</w:t>
      </w:r>
      <w:r>
        <w:rPr>
          <w:rFonts w:hint="eastAsia"/>
          <w:color w:val="000000" w:themeColor="text1"/>
          <w:sz w:val="28"/>
          <w:szCs w:val="28"/>
        </w:rPr>
        <w:t>山</w:t>
      </w:r>
      <w:r>
        <w:rPr>
          <w:color w:val="000000" w:themeColor="text1"/>
          <w:sz w:val="28"/>
          <w:szCs w:val="28"/>
        </w:rPr>
        <w:t>间洼地上。该土适应性较差，对作物有选择性，多为一年两作或一年一作。</w:t>
      </w:r>
    </w:p>
    <w:p w14:paraId="1AE79E3A">
      <w:pPr>
        <w:tabs>
          <w:tab w:val="left" w:pos="5400"/>
        </w:tabs>
        <w:spacing w:line="600" w:lineRule="exact"/>
        <w:ind w:firstLine="560" w:firstLineChars="200"/>
        <w:rPr>
          <w:color w:val="000000" w:themeColor="text1"/>
          <w:sz w:val="28"/>
          <w:szCs w:val="28"/>
          <w:lang w:val="zh-CN"/>
        </w:rPr>
      </w:pPr>
      <w:r>
        <w:rPr>
          <w:color w:val="000000" w:themeColor="text1"/>
          <w:sz w:val="28"/>
          <w:szCs w:val="28"/>
          <w:lang w:val="zh-CN"/>
        </w:rPr>
        <w:t>平阴县属暖温带落叶阔叶林区。由于人为活动</w:t>
      </w:r>
      <w:r>
        <w:rPr>
          <w:rFonts w:hint="eastAsia"/>
          <w:color w:val="000000" w:themeColor="text1"/>
          <w:sz w:val="28"/>
          <w:szCs w:val="28"/>
          <w:lang w:val="zh-CN"/>
        </w:rPr>
        <w:t>的</w:t>
      </w:r>
      <w:r>
        <w:rPr>
          <w:color w:val="000000" w:themeColor="text1"/>
          <w:sz w:val="28"/>
          <w:szCs w:val="28"/>
          <w:lang w:val="zh-CN"/>
        </w:rPr>
        <w:t>影响，现有自然植被具有明显的次生性质。全县自然植物资源有126科、185属、368种，其中木本植物资源为52科、74属、132种及变种。全县农作物种植面积48541hm</w:t>
      </w:r>
      <w:r>
        <w:rPr>
          <w:color w:val="000000" w:themeColor="text1"/>
          <w:sz w:val="28"/>
          <w:szCs w:val="28"/>
          <w:vertAlign w:val="superscript"/>
          <w:lang w:val="zh-CN"/>
        </w:rPr>
        <w:t>2</w:t>
      </w:r>
      <w:r>
        <w:rPr>
          <w:rFonts w:hint="eastAsia"/>
          <w:color w:val="000000" w:themeColor="text1"/>
          <w:sz w:val="28"/>
          <w:szCs w:val="28"/>
          <w:lang w:val="zh-CN"/>
        </w:rPr>
        <w:t>，</w:t>
      </w:r>
      <w:r>
        <w:rPr>
          <w:color w:val="000000" w:themeColor="text1"/>
          <w:sz w:val="28"/>
          <w:szCs w:val="28"/>
          <w:lang w:val="zh-CN"/>
        </w:rPr>
        <w:t>森林覆盖率为20.68%。</w:t>
      </w:r>
    </w:p>
    <w:p w14:paraId="0C402E76">
      <w:pPr>
        <w:autoSpaceDE w:val="0"/>
        <w:autoSpaceDN w:val="0"/>
        <w:adjustRightInd w:val="0"/>
        <w:snapToGrid w:val="0"/>
        <w:spacing w:line="600" w:lineRule="exact"/>
        <w:textAlignment w:val="bottom"/>
        <w:outlineLvl w:val="2"/>
        <w:rPr>
          <w:b/>
          <w:color w:val="000000" w:themeColor="text1"/>
          <w:sz w:val="28"/>
          <w:szCs w:val="28"/>
        </w:rPr>
      </w:pPr>
      <w:bookmarkStart w:id="68" w:name="_Toc144243703"/>
      <w:r>
        <w:rPr>
          <w:b/>
          <w:color w:val="000000" w:themeColor="text1"/>
          <w:sz w:val="28"/>
          <w:szCs w:val="28"/>
        </w:rPr>
        <w:t xml:space="preserve">2.1.8 </w:t>
      </w:r>
      <w:r>
        <w:rPr>
          <w:rFonts w:hint="eastAsia"/>
          <w:b/>
          <w:color w:val="000000" w:themeColor="text1"/>
          <w:sz w:val="28"/>
          <w:szCs w:val="28"/>
        </w:rPr>
        <w:t>水利工程</w:t>
      </w:r>
      <w:bookmarkEnd w:id="68"/>
    </w:p>
    <w:p w14:paraId="1543131A">
      <w:pPr>
        <w:tabs>
          <w:tab w:val="left" w:pos="5400"/>
        </w:tabs>
        <w:spacing w:line="600" w:lineRule="exact"/>
        <w:ind w:firstLine="560" w:firstLineChars="200"/>
        <w:rPr>
          <w:color w:val="000000" w:themeColor="text1"/>
          <w:sz w:val="28"/>
          <w:szCs w:val="28"/>
        </w:rPr>
      </w:pPr>
      <w:r>
        <w:rPr>
          <w:color w:val="000000" w:themeColor="text1"/>
          <w:sz w:val="28"/>
          <w:szCs w:val="28"/>
        </w:rPr>
        <w:t>1、地表水工程</w:t>
      </w:r>
    </w:p>
    <w:p w14:paraId="7D5F3940">
      <w:pPr>
        <w:tabs>
          <w:tab w:val="left" w:pos="5400"/>
        </w:tabs>
        <w:spacing w:line="600" w:lineRule="exact"/>
        <w:ind w:firstLine="560" w:firstLineChars="200"/>
        <w:rPr>
          <w:color w:val="000000" w:themeColor="text1"/>
          <w:sz w:val="28"/>
          <w:szCs w:val="28"/>
        </w:rPr>
      </w:pPr>
      <w:bookmarkStart w:id="69" w:name="OLE_LINK3"/>
      <w:r>
        <w:rPr>
          <w:color w:val="000000" w:themeColor="text1"/>
          <w:sz w:val="28"/>
          <w:szCs w:val="28"/>
        </w:rPr>
        <w:t>平阴县现有地表水工程</w:t>
      </w:r>
      <w:r>
        <w:rPr>
          <w:rFonts w:hint="eastAsia"/>
          <w:color w:val="000000" w:themeColor="text1"/>
          <w:sz w:val="28"/>
          <w:szCs w:val="28"/>
        </w:rPr>
        <w:t>主要有：</w:t>
      </w:r>
      <w:r>
        <w:rPr>
          <w:color w:val="000000" w:themeColor="text1"/>
          <w:sz w:val="28"/>
          <w:szCs w:val="28"/>
        </w:rPr>
        <w:t>小型水库5</w:t>
      </w:r>
      <w:r>
        <w:rPr>
          <w:rFonts w:hint="eastAsia"/>
          <w:color w:val="000000" w:themeColor="text1"/>
          <w:sz w:val="28"/>
          <w:szCs w:val="28"/>
        </w:rPr>
        <w:t>3</w:t>
      </w:r>
      <w:r>
        <w:rPr>
          <w:color w:val="000000" w:themeColor="text1"/>
          <w:sz w:val="28"/>
          <w:szCs w:val="28"/>
        </w:rPr>
        <w:t>座，总库容</w:t>
      </w:r>
      <w:r>
        <w:rPr>
          <w:rFonts w:hint="eastAsia"/>
          <w:color w:val="000000" w:themeColor="text1"/>
          <w:sz w:val="28"/>
          <w:szCs w:val="28"/>
        </w:rPr>
        <w:t>3939.49</w:t>
      </w:r>
      <w:r>
        <w:rPr>
          <w:color w:val="000000" w:themeColor="text1"/>
          <w:sz w:val="28"/>
          <w:szCs w:val="28"/>
        </w:rPr>
        <w:t>万m</w:t>
      </w:r>
      <w:r>
        <w:rPr>
          <w:color w:val="000000" w:themeColor="text1"/>
          <w:sz w:val="28"/>
          <w:szCs w:val="28"/>
          <w:vertAlign w:val="superscript"/>
        </w:rPr>
        <w:t>3</w:t>
      </w:r>
      <w:r>
        <w:rPr>
          <w:color w:val="000000" w:themeColor="text1"/>
          <w:sz w:val="28"/>
          <w:szCs w:val="28"/>
        </w:rPr>
        <w:t>，兴利库容2</w:t>
      </w:r>
      <w:r>
        <w:rPr>
          <w:rFonts w:hint="eastAsia"/>
          <w:color w:val="000000" w:themeColor="text1"/>
          <w:sz w:val="28"/>
          <w:szCs w:val="28"/>
        </w:rPr>
        <w:t>380.34</w:t>
      </w:r>
      <w:r>
        <w:rPr>
          <w:color w:val="000000" w:themeColor="text1"/>
          <w:sz w:val="28"/>
          <w:szCs w:val="28"/>
        </w:rPr>
        <w:t>万m</w:t>
      </w:r>
      <w:r>
        <w:rPr>
          <w:color w:val="000000" w:themeColor="text1"/>
          <w:sz w:val="28"/>
          <w:szCs w:val="28"/>
          <w:vertAlign w:val="superscript"/>
        </w:rPr>
        <w:t>3</w:t>
      </w:r>
      <w:r>
        <w:rPr>
          <w:color w:val="000000" w:themeColor="text1"/>
          <w:sz w:val="28"/>
          <w:szCs w:val="28"/>
        </w:rPr>
        <w:t>，防洪库容1</w:t>
      </w:r>
      <w:r>
        <w:rPr>
          <w:rFonts w:hint="eastAsia"/>
          <w:color w:val="000000" w:themeColor="text1"/>
          <w:sz w:val="28"/>
          <w:szCs w:val="28"/>
        </w:rPr>
        <w:t>054.99</w:t>
      </w:r>
      <w:r>
        <w:rPr>
          <w:color w:val="000000" w:themeColor="text1"/>
          <w:sz w:val="28"/>
          <w:szCs w:val="28"/>
        </w:rPr>
        <w:t>万m</w:t>
      </w:r>
      <w:r>
        <w:rPr>
          <w:color w:val="000000" w:themeColor="text1"/>
          <w:sz w:val="28"/>
          <w:szCs w:val="28"/>
          <w:vertAlign w:val="superscript"/>
        </w:rPr>
        <w:t>3</w:t>
      </w:r>
      <w:r>
        <w:rPr>
          <w:color w:val="000000" w:themeColor="text1"/>
          <w:sz w:val="28"/>
          <w:szCs w:val="28"/>
        </w:rPr>
        <w:t>，有效灌溉面积</w:t>
      </w:r>
      <w:r>
        <w:rPr>
          <w:rFonts w:hint="eastAsia"/>
          <w:color w:val="000000" w:themeColor="text1"/>
          <w:sz w:val="28"/>
          <w:szCs w:val="28"/>
        </w:rPr>
        <w:t>2.</w:t>
      </w:r>
      <w:r>
        <w:rPr>
          <w:color w:val="000000" w:themeColor="text1"/>
          <w:sz w:val="28"/>
          <w:szCs w:val="28"/>
        </w:rPr>
        <w:t>7万亩。其中小</w:t>
      </w:r>
      <w:r>
        <w:rPr>
          <w:rFonts w:hint="eastAsia"/>
          <w:color w:val="000000" w:themeColor="text1"/>
          <w:sz w:val="28"/>
          <w:szCs w:val="28"/>
          <w:lang w:eastAsia="zh-CN"/>
        </w:rPr>
        <w:t>（</w:t>
      </w:r>
      <w:r>
        <w:rPr>
          <w:color w:val="000000" w:themeColor="text1"/>
          <w:sz w:val="28"/>
          <w:szCs w:val="28"/>
        </w:rPr>
        <w:t>1</w:t>
      </w:r>
      <w:r>
        <w:rPr>
          <w:rFonts w:hint="eastAsia"/>
          <w:color w:val="000000" w:themeColor="text1"/>
          <w:sz w:val="28"/>
          <w:szCs w:val="28"/>
          <w:lang w:eastAsia="zh-CN"/>
        </w:rPr>
        <w:t>）</w:t>
      </w:r>
      <w:r>
        <w:rPr>
          <w:color w:val="000000" w:themeColor="text1"/>
          <w:sz w:val="28"/>
          <w:szCs w:val="28"/>
        </w:rPr>
        <w:t>型水库1</w:t>
      </w:r>
      <w:r>
        <w:rPr>
          <w:rFonts w:hint="eastAsia"/>
          <w:color w:val="000000" w:themeColor="text1"/>
          <w:sz w:val="28"/>
          <w:szCs w:val="28"/>
        </w:rPr>
        <w:t>4</w:t>
      </w:r>
      <w:r>
        <w:rPr>
          <w:color w:val="000000" w:themeColor="text1"/>
          <w:sz w:val="28"/>
          <w:szCs w:val="28"/>
        </w:rPr>
        <w:t>座，总库容</w:t>
      </w:r>
      <w:r>
        <w:rPr>
          <w:rFonts w:hint="eastAsia"/>
          <w:color w:val="000000" w:themeColor="text1"/>
          <w:sz w:val="28"/>
          <w:szCs w:val="28"/>
        </w:rPr>
        <w:t>2723.53</w:t>
      </w:r>
      <w:r>
        <w:rPr>
          <w:color w:val="000000" w:themeColor="text1"/>
          <w:sz w:val="28"/>
          <w:szCs w:val="28"/>
        </w:rPr>
        <w:t>万m</w:t>
      </w:r>
      <w:r>
        <w:rPr>
          <w:color w:val="000000" w:themeColor="text1"/>
          <w:sz w:val="28"/>
          <w:szCs w:val="28"/>
          <w:vertAlign w:val="superscript"/>
        </w:rPr>
        <w:t>3</w:t>
      </w:r>
      <w:r>
        <w:rPr>
          <w:color w:val="000000" w:themeColor="text1"/>
          <w:sz w:val="28"/>
          <w:szCs w:val="28"/>
        </w:rPr>
        <w:t>，防洪库容</w:t>
      </w:r>
      <w:r>
        <w:rPr>
          <w:rFonts w:hint="eastAsia"/>
          <w:color w:val="000000" w:themeColor="text1"/>
          <w:sz w:val="28"/>
          <w:szCs w:val="28"/>
        </w:rPr>
        <w:t>1054.99</w:t>
      </w:r>
      <w:r>
        <w:rPr>
          <w:color w:val="000000" w:themeColor="text1"/>
          <w:sz w:val="28"/>
          <w:szCs w:val="28"/>
        </w:rPr>
        <w:t>万m</w:t>
      </w:r>
      <w:r>
        <w:rPr>
          <w:color w:val="000000" w:themeColor="text1"/>
          <w:sz w:val="28"/>
          <w:szCs w:val="28"/>
          <w:vertAlign w:val="superscript"/>
        </w:rPr>
        <w:t>3</w:t>
      </w:r>
      <w:r>
        <w:rPr>
          <w:rFonts w:hint="eastAsia"/>
          <w:color w:val="000000" w:themeColor="text1"/>
          <w:sz w:val="28"/>
          <w:szCs w:val="28"/>
        </w:rPr>
        <w:t>；</w:t>
      </w:r>
      <w:r>
        <w:rPr>
          <w:color w:val="000000" w:themeColor="text1"/>
          <w:sz w:val="28"/>
          <w:szCs w:val="28"/>
        </w:rPr>
        <w:t>小</w:t>
      </w:r>
      <w:r>
        <w:rPr>
          <w:rFonts w:hint="eastAsia"/>
          <w:color w:val="000000" w:themeColor="text1"/>
          <w:sz w:val="28"/>
          <w:szCs w:val="28"/>
          <w:lang w:eastAsia="zh-CN"/>
        </w:rPr>
        <w:t>（</w:t>
      </w:r>
      <w:r>
        <w:rPr>
          <w:color w:val="000000" w:themeColor="text1"/>
          <w:sz w:val="28"/>
          <w:szCs w:val="28"/>
        </w:rPr>
        <w:t>2</w:t>
      </w:r>
      <w:r>
        <w:rPr>
          <w:rFonts w:hint="eastAsia"/>
          <w:color w:val="000000" w:themeColor="text1"/>
          <w:sz w:val="28"/>
          <w:szCs w:val="28"/>
          <w:lang w:eastAsia="zh-CN"/>
        </w:rPr>
        <w:t>）</w:t>
      </w:r>
      <w:r>
        <w:rPr>
          <w:color w:val="000000" w:themeColor="text1"/>
          <w:sz w:val="28"/>
          <w:szCs w:val="28"/>
        </w:rPr>
        <w:t>型水库</w:t>
      </w:r>
      <w:r>
        <w:rPr>
          <w:rFonts w:hint="eastAsia"/>
          <w:color w:val="000000" w:themeColor="text1"/>
          <w:sz w:val="28"/>
          <w:szCs w:val="28"/>
        </w:rPr>
        <w:t>39</w:t>
      </w:r>
      <w:r>
        <w:rPr>
          <w:color w:val="000000" w:themeColor="text1"/>
          <w:sz w:val="28"/>
          <w:szCs w:val="28"/>
        </w:rPr>
        <w:t>座，总库容</w:t>
      </w:r>
      <w:r>
        <w:rPr>
          <w:rFonts w:hint="eastAsia"/>
          <w:color w:val="000000" w:themeColor="text1"/>
          <w:sz w:val="28"/>
          <w:szCs w:val="28"/>
        </w:rPr>
        <w:t>1215.96</w:t>
      </w:r>
      <w:r>
        <w:rPr>
          <w:color w:val="000000" w:themeColor="text1"/>
          <w:sz w:val="28"/>
          <w:szCs w:val="28"/>
        </w:rPr>
        <w:t>万m</w:t>
      </w:r>
      <w:r>
        <w:rPr>
          <w:color w:val="000000" w:themeColor="text1"/>
          <w:sz w:val="28"/>
          <w:szCs w:val="28"/>
          <w:vertAlign w:val="superscript"/>
        </w:rPr>
        <w:t>3</w:t>
      </w:r>
      <w:r>
        <w:rPr>
          <w:rFonts w:hint="eastAsia"/>
          <w:color w:val="000000" w:themeColor="text1"/>
          <w:sz w:val="28"/>
          <w:szCs w:val="28"/>
        </w:rPr>
        <w:t>。平阴县现有</w:t>
      </w:r>
      <w:r>
        <w:rPr>
          <w:color w:val="000000" w:themeColor="text1"/>
          <w:sz w:val="28"/>
          <w:szCs w:val="28"/>
        </w:rPr>
        <w:t>塘坝</w:t>
      </w:r>
      <w:r>
        <w:rPr>
          <w:rFonts w:hint="eastAsia"/>
          <w:color w:val="000000" w:themeColor="text1"/>
          <w:sz w:val="28"/>
          <w:szCs w:val="28"/>
        </w:rPr>
        <w:t>47</w:t>
      </w:r>
      <w:r>
        <w:rPr>
          <w:color w:val="000000" w:themeColor="text1"/>
          <w:sz w:val="28"/>
          <w:szCs w:val="28"/>
        </w:rPr>
        <w:t>座，其他工程为1049处。</w:t>
      </w:r>
    </w:p>
    <w:bookmarkEnd w:id="69"/>
    <w:p w14:paraId="66EEF2A9">
      <w:pPr>
        <w:adjustRightInd w:val="0"/>
        <w:snapToGrid w:val="0"/>
        <w:spacing w:line="560" w:lineRule="exact"/>
        <w:ind w:firstLine="560" w:firstLineChars="200"/>
        <w:rPr>
          <w:color w:val="000000" w:themeColor="text1"/>
          <w:sz w:val="28"/>
          <w:szCs w:val="28"/>
        </w:rPr>
      </w:pPr>
      <w:r>
        <w:rPr>
          <w:color w:val="000000" w:themeColor="text1"/>
          <w:sz w:val="28"/>
          <w:szCs w:val="28"/>
        </w:rPr>
        <w:t>2、地下水工程</w:t>
      </w:r>
    </w:p>
    <w:p w14:paraId="678C69D1">
      <w:pPr>
        <w:tabs>
          <w:tab w:val="left" w:pos="5400"/>
        </w:tabs>
        <w:spacing w:line="600" w:lineRule="exact"/>
        <w:ind w:firstLine="560" w:firstLineChars="200"/>
        <w:rPr>
          <w:color w:val="000000" w:themeColor="text1"/>
          <w:sz w:val="28"/>
          <w:szCs w:val="28"/>
        </w:rPr>
      </w:pPr>
      <w:r>
        <w:rPr>
          <w:color w:val="000000" w:themeColor="text1"/>
          <w:sz w:val="28"/>
          <w:szCs w:val="28"/>
        </w:rPr>
        <w:t>平阴县现已开发6个一级水源地，分别为前寨</w:t>
      </w:r>
      <w:r>
        <w:rPr>
          <w:rFonts w:hint="eastAsia"/>
          <w:color w:val="000000" w:themeColor="text1"/>
          <w:sz w:val="28"/>
          <w:szCs w:val="28"/>
          <w:lang w:eastAsia="zh-CN"/>
        </w:rPr>
        <w:t>－</w:t>
      </w:r>
      <w:r>
        <w:rPr>
          <w:color w:val="000000" w:themeColor="text1"/>
          <w:sz w:val="28"/>
          <w:szCs w:val="28"/>
        </w:rPr>
        <w:t>凌庄水源地、安城水源地、北栾水源地、小屯水源地、孔村水源地、孝直水源地，9个二级水源地。据统计</w:t>
      </w:r>
      <w:r>
        <w:rPr>
          <w:rFonts w:hint="eastAsia"/>
          <w:color w:val="000000" w:themeColor="text1"/>
          <w:sz w:val="28"/>
          <w:szCs w:val="28"/>
        </w:rPr>
        <w:t>平阴县</w:t>
      </w:r>
      <w:r>
        <w:rPr>
          <w:color w:val="000000" w:themeColor="text1"/>
          <w:sz w:val="28"/>
          <w:szCs w:val="28"/>
        </w:rPr>
        <w:t>城区有144眼</w:t>
      </w:r>
      <w:r>
        <w:rPr>
          <w:rFonts w:hint="eastAsia"/>
          <w:color w:val="000000" w:themeColor="text1"/>
          <w:sz w:val="28"/>
          <w:szCs w:val="28"/>
        </w:rPr>
        <w:t>规模以上取水井</w:t>
      </w:r>
      <w:r>
        <w:rPr>
          <w:color w:val="000000" w:themeColor="text1"/>
          <w:sz w:val="28"/>
          <w:szCs w:val="28"/>
        </w:rPr>
        <w:t>，安城镇172眼</w:t>
      </w:r>
      <w:r>
        <w:rPr>
          <w:rFonts w:hint="eastAsia"/>
          <w:color w:val="000000" w:themeColor="text1"/>
          <w:sz w:val="28"/>
          <w:szCs w:val="28"/>
        </w:rPr>
        <w:t>规模以上取水井</w:t>
      </w:r>
      <w:r>
        <w:rPr>
          <w:color w:val="000000" w:themeColor="text1"/>
          <w:sz w:val="28"/>
          <w:szCs w:val="28"/>
        </w:rPr>
        <w:t>，玫瑰镇264眼</w:t>
      </w:r>
      <w:r>
        <w:rPr>
          <w:rFonts w:hint="eastAsia"/>
          <w:color w:val="000000" w:themeColor="text1"/>
          <w:sz w:val="28"/>
          <w:szCs w:val="28"/>
        </w:rPr>
        <w:t>规模以上取水井</w:t>
      </w:r>
      <w:r>
        <w:rPr>
          <w:color w:val="000000" w:themeColor="text1"/>
          <w:sz w:val="28"/>
          <w:szCs w:val="28"/>
        </w:rPr>
        <w:t>，东阿镇136眼</w:t>
      </w:r>
      <w:r>
        <w:rPr>
          <w:rFonts w:hint="eastAsia"/>
          <w:color w:val="000000" w:themeColor="text1"/>
          <w:sz w:val="28"/>
          <w:szCs w:val="28"/>
        </w:rPr>
        <w:t>规模以上取水井</w:t>
      </w:r>
      <w:r>
        <w:rPr>
          <w:color w:val="000000" w:themeColor="text1"/>
          <w:sz w:val="28"/>
          <w:szCs w:val="28"/>
        </w:rPr>
        <w:t>，洪范池镇47眼</w:t>
      </w:r>
      <w:r>
        <w:rPr>
          <w:rFonts w:hint="eastAsia"/>
          <w:color w:val="000000" w:themeColor="text1"/>
          <w:sz w:val="28"/>
          <w:szCs w:val="28"/>
        </w:rPr>
        <w:t>规模以上取水井</w:t>
      </w:r>
      <w:r>
        <w:rPr>
          <w:color w:val="000000" w:themeColor="text1"/>
          <w:sz w:val="28"/>
          <w:szCs w:val="28"/>
        </w:rPr>
        <w:t>，孔村镇137眼</w:t>
      </w:r>
      <w:r>
        <w:rPr>
          <w:rFonts w:hint="eastAsia"/>
          <w:color w:val="000000" w:themeColor="text1"/>
          <w:sz w:val="28"/>
          <w:szCs w:val="28"/>
        </w:rPr>
        <w:t>规模以上取水井</w:t>
      </w:r>
      <w:r>
        <w:rPr>
          <w:color w:val="000000" w:themeColor="text1"/>
          <w:sz w:val="28"/>
          <w:szCs w:val="28"/>
        </w:rPr>
        <w:t>，孝直镇236眼</w:t>
      </w:r>
      <w:r>
        <w:rPr>
          <w:rFonts w:hint="eastAsia"/>
          <w:color w:val="000000" w:themeColor="text1"/>
          <w:sz w:val="28"/>
          <w:szCs w:val="28"/>
        </w:rPr>
        <w:t>规模以上取水井</w:t>
      </w:r>
      <w:r>
        <w:rPr>
          <w:color w:val="000000" w:themeColor="text1"/>
          <w:sz w:val="28"/>
          <w:szCs w:val="28"/>
        </w:rPr>
        <w:t>，总共装机容量2.721×10</w:t>
      </w:r>
      <w:r>
        <w:rPr>
          <w:color w:val="000000" w:themeColor="text1"/>
          <w:sz w:val="28"/>
          <w:szCs w:val="28"/>
          <w:vertAlign w:val="superscript"/>
        </w:rPr>
        <w:t>3</w:t>
      </w:r>
      <w:r>
        <w:rPr>
          <w:color w:val="000000" w:themeColor="text1"/>
          <w:sz w:val="28"/>
          <w:szCs w:val="28"/>
        </w:rPr>
        <w:t>kW，年设计供水能力10113万</w:t>
      </w:r>
      <w:r>
        <w:rPr>
          <w:bCs/>
          <w:color w:val="000000" w:themeColor="text1"/>
          <w:sz w:val="28"/>
          <w:szCs w:val="28"/>
        </w:rPr>
        <w:t>m</w:t>
      </w:r>
      <w:r>
        <w:rPr>
          <w:bCs/>
          <w:color w:val="000000" w:themeColor="text1"/>
          <w:sz w:val="28"/>
          <w:szCs w:val="28"/>
          <w:vertAlign w:val="superscript"/>
        </w:rPr>
        <w:t>3</w:t>
      </w:r>
      <w:r>
        <w:rPr>
          <w:color w:val="000000" w:themeColor="text1"/>
          <w:sz w:val="28"/>
          <w:szCs w:val="28"/>
        </w:rPr>
        <w:t>。</w:t>
      </w:r>
    </w:p>
    <w:p w14:paraId="78033388">
      <w:pPr>
        <w:snapToGrid w:val="0"/>
        <w:spacing w:before="120" w:beforeLines="50" w:after="120" w:afterLines="50" w:line="600" w:lineRule="exact"/>
        <w:outlineLvl w:val="1"/>
        <w:rPr>
          <w:b/>
          <w:color w:val="000000" w:themeColor="text1"/>
          <w:sz w:val="30"/>
          <w:szCs w:val="30"/>
        </w:rPr>
      </w:pPr>
      <w:bookmarkStart w:id="70" w:name="_Toc181472927"/>
      <w:bookmarkStart w:id="71" w:name="_Toc144243704"/>
      <w:r>
        <w:rPr>
          <w:b/>
          <w:color w:val="000000" w:themeColor="text1"/>
          <w:sz w:val="30"/>
          <w:szCs w:val="30"/>
        </w:rPr>
        <w:t xml:space="preserve">2.2 </w:t>
      </w:r>
      <w:r>
        <w:rPr>
          <w:rFonts w:hint="eastAsia"/>
          <w:b/>
          <w:color w:val="000000" w:themeColor="text1"/>
          <w:sz w:val="30"/>
          <w:szCs w:val="30"/>
        </w:rPr>
        <w:t>社会经济</w:t>
      </w:r>
      <w:bookmarkEnd w:id="70"/>
      <w:bookmarkEnd w:id="71"/>
    </w:p>
    <w:p w14:paraId="5FF49B8E">
      <w:pPr>
        <w:tabs>
          <w:tab w:val="left" w:pos="5400"/>
        </w:tabs>
        <w:spacing w:line="600" w:lineRule="exact"/>
        <w:ind w:firstLine="560" w:firstLineChars="200"/>
        <w:rPr>
          <w:color w:val="000000" w:themeColor="text1"/>
          <w:sz w:val="28"/>
          <w:szCs w:val="28"/>
        </w:rPr>
      </w:pPr>
      <w:r>
        <w:rPr>
          <w:color w:val="000000" w:themeColor="text1"/>
          <w:sz w:val="28"/>
          <w:szCs w:val="28"/>
        </w:rPr>
        <w:t>平阴县现辖2个街道办事处、6个乡镇，即榆山街道、锦水街道、安城镇、玫瑰镇、东阿镇、孔村镇、孝直镇、洪范池镇。</w:t>
      </w:r>
    </w:p>
    <w:p w14:paraId="2796C1BD">
      <w:pPr>
        <w:tabs>
          <w:tab w:val="left" w:pos="5400"/>
        </w:tabs>
        <w:spacing w:line="600" w:lineRule="exact"/>
        <w:ind w:firstLine="560" w:firstLineChars="200"/>
        <w:rPr>
          <w:color w:val="000000" w:themeColor="text1"/>
          <w:sz w:val="28"/>
          <w:szCs w:val="28"/>
        </w:rPr>
      </w:pPr>
      <w:r>
        <w:rPr>
          <w:color w:val="000000" w:themeColor="text1"/>
          <w:sz w:val="28"/>
          <w:szCs w:val="28"/>
        </w:rPr>
        <w:t>202</w:t>
      </w:r>
      <w:r>
        <w:rPr>
          <w:rFonts w:hint="eastAsia"/>
          <w:color w:val="000000" w:themeColor="text1"/>
          <w:sz w:val="28"/>
          <w:szCs w:val="28"/>
        </w:rPr>
        <w:t>3年平阴县户籍总人口36.52万人，</w:t>
      </w:r>
      <w:bookmarkStart w:id="72" w:name="OLE_LINK4"/>
      <w:r>
        <w:rPr>
          <w:rFonts w:hint="eastAsia"/>
          <w:color w:val="000000" w:themeColor="text1"/>
          <w:sz w:val="28"/>
          <w:szCs w:val="28"/>
        </w:rPr>
        <w:t>常住</w:t>
      </w:r>
      <w:bookmarkEnd w:id="72"/>
      <w:r>
        <w:rPr>
          <w:rFonts w:hint="eastAsia"/>
          <w:color w:val="000000" w:themeColor="text1"/>
          <w:sz w:val="28"/>
          <w:szCs w:val="28"/>
        </w:rPr>
        <w:t>人口</w:t>
      </w:r>
      <w:r>
        <w:rPr>
          <w:color w:val="000000" w:themeColor="text1"/>
          <w:sz w:val="28"/>
          <w:szCs w:val="28"/>
        </w:rPr>
        <w:t>3</w:t>
      </w:r>
      <w:r>
        <w:rPr>
          <w:rFonts w:hint="eastAsia"/>
          <w:color w:val="000000" w:themeColor="text1"/>
          <w:sz w:val="28"/>
          <w:szCs w:val="28"/>
        </w:rPr>
        <w:t>3.04万人，其中城镇人口为18.45万人，农村人口为14.59万人。县域内耕地面积</w:t>
      </w:r>
      <w:r>
        <w:rPr>
          <w:color w:val="000000" w:themeColor="text1"/>
          <w:sz w:val="28"/>
          <w:szCs w:val="28"/>
        </w:rPr>
        <w:t>4</w:t>
      </w:r>
      <w:r>
        <w:rPr>
          <w:rFonts w:hint="eastAsia"/>
          <w:color w:val="000000" w:themeColor="text1"/>
          <w:sz w:val="28"/>
          <w:szCs w:val="28"/>
        </w:rPr>
        <w:t>0.9860万亩，有效灌溉面积</w:t>
      </w:r>
      <w:r>
        <w:rPr>
          <w:color w:val="000000" w:themeColor="text1"/>
          <w:sz w:val="28"/>
          <w:szCs w:val="28"/>
        </w:rPr>
        <w:t>28.095</w:t>
      </w:r>
      <w:r>
        <w:rPr>
          <w:rFonts w:hint="eastAsia"/>
          <w:color w:val="000000" w:themeColor="text1"/>
          <w:sz w:val="28"/>
          <w:szCs w:val="28"/>
        </w:rPr>
        <w:t>万亩。</w:t>
      </w:r>
      <w:r>
        <w:rPr>
          <w:color w:val="000000" w:themeColor="text1"/>
          <w:sz w:val="28"/>
          <w:szCs w:val="28"/>
        </w:rPr>
        <w:t>202</w:t>
      </w:r>
      <w:r>
        <w:rPr>
          <w:rFonts w:hint="eastAsia"/>
          <w:color w:val="000000" w:themeColor="text1"/>
          <w:sz w:val="28"/>
          <w:szCs w:val="28"/>
        </w:rPr>
        <w:t>3年全县国内生产总值281.2亿元，按可比价格计算，同比增长3.5%。其中，第一产业增加值42.17亿元，同比增长4.2%；第二产业增加值153.70亿元，同比增长1.7%；第三产业增加值85.33亿元，同比增长6.3%。三次产业比例由上年的14.8：56.1</w:t>
      </w:r>
      <w:r>
        <w:rPr>
          <w:rFonts w:hint="eastAsia"/>
          <w:color w:val="000000" w:themeColor="text1"/>
          <w:sz w:val="28"/>
          <w:szCs w:val="28"/>
          <w:lang w:eastAsia="zh-CN"/>
        </w:rPr>
        <w:t>:</w:t>
      </w:r>
      <w:r>
        <w:rPr>
          <w:rFonts w:hint="eastAsia"/>
          <w:color w:val="000000" w:themeColor="text1"/>
          <w:sz w:val="28"/>
          <w:szCs w:val="28"/>
        </w:rPr>
        <w:t>29.1调整为15.0</w:t>
      </w:r>
      <w:r>
        <w:rPr>
          <w:rFonts w:hint="eastAsia"/>
          <w:color w:val="000000" w:themeColor="text1"/>
          <w:sz w:val="28"/>
          <w:szCs w:val="28"/>
          <w:lang w:eastAsia="zh-CN"/>
        </w:rPr>
        <w:t>:</w:t>
      </w:r>
      <w:r>
        <w:rPr>
          <w:rFonts w:hint="eastAsia"/>
          <w:color w:val="000000" w:themeColor="text1"/>
          <w:sz w:val="28"/>
          <w:szCs w:val="28"/>
        </w:rPr>
        <w:t>54.7</w:t>
      </w:r>
      <w:r>
        <w:rPr>
          <w:rFonts w:hint="eastAsia"/>
          <w:color w:val="000000" w:themeColor="text1"/>
          <w:sz w:val="28"/>
          <w:szCs w:val="28"/>
          <w:lang w:eastAsia="zh-CN"/>
        </w:rPr>
        <w:t>:</w:t>
      </w:r>
      <w:r>
        <w:rPr>
          <w:rFonts w:hint="eastAsia"/>
          <w:color w:val="000000" w:themeColor="text1"/>
          <w:sz w:val="28"/>
          <w:szCs w:val="28"/>
        </w:rPr>
        <w:t>30.3。全县152家规模以上工业企业实现营业收入362.03亿元，同比下降13.7%，实现利润总额21.17亿元，同比下降34.7%。实现规模以上工业产值345.95亿元，同比下降10.7%，规模以上工业增加值同比下降5.4%。全县粮食总产量20.30万吨，主要畜禽肉类产量3.19万吨，禽蛋产量3.09万吨，牛奶产量9.23万吨，生猪屠宰量28.5万头。蔬菜播种面积13.84万亩，年产蔬菜量69.88万吨。新增家庭农场37家。</w:t>
      </w:r>
    </w:p>
    <w:p w14:paraId="1C5AA40C">
      <w:pPr>
        <w:snapToGrid w:val="0"/>
        <w:spacing w:before="120" w:beforeLines="50" w:after="120" w:afterLines="50" w:line="600" w:lineRule="exact"/>
        <w:outlineLvl w:val="1"/>
        <w:rPr>
          <w:b/>
          <w:color w:val="000000" w:themeColor="text1"/>
          <w:sz w:val="30"/>
          <w:szCs w:val="30"/>
        </w:rPr>
      </w:pPr>
      <w:bookmarkStart w:id="73" w:name="_Toc144243705"/>
      <w:bookmarkStart w:id="74" w:name="_Toc181472928"/>
      <w:r>
        <w:rPr>
          <w:b/>
          <w:color w:val="000000" w:themeColor="text1"/>
          <w:sz w:val="30"/>
          <w:szCs w:val="30"/>
        </w:rPr>
        <w:t xml:space="preserve">2.3 </w:t>
      </w:r>
      <w:r>
        <w:rPr>
          <w:rFonts w:hint="eastAsia"/>
          <w:b/>
          <w:color w:val="000000" w:themeColor="text1"/>
          <w:sz w:val="30"/>
          <w:szCs w:val="30"/>
        </w:rPr>
        <w:t>区域水资源状况分析</w:t>
      </w:r>
      <w:bookmarkEnd w:id="73"/>
      <w:bookmarkEnd w:id="74"/>
    </w:p>
    <w:p w14:paraId="6E58BB61">
      <w:pPr>
        <w:autoSpaceDE w:val="0"/>
        <w:autoSpaceDN w:val="0"/>
        <w:adjustRightInd w:val="0"/>
        <w:snapToGrid w:val="0"/>
        <w:spacing w:line="600" w:lineRule="exact"/>
        <w:textAlignment w:val="bottom"/>
        <w:outlineLvl w:val="2"/>
        <w:rPr>
          <w:b/>
          <w:bCs/>
          <w:color w:val="000000" w:themeColor="text1"/>
          <w:sz w:val="28"/>
          <w:szCs w:val="28"/>
        </w:rPr>
      </w:pPr>
      <w:bookmarkStart w:id="75" w:name="_Toc144243706"/>
      <w:r>
        <w:rPr>
          <w:b/>
          <w:bCs/>
          <w:color w:val="000000" w:themeColor="text1"/>
          <w:sz w:val="28"/>
          <w:szCs w:val="28"/>
        </w:rPr>
        <w:t>2.3.1水资源量与时空分布特点</w:t>
      </w:r>
      <w:bookmarkEnd w:id="75"/>
    </w:p>
    <w:p w14:paraId="6549ADB3">
      <w:pPr>
        <w:tabs>
          <w:tab w:val="left" w:pos="5400"/>
        </w:tabs>
        <w:spacing w:line="600" w:lineRule="exact"/>
        <w:ind w:firstLine="560" w:firstLineChars="200"/>
        <w:rPr>
          <w:color w:val="000000" w:themeColor="text1"/>
          <w:sz w:val="28"/>
          <w:szCs w:val="28"/>
        </w:rPr>
      </w:pPr>
      <w:r>
        <w:rPr>
          <w:color w:val="000000" w:themeColor="text1"/>
          <w:sz w:val="28"/>
          <w:szCs w:val="28"/>
        </w:rPr>
        <w:t>根据《济南市水资源综合调查评价》《平阴县水资源调查评价》，对平阴县1956</w:t>
      </w:r>
      <w:r>
        <w:rPr>
          <w:rFonts w:hint="eastAsia"/>
          <w:color w:val="000000" w:themeColor="text1"/>
          <w:sz w:val="28"/>
          <w:szCs w:val="28"/>
        </w:rPr>
        <w:t>—</w:t>
      </w:r>
      <w:r>
        <w:rPr>
          <w:color w:val="000000" w:themeColor="text1"/>
          <w:sz w:val="28"/>
          <w:szCs w:val="28"/>
        </w:rPr>
        <w:t>2020年降水、地表水和地下水资源量及时空分布特点进行分析。</w:t>
      </w:r>
    </w:p>
    <w:p w14:paraId="73D0DA2D">
      <w:pPr>
        <w:tabs>
          <w:tab w:val="left" w:pos="5400"/>
        </w:tabs>
        <w:spacing w:line="600" w:lineRule="exact"/>
        <w:ind w:firstLine="560" w:firstLineChars="200"/>
        <w:rPr>
          <w:color w:val="000000" w:themeColor="text1"/>
          <w:sz w:val="28"/>
          <w:szCs w:val="28"/>
        </w:rPr>
      </w:pPr>
      <w:r>
        <w:rPr>
          <w:color w:val="000000" w:themeColor="text1"/>
          <w:sz w:val="28"/>
          <w:szCs w:val="28"/>
        </w:rPr>
        <w:t>1、大气降水</w:t>
      </w:r>
    </w:p>
    <w:p w14:paraId="2E4EE516">
      <w:pPr>
        <w:tabs>
          <w:tab w:val="left" w:pos="5400"/>
        </w:tabs>
        <w:spacing w:line="600" w:lineRule="exact"/>
        <w:ind w:firstLine="560" w:firstLineChars="200"/>
        <w:rPr>
          <w:color w:val="000000" w:themeColor="text1"/>
          <w:sz w:val="28"/>
          <w:szCs w:val="28"/>
        </w:rPr>
      </w:pPr>
      <w:r>
        <w:rPr>
          <w:color w:val="000000" w:themeColor="text1"/>
          <w:sz w:val="28"/>
          <w:szCs w:val="28"/>
        </w:rPr>
        <w:t>平阴县多年平均（1956</w:t>
      </w:r>
      <w:r>
        <w:rPr>
          <w:rFonts w:hint="eastAsia"/>
          <w:color w:val="000000" w:themeColor="text1"/>
          <w:sz w:val="28"/>
          <w:szCs w:val="28"/>
        </w:rPr>
        <w:t>—</w:t>
      </w:r>
      <w:r>
        <w:rPr>
          <w:color w:val="000000" w:themeColor="text1"/>
          <w:sz w:val="28"/>
          <w:szCs w:val="28"/>
        </w:rPr>
        <w:t>2020年）</w:t>
      </w:r>
      <w:r>
        <w:rPr>
          <w:rFonts w:hint="eastAsia"/>
          <w:color w:val="000000" w:themeColor="text1"/>
          <w:sz w:val="28"/>
          <w:szCs w:val="28"/>
        </w:rPr>
        <w:t>年</w:t>
      </w:r>
      <w:r>
        <w:rPr>
          <w:color w:val="000000" w:themeColor="text1"/>
          <w:sz w:val="28"/>
          <w:szCs w:val="28"/>
        </w:rPr>
        <w:t>降水量为621.8mm。根据平阴县降水受地理位置、地形等因素的影响，总体分布趋势是自中部向四周递减。其中年降水量610mm等值线，基本分布于平阴县西北部区域和东南部区域；全县中部山区年降水量最大，平均为630mm。从降水量时程变化来看，降水量年际变化大，年降水量极值比为3.1～4.8，年降水量变差系数Cv一般为0.26～0.34，丰枯差异明显，呈丰、平、枯交替，连丰连枯年也时有出现。降水量年内分配极不均匀，季节性变化非常明显，其中汛期四个月的降水占全年71.5%</w:t>
      </w:r>
      <w:r>
        <w:rPr>
          <w:rFonts w:hint="eastAsia"/>
          <w:color w:val="000000" w:themeColor="text1"/>
          <w:sz w:val="28"/>
          <w:szCs w:val="28"/>
          <w:lang w:eastAsia="zh-CN"/>
        </w:rPr>
        <w:t>～</w:t>
      </w:r>
      <w:r>
        <w:rPr>
          <w:color w:val="000000" w:themeColor="text1"/>
          <w:sz w:val="28"/>
          <w:szCs w:val="28"/>
        </w:rPr>
        <w:t>73.3%，其中50%以上集中在7、8月份。</w:t>
      </w:r>
    </w:p>
    <w:p w14:paraId="23B756D5">
      <w:pPr>
        <w:tabs>
          <w:tab w:val="left" w:pos="5400"/>
        </w:tabs>
        <w:spacing w:line="600" w:lineRule="exact"/>
        <w:ind w:firstLine="560" w:firstLineChars="200"/>
        <w:rPr>
          <w:color w:val="000000" w:themeColor="text1"/>
          <w:sz w:val="28"/>
          <w:szCs w:val="28"/>
        </w:rPr>
      </w:pPr>
      <w:r>
        <w:rPr>
          <w:color w:val="000000" w:themeColor="text1"/>
          <w:sz w:val="28"/>
          <w:szCs w:val="28"/>
        </w:rPr>
        <w:t>2、地表水</w:t>
      </w:r>
    </w:p>
    <w:p w14:paraId="4B8AFB0D">
      <w:pPr>
        <w:tabs>
          <w:tab w:val="left" w:pos="5400"/>
        </w:tabs>
        <w:spacing w:line="600" w:lineRule="exact"/>
        <w:ind w:firstLine="560" w:firstLineChars="200"/>
        <w:rPr>
          <w:color w:val="000000" w:themeColor="text1"/>
          <w:sz w:val="28"/>
          <w:szCs w:val="28"/>
        </w:rPr>
      </w:pPr>
      <w:r>
        <w:rPr>
          <w:color w:val="000000" w:themeColor="text1"/>
          <w:sz w:val="28"/>
          <w:szCs w:val="28"/>
        </w:rPr>
        <w:t>平阴县多年平均地表水资源量9588万</w:t>
      </w:r>
      <w:r>
        <w:rPr>
          <w:bCs/>
          <w:color w:val="000000" w:themeColor="text1"/>
          <w:sz w:val="28"/>
          <w:szCs w:val="28"/>
        </w:rPr>
        <w:t>m</w:t>
      </w:r>
      <w:r>
        <w:rPr>
          <w:bCs/>
          <w:color w:val="000000" w:themeColor="text1"/>
          <w:sz w:val="28"/>
          <w:szCs w:val="28"/>
          <w:vertAlign w:val="superscript"/>
        </w:rPr>
        <w:t>3</w:t>
      </w:r>
      <w:r>
        <w:rPr>
          <w:color w:val="000000" w:themeColor="text1"/>
          <w:sz w:val="28"/>
          <w:szCs w:val="28"/>
        </w:rPr>
        <w:t>，总分布趋势与降水量分布趋势基本一致，自中部向西北部和东南部递减。其中沿黄区域多年平均径流深为55.6mm，中部区域为118.4mm，孔村镇、孝直镇区域为100.1mm。从时程变化来看，径流量与降水量年际年内变化相一致，径流量年际变化大，丰枯相差悬殊，丰枯水年时常连续出现。径流量的年内分配和降水相对应，呈高度集中、分配严重不均的特点，如汛期6～9月天然径流量占全年的75%。</w:t>
      </w:r>
    </w:p>
    <w:p w14:paraId="2DCDFB1D">
      <w:pPr>
        <w:tabs>
          <w:tab w:val="left" w:pos="5400"/>
        </w:tabs>
        <w:spacing w:line="600" w:lineRule="exact"/>
        <w:ind w:firstLine="560" w:firstLineChars="200"/>
        <w:rPr>
          <w:color w:val="000000" w:themeColor="text1"/>
          <w:sz w:val="28"/>
          <w:szCs w:val="28"/>
        </w:rPr>
      </w:pPr>
      <w:r>
        <w:rPr>
          <w:color w:val="000000" w:themeColor="text1"/>
          <w:sz w:val="28"/>
          <w:szCs w:val="28"/>
        </w:rPr>
        <w:t>3、地下水</w:t>
      </w:r>
    </w:p>
    <w:p w14:paraId="522755C2">
      <w:pPr>
        <w:tabs>
          <w:tab w:val="left" w:pos="5400"/>
        </w:tabs>
        <w:spacing w:line="600" w:lineRule="exact"/>
        <w:ind w:firstLine="560" w:firstLineChars="200"/>
        <w:rPr>
          <w:color w:val="000000" w:themeColor="text1"/>
          <w:sz w:val="28"/>
          <w:szCs w:val="28"/>
        </w:rPr>
      </w:pPr>
      <w:r>
        <w:rPr>
          <w:color w:val="000000" w:themeColor="text1"/>
          <w:sz w:val="28"/>
          <w:szCs w:val="28"/>
        </w:rPr>
        <w:t>平阴县多年平均地下水资源量为11362.7万</w:t>
      </w:r>
      <w:r>
        <w:rPr>
          <w:bCs/>
          <w:color w:val="000000" w:themeColor="text1"/>
          <w:sz w:val="28"/>
          <w:szCs w:val="28"/>
        </w:rPr>
        <w:t>m</w:t>
      </w:r>
      <w:r>
        <w:rPr>
          <w:bCs/>
          <w:color w:val="000000" w:themeColor="text1"/>
          <w:sz w:val="28"/>
          <w:szCs w:val="28"/>
          <w:vertAlign w:val="superscript"/>
        </w:rPr>
        <w:t>3</w:t>
      </w:r>
      <w:r>
        <w:rPr>
          <w:color w:val="000000" w:themeColor="text1"/>
          <w:sz w:val="28"/>
          <w:szCs w:val="28"/>
        </w:rPr>
        <w:t>，其多年平均地下水资源量模数为13.95万m</w:t>
      </w:r>
      <w:r>
        <w:rPr>
          <w:color w:val="000000" w:themeColor="text1"/>
          <w:sz w:val="28"/>
          <w:szCs w:val="28"/>
          <w:vertAlign w:val="superscript"/>
        </w:rPr>
        <w:t>3</w:t>
      </w:r>
      <w:r>
        <w:rPr>
          <w:color w:val="000000" w:themeColor="text1"/>
          <w:sz w:val="28"/>
          <w:szCs w:val="28"/>
        </w:rPr>
        <w:t>/km</w:t>
      </w:r>
      <w:r>
        <w:rPr>
          <w:color w:val="000000" w:themeColor="text1"/>
          <w:sz w:val="28"/>
          <w:szCs w:val="28"/>
          <w:vertAlign w:val="superscript"/>
        </w:rPr>
        <w:t>2</w:t>
      </w:r>
      <w:r>
        <w:rPr>
          <w:color w:val="000000" w:themeColor="text1"/>
          <w:sz w:val="28"/>
          <w:szCs w:val="28"/>
        </w:rPr>
        <w:t>·a。该区域地下水资源量与降水量的变化密切相关，降水入渗补给量的年际年内变化，代表了地下水资源的年际年内变化特征。</w:t>
      </w:r>
    </w:p>
    <w:p w14:paraId="4A11E598">
      <w:pPr>
        <w:tabs>
          <w:tab w:val="left" w:pos="5400"/>
        </w:tabs>
        <w:spacing w:line="600" w:lineRule="exact"/>
        <w:ind w:firstLine="560" w:firstLineChars="200"/>
        <w:rPr>
          <w:color w:val="000000" w:themeColor="text1"/>
          <w:sz w:val="28"/>
          <w:szCs w:val="28"/>
        </w:rPr>
      </w:pPr>
      <w:r>
        <w:rPr>
          <w:color w:val="000000" w:themeColor="text1"/>
          <w:sz w:val="28"/>
          <w:szCs w:val="28"/>
        </w:rPr>
        <w:t>4、客水</w:t>
      </w:r>
    </w:p>
    <w:p w14:paraId="2BA1C433">
      <w:pPr>
        <w:tabs>
          <w:tab w:val="left" w:pos="5400"/>
        </w:tabs>
        <w:spacing w:line="600" w:lineRule="exact"/>
        <w:ind w:firstLine="560" w:firstLineChars="200"/>
        <w:rPr>
          <w:color w:val="000000" w:themeColor="text1"/>
          <w:sz w:val="28"/>
          <w:szCs w:val="28"/>
        </w:rPr>
      </w:pPr>
      <w:r>
        <w:rPr>
          <w:color w:val="000000" w:themeColor="text1"/>
          <w:sz w:val="28"/>
          <w:szCs w:val="28"/>
        </w:rPr>
        <w:t>济南市分配给平阴县引黄水，但未分配引江水。</w:t>
      </w:r>
    </w:p>
    <w:p w14:paraId="77F0930B">
      <w:pPr>
        <w:tabs>
          <w:tab w:val="left" w:pos="5400"/>
        </w:tabs>
        <w:spacing w:line="600" w:lineRule="exact"/>
        <w:ind w:firstLine="560" w:firstLineChars="200"/>
        <w:rPr>
          <w:color w:val="000000" w:themeColor="text1"/>
          <w:sz w:val="28"/>
          <w:szCs w:val="28"/>
        </w:rPr>
      </w:pPr>
      <w:r>
        <w:rPr>
          <w:color w:val="000000" w:themeColor="text1"/>
          <w:sz w:val="28"/>
          <w:szCs w:val="28"/>
        </w:rPr>
        <w:t>5、水资源总量</w:t>
      </w:r>
    </w:p>
    <w:p w14:paraId="634607E0">
      <w:pPr>
        <w:tabs>
          <w:tab w:val="left" w:pos="5400"/>
        </w:tabs>
        <w:spacing w:line="600" w:lineRule="exact"/>
        <w:ind w:firstLine="560" w:firstLineChars="200"/>
        <w:rPr>
          <w:color w:val="000000" w:themeColor="text1"/>
          <w:sz w:val="28"/>
          <w:szCs w:val="28"/>
        </w:rPr>
      </w:pPr>
      <w:r>
        <w:rPr>
          <w:color w:val="000000" w:themeColor="text1"/>
          <w:sz w:val="28"/>
          <w:szCs w:val="28"/>
        </w:rPr>
        <w:t>平阴县多年平均水资源总量为16622.6万m</w:t>
      </w:r>
      <w:r>
        <w:rPr>
          <w:color w:val="000000" w:themeColor="text1"/>
          <w:sz w:val="28"/>
          <w:szCs w:val="28"/>
          <w:vertAlign w:val="superscript"/>
        </w:rPr>
        <w:t>3</w:t>
      </w:r>
      <w:r>
        <w:rPr>
          <w:color w:val="000000" w:themeColor="text1"/>
          <w:sz w:val="28"/>
          <w:szCs w:val="28"/>
        </w:rPr>
        <w:t>，多年平均当地水资源可利用量为11811.7万m</w:t>
      </w:r>
      <w:r>
        <w:rPr>
          <w:color w:val="000000" w:themeColor="text1"/>
          <w:sz w:val="28"/>
          <w:szCs w:val="28"/>
          <w:vertAlign w:val="superscript"/>
        </w:rPr>
        <w:t>3</w:t>
      </w:r>
      <w:r>
        <w:rPr>
          <w:color w:val="000000" w:themeColor="text1"/>
          <w:sz w:val="28"/>
          <w:szCs w:val="28"/>
        </w:rPr>
        <w:t>，人均水资源占有量为</w:t>
      </w:r>
      <w:r>
        <w:rPr>
          <w:rFonts w:hint="eastAsia"/>
          <w:color w:val="000000" w:themeColor="text1"/>
          <w:sz w:val="28"/>
          <w:szCs w:val="28"/>
        </w:rPr>
        <w:t>503.1</w:t>
      </w:r>
      <w:r>
        <w:rPr>
          <w:color w:val="000000" w:themeColor="text1"/>
          <w:sz w:val="28"/>
          <w:szCs w:val="28"/>
        </w:rPr>
        <w:t>m</w:t>
      </w:r>
      <w:r>
        <w:rPr>
          <w:color w:val="000000" w:themeColor="text1"/>
          <w:sz w:val="28"/>
          <w:szCs w:val="28"/>
          <w:vertAlign w:val="superscript"/>
        </w:rPr>
        <w:t>3</w:t>
      </w:r>
      <w:r>
        <w:rPr>
          <w:color w:val="000000" w:themeColor="text1"/>
          <w:sz w:val="28"/>
          <w:szCs w:val="28"/>
        </w:rPr>
        <w:t>/人。</w:t>
      </w:r>
    </w:p>
    <w:p w14:paraId="10A91862">
      <w:pPr>
        <w:tabs>
          <w:tab w:val="left" w:pos="5400"/>
        </w:tabs>
        <w:spacing w:line="600" w:lineRule="exact"/>
        <w:ind w:firstLine="560" w:firstLineChars="200"/>
        <w:rPr>
          <w:color w:val="000000" w:themeColor="text1"/>
          <w:sz w:val="28"/>
          <w:szCs w:val="28"/>
        </w:rPr>
      </w:pPr>
      <w:r>
        <w:rPr>
          <w:color w:val="000000" w:themeColor="text1"/>
          <w:sz w:val="28"/>
          <w:szCs w:val="28"/>
        </w:rPr>
        <w:t>6、水资源时空分布特征</w:t>
      </w:r>
    </w:p>
    <w:p w14:paraId="421932AE">
      <w:pPr>
        <w:tabs>
          <w:tab w:val="left" w:pos="5400"/>
        </w:tabs>
        <w:spacing w:line="600" w:lineRule="exact"/>
        <w:ind w:firstLine="560" w:firstLineChars="200"/>
        <w:rPr>
          <w:color w:val="000000" w:themeColor="text1"/>
          <w:sz w:val="28"/>
          <w:szCs w:val="28"/>
        </w:rPr>
      </w:pPr>
      <w:r>
        <w:rPr>
          <w:color w:val="000000" w:themeColor="text1"/>
          <w:sz w:val="28"/>
          <w:szCs w:val="28"/>
        </w:rPr>
        <w:t>平阴县水资源主要来源于大气降水。大气降水的一部分形成河川径流及地表水资源，一部分渗入地下形成地下水资源。根据多年平阴县降水统计资料，多年平均降雨量621.8mm。近几年，由于降雨量</w:t>
      </w:r>
      <w:r>
        <w:rPr>
          <w:rFonts w:hint="eastAsia"/>
          <w:color w:val="000000" w:themeColor="text1"/>
          <w:sz w:val="28"/>
          <w:szCs w:val="28"/>
          <w:lang w:val="en-US" w:eastAsia="zh-CN"/>
        </w:rPr>
        <w:t>的</w:t>
      </w:r>
      <w:r>
        <w:rPr>
          <w:color w:val="000000" w:themeColor="text1"/>
          <w:sz w:val="28"/>
          <w:szCs w:val="28"/>
        </w:rPr>
        <w:t>减少，地表径流和地下水资源量都相应减少。</w:t>
      </w:r>
    </w:p>
    <w:p w14:paraId="5BBA1733">
      <w:pPr>
        <w:tabs>
          <w:tab w:val="left" w:pos="5400"/>
        </w:tabs>
        <w:spacing w:line="600" w:lineRule="exact"/>
        <w:ind w:firstLine="560" w:firstLineChars="200"/>
        <w:rPr>
          <w:color w:val="000000" w:themeColor="text1"/>
          <w:sz w:val="28"/>
          <w:szCs w:val="28"/>
        </w:rPr>
      </w:pPr>
      <w:r>
        <w:rPr>
          <w:color w:val="000000" w:themeColor="text1"/>
          <w:sz w:val="28"/>
          <w:szCs w:val="28"/>
        </w:rPr>
        <w:t>降雨的时空分布及影响水资源形成的其他因素，决定了平阴县水资源量的时空分布特征，具有年际变化大、年内分配不一和地域分布不均等特点。</w:t>
      </w:r>
    </w:p>
    <w:p w14:paraId="0D18DF24">
      <w:pPr>
        <w:tabs>
          <w:tab w:val="left" w:pos="5400"/>
        </w:tabs>
        <w:spacing w:line="600" w:lineRule="exact"/>
        <w:ind w:firstLine="560" w:firstLineChars="200"/>
        <w:rPr>
          <w:color w:val="000000" w:themeColor="text1"/>
          <w:sz w:val="28"/>
          <w:szCs w:val="28"/>
        </w:rPr>
      </w:pPr>
      <w:r>
        <w:rPr>
          <w:color w:val="000000" w:themeColor="text1"/>
          <w:sz w:val="28"/>
          <w:szCs w:val="28"/>
        </w:rPr>
        <w:t>（1）受降雨影响明显，年际变化大</w:t>
      </w:r>
    </w:p>
    <w:p w14:paraId="0E3512DE">
      <w:pPr>
        <w:tabs>
          <w:tab w:val="left" w:pos="5400"/>
        </w:tabs>
        <w:spacing w:line="600" w:lineRule="exact"/>
        <w:ind w:firstLine="560" w:firstLineChars="200"/>
        <w:rPr>
          <w:color w:val="000000" w:themeColor="text1"/>
          <w:sz w:val="28"/>
          <w:szCs w:val="28"/>
        </w:rPr>
      </w:pPr>
      <w:r>
        <w:rPr>
          <w:color w:val="000000" w:themeColor="text1"/>
          <w:sz w:val="28"/>
          <w:szCs w:val="28"/>
        </w:rPr>
        <w:t>水资源量的形成与平阴县的水文周期规律、降雨量的多少有着密切的关系。水资源量按月的分配是不均等的，并且存在很大的差异。降水量年内分配极不均匀，季节性变化非常明显，其中汛期四个月的降水占全年71.5%</w:t>
      </w:r>
      <w:r>
        <w:rPr>
          <w:rFonts w:hint="eastAsia"/>
          <w:color w:val="000000" w:themeColor="text1"/>
          <w:sz w:val="28"/>
          <w:szCs w:val="28"/>
          <w:lang w:eastAsia="zh-CN"/>
        </w:rPr>
        <w:t>～</w:t>
      </w:r>
      <w:r>
        <w:rPr>
          <w:color w:val="000000" w:themeColor="text1"/>
          <w:sz w:val="28"/>
          <w:szCs w:val="28"/>
        </w:rPr>
        <w:t>73.3%，其中50%以上集中在7、8月份。水资源年际变化大，由于受降雨量的影响比较大，在丰水年和枯水年所形成的水资源量相差就比较大，一般可以达到2~4倍。</w:t>
      </w:r>
    </w:p>
    <w:p w14:paraId="25217743">
      <w:pPr>
        <w:tabs>
          <w:tab w:val="left" w:pos="5400"/>
        </w:tabs>
        <w:spacing w:line="600" w:lineRule="exact"/>
        <w:ind w:firstLine="560" w:firstLineChars="200"/>
        <w:rPr>
          <w:color w:val="000000" w:themeColor="text1"/>
          <w:sz w:val="28"/>
          <w:szCs w:val="28"/>
        </w:rPr>
      </w:pPr>
      <w:r>
        <w:rPr>
          <w:color w:val="000000" w:themeColor="text1"/>
          <w:sz w:val="28"/>
          <w:szCs w:val="28"/>
        </w:rPr>
        <w:t>（2）地域分布上不均匀</w:t>
      </w:r>
    </w:p>
    <w:p w14:paraId="0FE90A0D">
      <w:pPr>
        <w:tabs>
          <w:tab w:val="left" w:pos="5400"/>
        </w:tabs>
        <w:spacing w:line="600" w:lineRule="exact"/>
        <w:ind w:firstLine="560" w:firstLineChars="200"/>
        <w:rPr>
          <w:color w:val="000000" w:themeColor="text1"/>
          <w:sz w:val="28"/>
          <w:szCs w:val="28"/>
        </w:rPr>
      </w:pPr>
      <w:r>
        <w:rPr>
          <w:color w:val="000000" w:themeColor="text1"/>
          <w:sz w:val="28"/>
          <w:szCs w:val="28"/>
        </w:rPr>
        <w:t>平阴县各地受地质构造、地形地貌和水文地质条件影响，其地表水与地下水量在地域分布上差别很大。地表径流方面，因地形、地质条件自中部向四周呈递减趋势，导致汛期上游来水量暴涨暴落、不易拦蓄，非汛期径流少时大部分河流干涸。地下水则多集中分布于山前平原一带</w:t>
      </w:r>
      <w:r>
        <w:rPr>
          <w:rFonts w:hint="eastAsia"/>
          <w:color w:val="000000" w:themeColor="text1"/>
          <w:sz w:val="28"/>
          <w:szCs w:val="28"/>
        </w:rPr>
        <w:t>，而</w:t>
      </w:r>
      <w:r>
        <w:rPr>
          <w:color w:val="000000" w:themeColor="text1"/>
          <w:sz w:val="28"/>
          <w:szCs w:val="28"/>
        </w:rPr>
        <w:t>在沿黄区域和汇河平原等第四系较厚地区，地下水十分丰富。</w:t>
      </w:r>
    </w:p>
    <w:p w14:paraId="6BC990ED">
      <w:pPr>
        <w:autoSpaceDE w:val="0"/>
        <w:autoSpaceDN w:val="0"/>
        <w:adjustRightInd w:val="0"/>
        <w:snapToGrid w:val="0"/>
        <w:spacing w:line="600" w:lineRule="exact"/>
        <w:textAlignment w:val="bottom"/>
        <w:outlineLvl w:val="2"/>
        <w:rPr>
          <w:b/>
          <w:bCs/>
          <w:color w:val="000000" w:themeColor="text1"/>
          <w:sz w:val="28"/>
          <w:szCs w:val="28"/>
        </w:rPr>
      </w:pPr>
      <w:bookmarkStart w:id="76" w:name="_Toc144243707"/>
      <w:r>
        <w:rPr>
          <w:b/>
          <w:bCs/>
          <w:color w:val="000000" w:themeColor="text1"/>
          <w:sz w:val="28"/>
          <w:szCs w:val="28"/>
        </w:rPr>
        <w:t xml:space="preserve">2.3.2 </w:t>
      </w:r>
      <w:r>
        <w:rPr>
          <w:rFonts w:hint="eastAsia"/>
          <w:b/>
          <w:bCs/>
          <w:color w:val="000000" w:themeColor="text1"/>
          <w:sz w:val="28"/>
          <w:szCs w:val="28"/>
        </w:rPr>
        <w:t>水功能区水质及达标情况</w:t>
      </w:r>
      <w:bookmarkEnd w:id="76"/>
    </w:p>
    <w:p w14:paraId="6FF9846F">
      <w:pPr>
        <w:tabs>
          <w:tab w:val="left" w:pos="5400"/>
        </w:tabs>
        <w:spacing w:line="600" w:lineRule="exact"/>
        <w:ind w:firstLine="560" w:firstLineChars="200"/>
        <w:rPr>
          <w:color w:val="000000" w:themeColor="text1"/>
          <w:sz w:val="28"/>
          <w:szCs w:val="28"/>
        </w:rPr>
      </w:pPr>
      <w:r>
        <w:rPr>
          <w:color w:val="000000" w:themeColor="text1"/>
          <w:sz w:val="28"/>
          <w:szCs w:val="28"/>
        </w:rPr>
        <w:t>根据《济南市地表水功能区划》，平阴县共划分水功能二级区5个，区划河长110.5km，水面面积为0.83km</w:t>
      </w:r>
      <w:r>
        <w:rPr>
          <w:color w:val="000000" w:themeColor="text1"/>
          <w:sz w:val="28"/>
          <w:szCs w:val="28"/>
          <w:vertAlign w:val="superscript"/>
        </w:rPr>
        <w:t>2</w:t>
      </w:r>
      <w:r>
        <w:rPr>
          <w:color w:val="000000" w:themeColor="text1"/>
          <w:sz w:val="28"/>
          <w:szCs w:val="28"/>
        </w:rPr>
        <w:t>；其中农业用水功能区2个，工业用水功能区2个，调水保护区1个，水功能区分布情况详见表2.3-1。</w:t>
      </w:r>
    </w:p>
    <w:p w14:paraId="525A8AC3">
      <w:pPr>
        <w:tabs>
          <w:tab w:val="left" w:pos="5400"/>
        </w:tabs>
        <w:spacing w:line="600" w:lineRule="exact"/>
        <w:ind w:firstLine="560" w:firstLineChars="200"/>
        <w:rPr>
          <w:color w:val="000000" w:themeColor="text1"/>
          <w:sz w:val="28"/>
          <w:szCs w:val="28"/>
        </w:rPr>
      </w:pPr>
      <w:r>
        <w:rPr>
          <w:color w:val="000000" w:themeColor="text1"/>
          <w:sz w:val="28"/>
          <w:szCs w:val="28"/>
        </w:rPr>
        <w:t>根据202</w:t>
      </w:r>
      <w:r>
        <w:rPr>
          <w:rFonts w:hint="eastAsia"/>
          <w:color w:val="000000" w:themeColor="text1"/>
          <w:sz w:val="28"/>
          <w:szCs w:val="28"/>
        </w:rPr>
        <w:t>3</w:t>
      </w:r>
      <w:r>
        <w:rPr>
          <w:color w:val="000000" w:themeColor="text1"/>
          <w:sz w:val="28"/>
          <w:szCs w:val="28"/>
        </w:rPr>
        <w:t>年度济南市地表水功能区水质监测成果可知，202</w:t>
      </w:r>
      <w:r>
        <w:rPr>
          <w:rFonts w:hint="eastAsia"/>
          <w:color w:val="000000" w:themeColor="text1"/>
          <w:sz w:val="28"/>
          <w:szCs w:val="28"/>
        </w:rPr>
        <w:t>3</w:t>
      </w:r>
      <w:r>
        <w:rPr>
          <w:color w:val="000000" w:themeColor="text1"/>
          <w:sz w:val="28"/>
          <w:szCs w:val="28"/>
        </w:rPr>
        <w:t>年平阴县有4个水功能区参与考核评价，其中汇河平阴农业用水区不参与考核评价。由表2.3</w:t>
      </w:r>
      <w:r>
        <w:rPr>
          <w:rFonts w:hint="eastAsia"/>
          <w:color w:val="000000" w:themeColor="text1"/>
          <w:sz w:val="28"/>
          <w:szCs w:val="28"/>
        </w:rPr>
        <w:t>-1</w:t>
      </w:r>
      <w:r>
        <w:rPr>
          <w:color w:val="000000" w:themeColor="text1"/>
          <w:sz w:val="28"/>
          <w:szCs w:val="28"/>
        </w:rPr>
        <w:t>可知，参与考核的4个水功能区的水质评价全部达标。</w:t>
      </w:r>
    </w:p>
    <w:p w14:paraId="2F6EF031">
      <w:pPr>
        <w:keepNext/>
        <w:tabs>
          <w:tab w:val="left" w:pos="5400"/>
        </w:tabs>
        <w:spacing w:line="600" w:lineRule="exact"/>
        <w:jc w:val="center"/>
        <w:rPr>
          <w:color w:val="000000" w:themeColor="text1"/>
          <w:sz w:val="28"/>
          <w:szCs w:val="28"/>
        </w:rPr>
      </w:pPr>
      <w:r>
        <w:rPr>
          <w:b/>
          <w:color w:val="000000" w:themeColor="text1"/>
          <w:sz w:val="24"/>
        </w:rPr>
        <w:t xml:space="preserve">表2.3-1 </w:t>
      </w:r>
      <w:r>
        <w:rPr>
          <w:b/>
          <w:color w:val="000000" w:themeColor="text1"/>
          <w:spacing w:val="-2"/>
          <w:sz w:val="24"/>
        </w:rPr>
        <w:t xml:space="preserve"> 平阴县地表</w:t>
      </w:r>
      <w:r>
        <w:rPr>
          <w:b/>
          <w:color w:val="000000" w:themeColor="text1"/>
          <w:spacing w:val="-2"/>
          <w:sz w:val="24"/>
          <w:lang w:val="en-GB"/>
        </w:rPr>
        <w:t>水功能区划分及202</w:t>
      </w:r>
      <w:r>
        <w:rPr>
          <w:rFonts w:hint="eastAsia"/>
          <w:b/>
          <w:color w:val="000000" w:themeColor="text1"/>
          <w:spacing w:val="-2"/>
          <w:sz w:val="24"/>
          <w:lang w:val="en-GB"/>
        </w:rPr>
        <w:t>3</w:t>
      </w:r>
      <w:r>
        <w:rPr>
          <w:b/>
          <w:color w:val="000000" w:themeColor="text1"/>
          <w:spacing w:val="-2"/>
          <w:sz w:val="24"/>
          <w:lang w:val="en-GB"/>
        </w:rPr>
        <w:t>年达标情况</w:t>
      </w:r>
    </w:p>
    <w:tbl>
      <w:tblPr>
        <w:tblStyle w:val="46"/>
        <w:tblW w:w="51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875"/>
        <w:gridCol w:w="876"/>
        <w:gridCol w:w="793"/>
        <w:gridCol w:w="895"/>
        <w:gridCol w:w="1164"/>
        <w:gridCol w:w="1224"/>
        <w:gridCol w:w="728"/>
        <w:gridCol w:w="869"/>
      </w:tblGrid>
      <w:tr w14:paraId="5EAD3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47" w:type="pct"/>
            <w:vMerge w:val="restart"/>
            <w:vAlign w:val="center"/>
          </w:tcPr>
          <w:p w14:paraId="277963D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水功能区名称</w:t>
            </w:r>
          </w:p>
        </w:tc>
        <w:tc>
          <w:tcPr>
            <w:tcW w:w="501" w:type="pct"/>
            <w:vMerge w:val="restart"/>
            <w:vAlign w:val="center"/>
          </w:tcPr>
          <w:p w14:paraId="76F739B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水资源三级区</w:t>
            </w:r>
          </w:p>
        </w:tc>
        <w:tc>
          <w:tcPr>
            <w:tcW w:w="502" w:type="pct"/>
            <w:vMerge w:val="restart"/>
            <w:vAlign w:val="center"/>
          </w:tcPr>
          <w:p w14:paraId="056D234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河流</w:t>
            </w:r>
            <w:r>
              <w:rPr>
                <w:rFonts w:hint="eastAsia"/>
                <w:color w:val="000000" w:themeColor="text1"/>
                <w:kern w:val="0"/>
                <w:sz w:val="22"/>
                <w:szCs w:val="22"/>
                <w:lang w:eastAsia="zh-CN"/>
              </w:rPr>
              <w:t>（</w:t>
            </w:r>
            <w:r>
              <w:rPr>
                <w:color w:val="000000" w:themeColor="text1"/>
                <w:kern w:val="0"/>
                <w:sz w:val="22"/>
                <w:szCs w:val="22"/>
              </w:rPr>
              <w:t>湖库</w:t>
            </w:r>
            <w:r>
              <w:rPr>
                <w:rFonts w:hint="eastAsia"/>
                <w:color w:val="000000" w:themeColor="text1"/>
                <w:kern w:val="0"/>
                <w:sz w:val="22"/>
                <w:szCs w:val="22"/>
                <w:lang w:eastAsia="zh-CN"/>
              </w:rPr>
              <w:t>）</w:t>
            </w:r>
            <w:r>
              <w:rPr>
                <w:color w:val="000000" w:themeColor="text1"/>
                <w:kern w:val="0"/>
                <w:sz w:val="22"/>
                <w:szCs w:val="22"/>
              </w:rPr>
              <w:t>名称</w:t>
            </w:r>
          </w:p>
        </w:tc>
        <w:tc>
          <w:tcPr>
            <w:tcW w:w="967" w:type="pct"/>
            <w:gridSpan w:val="2"/>
            <w:vAlign w:val="center"/>
          </w:tcPr>
          <w:p w14:paraId="46F01F4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功能区范围</w:t>
            </w:r>
          </w:p>
        </w:tc>
        <w:tc>
          <w:tcPr>
            <w:tcW w:w="667" w:type="pct"/>
            <w:vMerge w:val="restart"/>
            <w:vAlign w:val="center"/>
          </w:tcPr>
          <w:p w14:paraId="04EDE77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监测断面</w:t>
            </w:r>
          </w:p>
        </w:tc>
        <w:tc>
          <w:tcPr>
            <w:tcW w:w="701" w:type="pct"/>
            <w:vMerge w:val="restart"/>
            <w:vAlign w:val="center"/>
          </w:tcPr>
          <w:p w14:paraId="35D5FBA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功能区长度</w:t>
            </w:r>
            <w:r>
              <w:rPr>
                <w:rFonts w:hint="eastAsia"/>
                <w:color w:val="000000" w:themeColor="text1"/>
                <w:kern w:val="0"/>
                <w:sz w:val="22"/>
                <w:szCs w:val="22"/>
                <w:lang w:eastAsia="zh-CN"/>
              </w:rPr>
              <w:t>（</w:t>
            </w:r>
            <w:r>
              <w:rPr>
                <w:color w:val="000000" w:themeColor="text1"/>
                <w:kern w:val="0"/>
                <w:sz w:val="22"/>
                <w:szCs w:val="22"/>
              </w:rPr>
              <w:t>km</w:t>
            </w:r>
            <w:r>
              <w:rPr>
                <w:rFonts w:hint="eastAsia"/>
                <w:color w:val="000000" w:themeColor="text1"/>
                <w:kern w:val="0"/>
                <w:sz w:val="22"/>
                <w:szCs w:val="22"/>
                <w:lang w:eastAsia="zh-CN"/>
              </w:rPr>
              <w:t>）</w:t>
            </w:r>
            <w:r>
              <w:rPr>
                <w:color w:val="000000" w:themeColor="text1"/>
                <w:kern w:val="0"/>
                <w:sz w:val="22"/>
                <w:szCs w:val="22"/>
              </w:rPr>
              <w:t>/面积</w:t>
            </w:r>
            <w:r>
              <w:rPr>
                <w:rFonts w:hint="eastAsia"/>
                <w:color w:val="000000" w:themeColor="text1"/>
                <w:kern w:val="0"/>
                <w:sz w:val="22"/>
                <w:szCs w:val="22"/>
                <w:lang w:eastAsia="zh-CN"/>
              </w:rPr>
              <w:t>（</w:t>
            </w:r>
            <w:r>
              <w:rPr>
                <w:color w:val="000000" w:themeColor="text1"/>
                <w:kern w:val="0"/>
                <w:sz w:val="22"/>
                <w:szCs w:val="22"/>
              </w:rPr>
              <w:t>km</w:t>
            </w:r>
            <w:r>
              <w:rPr>
                <w:color w:val="000000" w:themeColor="text1"/>
                <w:kern w:val="0"/>
                <w:sz w:val="22"/>
                <w:szCs w:val="22"/>
                <w:vertAlign w:val="superscript"/>
              </w:rPr>
              <w:t>2</w:t>
            </w:r>
            <w:r>
              <w:rPr>
                <w:rFonts w:hint="eastAsia"/>
                <w:color w:val="000000" w:themeColor="text1"/>
                <w:kern w:val="0"/>
                <w:sz w:val="22"/>
                <w:szCs w:val="22"/>
                <w:vertAlign w:val="superscript"/>
                <w:lang w:eastAsia="zh-CN"/>
              </w:rPr>
              <w:t>）</w:t>
            </w:r>
          </w:p>
        </w:tc>
        <w:tc>
          <w:tcPr>
            <w:tcW w:w="417" w:type="pct"/>
            <w:vMerge w:val="restart"/>
            <w:vAlign w:val="center"/>
          </w:tcPr>
          <w:p w14:paraId="6D230DD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水质目标</w:t>
            </w:r>
          </w:p>
        </w:tc>
        <w:tc>
          <w:tcPr>
            <w:tcW w:w="499" w:type="pct"/>
            <w:vMerge w:val="restart"/>
            <w:vAlign w:val="center"/>
          </w:tcPr>
          <w:p w14:paraId="74D65CA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达标情况</w:t>
            </w:r>
          </w:p>
        </w:tc>
      </w:tr>
      <w:tr w14:paraId="16251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47" w:type="pct"/>
            <w:vMerge w:val="continue"/>
            <w:vAlign w:val="center"/>
          </w:tcPr>
          <w:p w14:paraId="35FE8FC6">
            <w:pPr>
              <w:widowControl/>
              <w:adjustRightInd w:val="0"/>
              <w:snapToGrid w:val="0"/>
              <w:ind w:left="-105" w:leftChars="-50" w:right="-105" w:rightChars="-50"/>
              <w:jc w:val="left"/>
              <w:rPr>
                <w:color w:val="000000" w:themeColor="text1"/>
                <w:kern w:val="0"/>
                <w:sz w:val="22"/>
                <w:szCs w:val="22"/>
              </w:rPr>
            </w:pPr>
          </w:p>
        </w:tc>
        <w:tc>
          <w:tcPr>
            <w:tcW w:w="501" w:type="pct"/>
            <w:vMerge w:val="continue"/>
            <w:vAlign w:val="center"/>
          </w:tcPr>
          <w:p w14:paraId="01DE619F">
            <w:pPr>
              <w:widowControl/>
              <w:adjustRightInd w:val="0"/>
              <w:snapToGrid w:val="0"/>
              <w:ind w:left="-105" w:leftChars="-50" w:right="-105" w:rightChars="-50"/>
              <w:jc w:val="left"/>
              <w:rPr>
                <w:color w:val="000000" w:themeColor="text1"/>
                <w:kern w:val="0"/>
                <w:sz w:val="22"/>
                <w:szCs w:val="22"/>
              </w:rPr>
            </w:pPr>
          </w:p>
        </w:tc>
        <w:tc>
          <w:tcPr>
            <w:tcW w:w="502" w:type="pct"/>
            <w:vMerge w:val="continue"/>
            <w:vAlign w:val="center"/>
          </w:tcPr>
          <w:p w14:paraId="4B53B733">
            <w:pPr>
              <w:widowControl/>
              <w:adjustRightInd w:val="0"/>
              <w:snapToGrid w:val="0"/>
              <w:ind w:left="-105" w:leftChars="-50" w:right="-105" w:rightChars="-50"/>
              <w:jc w:val="left"/>
              <w:rPr>
                <w:color w:val="000000" w:themeColor="text1"/>
                <w:kern w:val="0"/>
                <w:sz w:val="22"/>
                <w:szCs w:val="22"/>
              </w:rPr>
            </w:pPr>
          </w:p>
        </w:tc>
        <w:tc>
          <w:tcPr>
            <w:tcW w:w="454" w:type="pct"/>
            <w:vAlign w:val="center"/>
          </w:tcPr>
          <w:p w14:paraId="65A8005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起始断面</w:t>
            </w:r>
          </w:p>
        </w:tc>
        <w:tc>
          <w:tcPr>
            <w:tcW w:w="513" w:type="pct"/>
            <w:vAlign w:val="center"/>
          </w:tcPr>
          <w:p w14:paraId="7921C7C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终止断面</w:t>
            </w:r>
          </w:p>
        </w:tc>
        <w:tc>
          <w:tcPr>
            <w:tcW w:w="667" w:type="pct"/>
            <w:vMerge w:val="continue"/>
            <w:vAlign w:val="center"/>
          </w:tcPr>
          <w:p w14:paraId="1FFAADCF">
            <w:pPr>
              <w:widowControl/>
              <w:adjustRightInd w:val="0"/>
              <w:snapToGrid w:val="0"/>
              <w:ind w:left="-105" w:leftChars="-50" w:right="-105" w:rightChars="-50"/>
              <w:jc w:val="left"/>
              <w:rPr>
                <w:color w:val="000000" w:themeColor="text1"/>
                <w:kern w:val="0"/>
                <w:sz w:val="22"/>
                <w:szCs w:val="22"/>
              </w:rPr>
            </w:pPr>
          </w:p>
        </w:tc>
        <w:tc>
          <w:tcPr>
            <w:tcW w:w="701" w:type="pct"/>
            <w:vMerge w:val="continue"/>
            <w:vAlign w:val="center"/>
          </w:tcPr>
          <w:p w14:paraId="6EEAA9CD">
            <w:pPr>
              <w:widowControl/>
              <w:adjustRightInd w:val="0"/>
              <w:snapToGrid w:val="0"/>
              <w:ind w:left="-105" w:leftChars="-50" w:right="-105" w:rightChars="-50"/>
              <w:jc w:val="left"/>
              <w:rPr>
                <w:color w:val="000000" w:themeColor="text1"/>
                <w:kern w:val="0"/>
                <w:sz w:val="22"/>
                <w:szCs w:val="22"/>
              </w:rPr>
            </w:pPr>
          </w:p>
        </w:tc>
        <w:tc>
          <w:tcPr>
            <w:tcW w:w="417" w:type="pct"/>
            <w:vMerge w:val="continue"/>
            <w:vAlign w:val="center"/>
          </w:tcPr>
          <w:p w14:paraId="3B8101E1">
            <w:pPr>
              <w:widowControl/>
              <w:adjustRightInd w:val="0"/>
              <w:snapToGrid w:val="0"/>
              <w:ind w:left="-105" w:leftChars="-50" w:right="-105" w:rightChars="-50"/>
              <w:jc w:val="left"/>
              <w:rPr>
                <w:color w:val="000000" w:themeColor="text1"/>
                <w:kern w:val="0"/>
                <w:sz w:val="22"/>
                <w:szCs w:val="22"/>
              </w:rPr>
            </w:pPr>
          </w:p>
        </w:tc>
        <w:tc>
          <w:tcPr>
            <w:tcW w:w="499" w:type="pct"/>
            <w:vMerge w:val="continue"/>
          </w:tcPr>
          <w:p w14:paraId="5F31D77F">
            <w:pPr>
              <w:widowControl/>
              <w:adjustRightInd w:val="0"/>
              <w:snapToGrid w:val="0"/>
              <w:ind w:left="-105" w:leftChars="-50" w:right="-105" w:rightChars="-50"/>
              <w:jc w:val="left"/>
              <w:rPr>
                <w:color w:val="000000" w:themeColor="text1"/>
                <w:kern w:val="0"/>
                <w:sz w:val="22"/>
                <w:szCs w:val="22"/>
              </w:rPr>
            </w:pPr>
          </w:p>
        </w:tc>
      </w:tr>
      <w:tr w14:paraId="72CF7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747" w:type="pct"/>
            <w:vAlign w:val="center"/>
          </w:tcPr>
          <w:p w14:paraId="28E0BCC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黄河平阴工业用水区</w:t>
            </w:r>
          </w:p>
        </w:tc>
        <w:tc>
          <w:tcPr>
            <w:tcW w:w="501" w:type="pct"/>
            <w:vAlign w:val="center"/>
          </w:tcPr>
          <w:p w14:paraId="50B6060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黄河下游区</w:t>
            </w:r>
          </w:p>
        </w:tc>
        <w:tc>
          <w:tcPr>
            <w:tcW w:w="502" w:type="pct"/>
            <w:vAlign w:val="center"/>
          </w:tcPr>
          <w:p w14:paraId="721283D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黄河</w:t>
            </w:r>
          </w:p>
        </w:tc>
        <w:tc>
          <w:tcPr>
            <w:tcW w:w="454" w:type="pct"/>
            <w:vAlign w:val="center"/>
          </w:tcPr>
          <w:p w14:paraId="4B5A04D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庞庄村</w:t>
            </w:r>
          </w:p>
        </w:tc>
        <w:tc>
          <w:tcPr>
            <w:tcW w:w="513" w:type="pct"/>
            <w:vAlign w:val="center"/>
          </w:tcPr>
          <w:p w14:paraId="5778654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柳河圈</w:t>
            </w:r>
          </w:p>
        </w:tc>
        <w:tc>
          <w:tcPr>
            <w:tcW w:w="667" w:type="pct"/>
            <w:vAlign w:val="center"/>
          </w:tcPr>
          <w:p w14:paraId="40D21EF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黄金浮桥</w:t>
            </w:r>
          </w:p>
          <w:p w14:paraId="57FB098D">
            <w:pPr>
              <w:widowControl/>
              <w:adjustRightInd w:val="0"/>
              <w:snapToGrid w:val="0"/>
              <w:ind w:left="-105" w:leftChars="-50" w:right="-105" w:rightChars="-50"/>
              <w:jc w:val="center"/>
              <w:rPr>
                <w:color w:val="000000" w:themeColor="text1"/>
                <w:kern w:val="0"/>
                <w:sz w:val="22"/>
                <w:szCs w:val="22"/>
              </w:rPr>
            </w:pPr>
            <w:r>
              <w:rPr>
                <w:color w:val="000000" w:themeColor="text1"/>
                <w:sz w:val="22"/>
                <w:szCs w:val="22"/>
              </w:rPr>
              <w:t>平阴黄河大桥</w:t>
            </w:r>
          </w:p>
        </w:tc>
        <w:tc>
          <w:tcPr>
            <w:tcW w:w="701" w:type="pct"/>
            <w:vAlign w:val="center"/>
          </w:tcPr>
          <w:p w14:paraId="54AA50E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39</w:t>
            </w:r>
          </w:p>
        </w:tc>
        <w:tc>
          <w:tcPr>
            <w:tcW w:w="417" w:type="pct"/>
            <w:vAlign w:val="center"/>
          </w:tcPr>
          <w:p w14:paraId="24EF3A6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Ⅲ</w:t>
            </w:r>
          </w:p>
        </w:tc>
        <w:tc>
          <w:tcPr>
            <w:tcW w:w="499" w:type="pct"/>
            <w:vAlign w:val="center"/>
          </w:tcPr>
          <w:p w14:paraId="089FBAD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达标</w:t>
            </w:r>
          </w:p>
        </w:tc>
      </w:tr>
      <w:tr w14:paraId="7E16B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747" w:type="pct"/>
            <w:vAlign w:val="center"/>
          </w:tcPr>
          <w:p w14:paraId="1C7655C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浪溪河平阴农业用水区</w:t>
            </w:r>
          </w:p>
        </w:tc>
        <w:tc>
          <w:tcPr>
            <w:tcW w:w="501" w:type="pct"/>
            <w:vAlign w:val="center"/>
          </w:tcPr>
          <w:p w14:paraId="02C5D1C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黄河下游区</w:t>
            </w:r>
          </w:p>
        </w:tc>
        <w:tc>
          <w:tcPr>
            <w:tcW w:w="502" w:type="pct"/>
            <w:vAlign w:val="center"/>
          </w:tcPr>
          <w:p w14:paraId="7A0D2C8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浪溪河</w:t>
            </w:r>
          </w:p>
        </w:tc>
        <w:tc>
          <w:tcPr>
            <w:tcW w:w="454" w:type="pct"/>
            <w:vAlign w:val="center"/>
          </w:tcPr>
          <w:p w14:paraId="66735A6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源头</w:t>
            </w:r>
          </w:p>
        </w:tc>
        <w:tc>
          <w:tcPr>
            <w:tcW w:w="513" w:type="pct"/>
            <w:vAlign w:val="center"/>
          </w:tcPr>
          <w:p w14:paraId="72609E0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汇泉水库大坝</w:t>
            </w:r>
          </w:p>
        </w:tc>
        <w:tc>
          <w:tcPr>
            <w:tcW w:w="667" w:type="pct"/>
            <w:vAlign w:val="center"/>
          </w:tcPr>
          <w:p w14:paraId="7F9A4BC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汇泉水库</w:t>
            </w:r>
          </w:p>
        </w:tc>
        <w:tc>
          <w:tcPr>
            <w:tcW w:w="701" w:type="pct"/>
            <w:vAlign w:val="center"/>
          </w:tcPr>
          <w:p w14:paraId="5D58F85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8.8(0.05)</w:t>
            </w:r>
          </w:p>
        </w:tc>
        <w:tc>
          <w:tcPr>
            <w:tcW w:w="417" w:type="pct"/>
            <w:vAlign w:val="center"/>
          </w:tcPr>
          <w:p w14:paraId="393CEC1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Ⅲ</w:t>
            </w:r>
          </w:p>
        </w:tc>
        <w:tc>
          <w:tcPr>
            <w:tcW w:w="499" w:type="pct"/>
            <w:vAlign w:val="center"/>
          </w:tcPr>
          <w:p w14:paraId="713AF6B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达标</w:t>
            </w:r>
          </w:p>
        </w:tc>
      </w:tr>
      <w:tr w14:paraId="0CD51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747" w:type="pct"/>
            <w:vAlign w:val="center"/>
          </w:tcPr>
          <w:p w14:paraId="493E803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浪溪河平阴工业用水区</w:t>
            </w:r>
          </w:p>
        </w:tc>
        <w:tc>
          <w:tcPr>
            <w:tcW w:w="501" w:type="pct"/>
            <w:vAlign w:val="center"/>
          </w:tcPr>
          <w:p w14:paraId="7DC889E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黄河下游区</w:t>
            </w:r>
          </w:p>
        </w:tc>
        <w:tc>
          <w:tcPr>
            <w:tcW w:w="502" w:type="pct"/>
            <w:vAlign w:val="center"/>
          </w:tcPr>
          <w:p w14:paraId="116036C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浪溪河</w:t>
            </w:r>
          </w:p>
        </w:tc>
        <w:tc>
          <w:tcPr>
            <w:tcW w:w="454" w:type="pct"/>
            <w:vAlign w:val="center"/>
          </w:tcPr>
          <w:p w14:paraId="3322E09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汇泉水库大坝</w:t>
            </w:r>
          </w:p>
        </w:tc>
        <w:tc>
          <w:tcPr>
            <w:tcW w:w="513" w:type="pct"/>
            <w:vAlign w:val="center"/>
          </w:tcPr>
          <w:p w14:paraId="5C0EC85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入黄河口</w:t>
            </w:r>
          </w:p>
        </w:tc>
        <w:tc>
          <w:tcPr>
            <w:tcW w:w="667" w:type="pct"/>
            <w:vAlign w:val="center"/>
          </w:tcPr>
          <w:p w14:paraId="3E28700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东阿水库</w:t>
            </w:r>
          </w:p>
        </w:tc>
        <w:tc>
          <w:tcPr>
            <w:tcW w:w="701" w:type="pct"/>
            <w:vAlign w:val="center"/>
          </w:tcPr>
          <w:p w14:paraId="305E556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17.2(0.78)</w:t>
            </w:r>
          </w:p>
        </w:tc>
        <w:tc>
          <w:tcPr>
            <w:tcW w:w="417" w:type="pct"/>
            <w:vAlign w:val="center"/>
          </w:tcPr>
          <w:p w14:paraId="2DFFCF6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Ⅲ</w:t>
            </w:r>
          </w:p>
        </w:tc>
        <w:tc>
          <w:tcPr>
            <w:tcW w:w="499" w:type="pct"/>
            <w:vAlign w:val="center"/>
          </w:tcPr>
          <w:p w14:paraId="49C45A9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达标</w:t>
            </w:r>
          </w:p>
        </w:tc>
      </w:tr>
      <w:tr w14:paraId="7294F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747" w:type="pct"/>
            <w:vAlign w:val="center"/>
          </w:tcPr>
          <w:p w14:paraId="66951DC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济平干渠平阴段调水保护区</w:t>
            </w:r>
          </w:p>
        </w:tc>
        <w:tc>
          <w:tcPr>
            <w:tcW w:w="501" w:type="pct"/>
            <w:vAlign w:val="center"/>
          </w:tcPr>
          <w:p w14:paraId="01A48DD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黄河下游区</w:t>
            </w:r>
          </w:p>
        </w:tc>
        <w:tc>
          <w:tcPr>
            <w:tcW w:w="502" w:type="pct"/>
            <w:vAlign w:val="center"/>
          </w:tcPr>
          <w:p w14:paraId="20E291E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济平干渠</w:t>
            </w:r>
          </w:p>
        </w:tc>
        <w:tc>
          <w:tcPr>
            <w:tcW w:w="454" w:type="pct"/>
            <w:vAlign w:val="center"/>
          </w:tcPr>
          <w:p w14:paraId="2F041D1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东阿镇</w:t>
            </w:r>
          </w:p>
        </w:tc>
        <w:tc>
          <w:tcPr>
            <w:tcW w:w="513" w:type="pct"/>
            <w:vAlign w:val="center"/>
          </w:tcPr>
          <w:p w14:paraId="4BDDD0D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栾湾乡</w:t>
            </w:r>
          </w:p>
        </w:tc>
        <w:tc>
          <w:tcPr>
            <w:tcW w:w="667" w:type="pct"/>
            <w:vAlign w:val="center"/>
          </w:tcPr>
          <w:p w14:paraId="17A1AE7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栾湾村</w:t>
            </w:r>
          </w:p>
        </w:tc>
        <w:tc>
          <w:tcPr>
            <w:tcW w:w="701" w:type="pct"/>
            <w:vAlign w:val="center"/>
          </w:tcPr>
          <w:p w14:paraId="30B00CF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33</w:t>
            </w:r>
          </w:p>
        </w:tc>
        <w:tc>
          <w:tcPr>
            <w:tcW w:w="417" w:type="pct"/>
            <w:vAlign w:val="center"/>
          </w:tcPr>
          <w:p w14:paraId="6CEE168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Ⅲ</w:t>
            </w:r>
          </w:p>
        </w:tc>
        <w:tc>
          <w:tcPr>
            <w:tcW w:w="499" w:type="pct"/>
            <w:vAlign w:val="center"/>
          </w:tcPr>
          <w:p w14:paraId="04E2243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达标</w:t>
            </w:r>
          </w:p>
        </w:tc>
      </w:tr>
      <w:tr w14:paraId="34869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747" w:type="pct"/>
            <w:vAlign w:val="center"/>
          </w:tcPr>
          <w:p w14:paraId="57A78C4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汇河平阴农业用水区</w:t>
            </w:r>
          </w:p>
        </w:tc>
        <w:tc>
          <w:tcPr>
            <w:tcW w:w="501" w:type="pct"/>
            <w:vAlign w:val="center"/>
          </w:tcPr>
          <w:p w14:paraId="51BE282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大汶河区</w:t>
            </w:r>
          </w:p>
        </w:tc>
        <w:tc>
          <w:tcPr>
            <w:tcW w:w="502" w:type="pct"/>
            <w:vAlign w:val="center"/>
          </w:tcPr>
          <w:p w14:paraId="0716891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汇河</w:t>
            </w:r>
          </w:p>
        </w:tc>
        <w:tc>
          <w:tcPr>
            <w:tcW w:w="454" w:type="pct"/>
            <w:vAlign w:val="center"/>
          </w:tcPr>
          <w:p w14:paraId="069681B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陈屯村</w:t>
            </w:r>
          </w:p>
        </w:tc>
        <w:tc>
          <w:tcPr>
            <w:tcW w:w="513" w:type="pct"/>
            <w:vAlign w:val="center"/>
          </w:tcPr>
          <w:p w14:paraId="56FBFA9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展小庄</w:t>
            </w:r>
          </w:p>
        </w:tc>
        <w:tc>
          <w:tcPr>
            <w:tcW w:w="667" w:type="pct"/>
            <w:vAlign w:val="center"/>
          </w:tcPr>
          <w:p w14:paraId="1BC93EE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陈屯庄桥</w:t>
            </w:r>
          </w:p>
          <w:p w14:paraId="127F322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丁坞桥</w:t>
            </w:r>
          </w:p>
        </w:tc>
        <w:tc>
          <w:tcPr>
            <w:tcW w:w="701" w:type="pct"/>
            <w:vAlign w:val="center"/>
          </w:tcPr>
          <w:p w14:paraId="34B312C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12.5</w:t>
            </w:r>
          </w:p>
        </w:tc>
        <w:tc>
          <w:tcPr>
            <w:tcW w:w="417" w:type="pct"/>
            <w:vAlign w:val="center"/>
          </w:tcPr>
          <w:p w14:paraId="54E325C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Ⅳ</w:t>
            </w:r>
          </w:p>
        </w:tc>
        <w:tc>
          <w:tcPr>
            <w:tcW w:w="499" w:type="pct"/>
            <w:vAlign w:val="center"/>
          </w:tcPr>
          <w:p w14:paraId="292CBE2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不参与考核</w:t>
            </w:r>
          </w:p>
        </w:tc>
      </w:tr>
    </w:tbl>
    <w:p w14:paraId="519E7FD6">
      <w:pPr>
        <w:autoSpaceDE w:val="0"/>
        <w:autoSpaceDN w:val="0"/>
        <w:adjustRightInd w:val="0"/>
        <w:snapToGrid w:val="0"/>
        <w:spacing w:line="600" w:lineRule="exact"/>
        <w:textAlignment w:val="bottom"/>
        <w:outlineLvl w:val="2"/>
        <w:rPr>
          <w:b/>
          <w:bCs/>
          <w:color w:val="000000" w:themeColor="text1"/>
          <w:sz w:val="28"/>
          <w:szCs w:val="28"/>
        </w:rPr>
      </w:pPr>
      <w:bookmarkStart w:id="77" w:name="_Toc144243708"/>
      <w:r>
        <w:rPr>
          <w:b/>
          <w:bCs/>
          <w:color w:val="000000" w:themeColor="text1"/>
          <w:sz w:val="28"/>
          <w:szCs w:val="28"/>
        </w:rPr>
        <w:t>2.3.3 水资源</w:t>
      </w:r>
      <w:r>
        <w:rPr>
          <w:rFonts w:hint="eastAsia"/>
          <w:b/>
          <w:bCs/>
          <w:color w:val="000000" w:themeColor="text1"/>
          <w:sz w:val="28"/>
          <w:szCs w:val="28"/>
        </w:rPr>
        <w:t>开发利用现状</w:t>
      </w:r>
      <w:bookmarkEnd w:id="77"/>
    </w:p>
    <w:p w14:paraId="241497D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一、供水工程与供水量</w:t>
      </w:r>
    </w:p>
    <w:p w14:paraId="74C6DA72">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w:t>
      </w:r>
      <w:r>
        <w:rPr>
          <w:color w:val="000000" w:themeColor="text1"/>
          <w:sz w:val="28"/>
          <w:szCs w:val="28"/>
        </w:rPr>
        <w:t>、供水工程现状</w:t>
      </w:r>
    </w:p>
    <w:p w14:paraId="0BB734E3">
      <w:pPr>
        <w:tabs>
          <w:tab w:val="left" w:pos="5400"/>
        </w:tabs>
        <w:spacing w:line="600" w:lineRule="exact"/>
        <w:ind w:firstLine="560" w:firstLineChars="200"/>
        <w:rPr>
          <w:color w:val="000000" w:themeColor="text1"/>
          <w:sz w:val="28"/>
          <w:szCs w:val="28"/>
        </w:rPr>
      </w:pPr>
      <w:r>
        <w:rPr>
          <w:color w:val="000000" w:themeColor="text1"/>
          <w:sz w:val="28"/>
          <w:szCs w:val="28"/>
        </w:rPr>
        <w:t>平阴县供水工程分为地表水供水工程、地下水供水工程、中水回用工程等供水工程。</w:t>
      </w:r>
    </w:p>
    <w:p w14:paraId="6B4DD52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w:t>
      </w:r>
      <w:r>
        <w:rPr>
          <w:color w:val="000000" w:themeColor="text1"/>
          <w:sz w:val="28"/>
          <w:szCs w:val="28"/>
        </w:rPr>
        <w:t>供水工程</w:t>
      </w:r>
    </w:p>
    <w:p w14:paraId="23F83D9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①</w:t>
      </w:r>
      <w:r>
        <w:rPr>
          <w:color w:val="000000" w:themeColor="text1"/>
          <w:sz w:val="28"/>
          <w:szCs w:val="28"/>
        </w:rPr>
        <w:t>地表水供水工程</w:t>
      </w:r>
    </w:p>
    <w:p w14:paraId="028154AC">
      <w:pPr>
        <w:tabs>
          <w:tab w:val="left" w:pos="5400"/>
        </w:tabs>
        <w:spacing w:line="600" w:lineRule="exact"/>
        <w:ind w:firstLine="560" w:firstLineChars="200"/>
        <w:rPr>
          <w:color w:val="000000" w:themeColor="text1"/>
          <w:sz w:val="28"/>
          <w:szCs w:val="28"/>
        </w:rPr>
      </w:pPr>
      <w:r>
        <w:rPr>
          <w:color w:val="000000" w:themeColor="text1"/>
          <w:sz w:val="28"/>
          <w:szCs w:val="28"/>
        </w:rPr>
        <w:t>平阴县现有地表水工程主要有小型水库</w:t>
      </w:r>
      <w:r>
        <w:rPr>
          <w:rFonts w:hint="eastAsia"/>
          <w:color w:val="000000" w:themeColor="text1"/>
          <w:sz w:val="28"/>
          <w:szCs w:val="28"/>
        </w:rPr>
        <w:t>53座，总库容3939.49万m</w:t>
      </w:r>
      <w:r>
        <w:rPr>
          <w:rFonts w:hint="eastAsia"/>
          <w:color w:val="000000" w:themeColor="text1"/>
          <w:sz w:val="28"/>
          <w:szCs w:val="28"/>
          <w:vertAlign w:val="superscript"/>
        </w:rPr>
        <w:t>3</w:t>
      </w:r>
      <w:r>
        <w:rPr>
          <w:rFonts w:hint="eastAsia"/>
          <w:color w:val="000000" w:themeColor="text1"/>
          <w:sz w:val="28"/>
          <w:szCs w:val="28"/>
        </w:rPr>
        <w:t>，兴利库容2380.34万m</w:t>
      </w:r>
      <w:r>
        <w:rPr>
          <w:rFonts w:hint="eastAsia"/>
          <w:color w:val="000000" w:themeColor="text1"/>
          <w:sz w:val="28"/>
          <w:szCs w:val="28"/>
          <w:vertAlign w:val="superscript"/>
        </w:rPr>
        <w:t>3</w:t>
      </w:r>
      <w:r>
        <w:rPr>
          <w:rFonts w:hint="eastAsia"/>
          <w:color w:val="000000" w:themeColor="text1"/>
          <w:sz w:val="28"/>
          <w:szCs w:val="28"/>
        </w:rPr>
        <w:t>，防洪库容1054.99万m</w:t>
      </w:r>
      <w:r>
        <w:rPr>
          <w:rFonts w:hint="eastAsia"/>
          <w:color w:val="000000" w:themeColor="text1"/>
          <w:sz w:val="28"/>
          <w:szCs w:val="28"/>
          <w:vertAlign w:val="superscript"/>
        </w:rPr>
        <w:t>3</w:t>
      </w:r>
      <w:r>
        <w:rPr>
          <w:rFonts w:hint="eastAsia"/>
          <w:color w:val="000000" w:themeColor="text1"/>
          <w:sz w:val="28"/>
          <w:szCs w:val="28"/>
        </w:rPr>
        <w:t>，有效灌溉面积2.7万亩；塘坝47座，其他工程为1049处。</w:t>
      </w:r>
    </w:p>
    <w:p w14:paraId="4A6F49B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②</w:t>
      </w:r>
      <w:r>
        <w:rPr>
          <w:color w:val="000000" w:themeColor="text1"/>
          <w:sz w:val="28"/>
          <w:szCs w:val="28"/>
        </w:rPr>
        <w:t>地下水供水工程</w:t>
      </w:r>
    </w:p>
    <w:p w14:paraId="2A6CA2AA">
      <w:pPr>
        <w:tabs>
          <w:tab w:val="left" w:pos="5400"/>
        </w:tabs>
        <w:spacing w:line="600" w:lineRule="exact"/>
        <w:ind w:firstLine="560" w:firstLineChars="200"/>
        <w:rPr>
          <w:color w:val="000000" w:themeColor="text1"/>
          <w:sz w:val="28"/>
          <w:szCs w:val="28"/>
        </w:rPr>
      </w:pPr>
      <w:r>
        <w:rPr>
          <w:color w:val="000000" w:themeColor="text1"/>
          <w:sz w:val="28"/>
          <w:szCs w:val="28"/>
        </w:rPr>
        <w:t>平阴县地下水资源较丰富，地下水是平阴县主要供水水源，成为区域主要供水水源。平阴县现已开发6个一级水源地，分别为前寨</w:t>
      </w:r>
      <w:r>
        <w:rPr>
          <w:rFonts w:hint="eastAsia"/>
          <w:color w:val="000000" w:themeColor="text1"/>
          <w:sz w:val="28"/>
          <w:szCs w:val="28"/>
          <w:lang w:eastAsia="zh-CN"/>
        </w:rPr>
        <w:t>－</w:t>
      </w:r>
      <w:r>
        <w:rPr>
          <w:color w:val="000000" w:themeColor="text1"/>
          <w:sz w:val="28"/>
          <w:szCs w:val="28"/>
        </w:rPr>
        <w:t>凌庄水源地、安城水源地、北栾水源地、小屯水源地、孔村水源地、孝直水源地，9个二级水源地。据统计城区有144眼，安城镇172眼，玫瑰镇264眼，东阿镇136眼，洪范池镇47眼，孔村镇137眼，孝直镇236眼，总共装机容量2.721×10</w:t>
      </w:r>
      <w:r>
        <w:rPr>
          <w:color w:val="000000" w:themeColor="text1"/>
          <w:sz w:val="28"/>
          <w:szCs w:val="28"/>
          <w:vertAlign w:val="superscript"/>
        </w:rPr>
        <w:t>3</w:t>
      </w:r>
      <w:r>
        <w:rPr>
          <w:color w:val="000000" w:themeColor="text1"/>
          <w:sz w:val="28"/>
          <w:szCs w:val="28"/>
        </w:rPr>
        <w:t>kW，年设计供水能力10113万</w:t>
      </w:r>
      <w:r>
        <w:rPr>
          <w:bCs/>
          <w:color w:val="000000" w:themeColor="text1"/>
          <w:sz w:val="28"/>
          <w:szCs w:val="28"/>
        </w:rPr>
        <w:t>m</w:t>
      </w:r>
      <w:r>
        <w:rPr>
          <w:bCs/>
          <w:color w:val="000000" w:themeColor="text1"/>
          <w:sz w:val="28"/>
          <w:szCs w:val="28"/>
          <w:vertAlign w:val="superscript"/>
        </w:rPr>
        <w:t>3</w:t>
      </w:r>
      <w:r>
        <w:rPr>
          <w:color w:val="000000" w:themeColor="text1"/>
          <w:sz w:val="28"/>
          <w:szCs w:val="28"/>
        </w:rPr>
        <w:t>。</w:t>
      </w:r>
    </w:p>
    <w:p w14:paraId="24A926C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③</w:t>
      </w:r>
      <w:r>
        <w:rPr>
          <w:color w:val="000000" w:themeColor="text1"/>
          <w:sz w:val="28"/>
          <w:szCs w:val="28"/>
        </w:rPr>
        <w:t>中水回用工程</w:t>
      </w:r>
    </w:p>
    <w:p w14:paraId="5472AAF4">
      <w:pPr>
        <w:tabs>
          <w:tab w:val="left" w:pos="5400"/>
        </w:tabs>
        <w:spacing w:line="600" w:lineRule="exact"/>
        <w:ind w:firstLine="560" w:firstLineChars="200"/>
        <w:rPr>
          <w:color w:val="000000" w:themeColor="text1"/>
          <w:sz w:val="28"/>
          <w:szCs w:val="28"/>
        </w:rPr>
      </w:pPr>
      <w:r>
        <w:rPr>
          <w:color w:val="000000" w:themeColor="text1"/>
          <w:sz w:val="28"/>
          <w:szCs w:val="28"/>
        </w:rPr>
        <w:t>平阴县境内现有污水处理厂5座</w:t>
      </w:r>
      <w:r>
        <w:rPr>
          <w:rFonts w:hint="eastAsia"/>
          <w:color w:val="000000" w:themeColor="text1"/>
          <w:sz w:val="28"/>
          <w:szCs w:val="28"/>
        </w:rPr>
        <w:t>，分别为</w:t>
      </w:r>
      <w:r>
        <w:rPr>
          <w:bCs/>
          <w:color w:val="000000" w:themeColor="text1"/>
          <w:sz w:val="28"/>
          <w:szCs w:val="28"/>
        </w:rPr>
        <w:t>平阴水务发展有限公司（一厂）</w:t>
      </w:r>
      <w:r>
        <w:rPr>
          <w:color w:val="000000" w:themeColor="text1"/>
          <w:sz w:val="28"/>
          <w:szCs w:val="28"/>
        </w:rPr>
        <w:t>、平阴水务发展有限公司（二厂）、平阴水务发展有限公司（</w:t>
      </w:r>
      <w:r>
        <w:rPr>
          <w:rFonts w:hint="eastAsia"/>
          <w:color w:val="000000" w:themeColor="text1"/>
          <w:sz w:val="28"/>
          <w:szCs w:val="28"/>
        </w:rPr>
        <w:t>三</w:t>
      </w:r>
      <w:r>
        <w:rPr>
          <w:color w:val="000000" w:themeColor="text1"/>
          <w:sz w:val="28"/>
          <w:szCs w:val="28"/>
        </w:rPr>
        <w:t>厂）</w:t>
      </w:r>
      <w:r>
        <w:rPr>
          <w:rFonts w:hint="eastAsia"/>
          <w:color w:val="000000" w:themeColor="text1"/>
          <w:sz w:val="28"/>
          <w:szCs w:val="28"/>
        </w:rPr>
        <w:t>、平阴县中环水务有限公司（孔村厂）和平阴县中环水务有限公司（孝直厂），</w:t>
      </w:r>
      <w:r>
        <w:rPr>
          <w:color w:val="000000" w:themeColor="text1"/>
          <w:sz w:val="28"/>
          <w:szCs w:val="28"/>
        </w:rPr>
        <w:t>其中</w:t>
      </w:r>
      <w:r>
        <w:rPr>
          <w:bCs/>
          <w:color w:val="000000" w:themeColor="text1"/>
          <w:sz w:val="28"/>
          <w:szCs w:val="28"/>
        </w:rPr>
        <w:t>平阴水务发展有限公司（一厂）</w:t>
      </w:r>
      <w:r>
        <w:rPr>
          <w:color w:val="000000" w:themeColor="text1"/>
          <w:sz w:val="28"/>
          <w:szCs w:val="28"/>
        </w:rPr>
        <w:t>主要接纳处理城区生活污水和工业废水。该厂始建于2004年，于2005年建成投入运营，设计规模4万</w:t>
      </w:r>
      <w:r>
        <w:rPr>
          <w:bCs/>
          <w:color w:val="000000" w:themeColor="text1"/>
          <w:sz w:val="28"/>
          <w:szCs w:val="28"/>
        </w:rPr>
        <w:t>m</w:t>
      </w:r>
      <w:r>
        <w:rPr>
          <w:bCs/>
          <w:color w:val="000000" w:themeColor="text1"/>
          <w:sz w:val="28"/>
          <w:szCs w:val="28"/>
          <w:vertAlign w:val="superscript"/>
        </w:rPr>
        <w:t>3</w:t>
      </w:r>
      <w:r>
        <w:rPr>
          <w:color w:val="000000" w:themeColor="text1"/>
          <w:sz w:val="28"/>
          <w:szCs w:val="28"/>
        </w:rPr>
        <w:t>/d，目前日处理污水3.5万</w:t>
      </w:r>
      <w:r>
        <w:rPr>
          <w:bCs/>
          <w:color w:val="000000" w:themeColor="text1"/>
          <w:sz w:val="28"/>
          <w:szCs w:val="28"/>
        </w:rPr>
        <w:t>m</w:t>
      </w:r>
      <w:r>
        <w:rPr>
          <w:bCs/>
          <w:color w:val="000000" w:themeColor="text1"/>
          <w:sz w:val="28"/>
          <w:szCs w:val="28"/>
          <w:vertAlign w:val="superscript"/>
        </w:rPr>
        <w:t>3</w:t>
      </w:r>
      <w:r>
        <w:rPr>
          <w:color w:val="000000" w:themeColor="text1"/>
          <w:sz w:val="28"/>
          <w:szCs w:val="28"/>
        </w:rPr>
        <w:t>/d，排水执行《城镇污水处理厂污染物排放标准》一级A标准。</w:t>
      </w:r>
    </w:p>
    <w:p w14:paraId="4E152523">
      <w:pPr>
        <w:tabs>
          <w:tab w:val="left" w:pos="5400"/>
        </w:tabs>
        <w:spacing w:line="600" w:lineRule="exact"/>
        <w:ind w:firstLine="560" w:firstLineChars="200"/>
        <w:rPr>
          <w:color w:val="000000" w:themeColor="text1"/>
          <w:sz w:val="28"/>
          <w:szCs w:val="28"/>
        </w:rPr>
      </w:pPr>
      <w:r>
        <w:rPr>
          <w:color w:val="000000" w:themeColor="text1"/>
          <w:sz w:val="28"/>
          <w:szCs w:val="28"/>
        </w:rPr>
        <w:t>经统计，平阴县现状年</w:t>
      </w:r>
      <w:r>
        <w:rPr>
          <w:rFonts w:hint="eastAsia"/>
          <w:color w:val="000000" w:themeColor="text1"/>
          <w:sz w:val="28"/>
          <w:szCs w:val="28"/>
        </w:rPr>
        <w:t>再生水利用</w:t>
      </w:r>
      <w:r>
        <w:rPr>
          <w:color w:val="000000" w:themeColor="text1"/>
          <w:sz w:val="28"/>
          <w:szCs w:val="28"/>
        </w:rPr>
        <w:t>量为</w:t>
      </w:r>
      <w:r>
        <w:rPr>
          <w:rFonts w:hint="eastAsia"/>
          <w:color w:val="000000" w:themeColor="text1"/>
          <w:sz w:val="28"/>
          <w:szCs w:val="28"/>
        </w:rPr>
        <w:t>864</w:t>
      </w:r>
      <w:r>
        <w:rPr>
          <w:color w:val="000000" w:themeColor="text1"/>
          <w:sz w:val="28"/>
          <w:szCs w:val="28"/>
        </w:rPr>
        <w:t>万</w:t>
      </w:r>
      <w:r>
        <w:rPr>
          <w:bCs/>
          <w:color w:val="000000" w:themeColor="text1"/>
          <w:sz w:val="28"/>
          <w:szCs w:val="28"/>
        </w:rPr>
        <w:t>m</w:t>
      </w:r>
      <w:r>
        <w:rPr>
          <w:bCs/>
          <w:color w:val="000000" w:themeColor="text1"/>
          <w:sz w:val="28"/>
          <w:szCs w:val="28"/>
          <w:vertAlign w:val="superscript"/>
        </w:rPr>
        <w:t>3</w:t>
      </w:r>
      <w:r>
        <w:rPr>
          <w:color w:val="000000" w:themeColor="text1"/>
          <w:sz w:val="28"/>
          <w:szCs w:val="28"/>
        </w:rPr>
        <w:t>，主要为</w:t>
      </w:r>
      <w:r>
        <w:rPr>
          <w:rFonts w:hint="eastAsia"/>
          <w:color w:val="000000" w:themeColor="text1"/>
          <w:sz w:val="28"/>
          <w:szCs w:val="28"/>
        </w:rPr>
        <w:t>生态环境补水、工业用水和</w:t>
      </w:r>
      <w:r>
        <w:rPr>
          <w:color w:val="000000" w:themeColor="text1"/>
          <w:sz w:val="28"/>
          <w:szCs w:val="28"/>
        </w:rPr>
        <w:t>城区绿化、道路喷洒回用。</w:t>
      </w:r>
    </w:p>
    <w:p w14:paraId="1C3E890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④</w:t>
      </w:r>
      <w:r>
        <w:rPr>
          <w:color w:val="000000" w:themeColor="text1"/>
          <w:sz w:val="28"/>
          <w:szCs w:val="28"/>
        </w:rPr>
        <w:t>客水引水工程</w:t>
      </w:r>
    </w:p>
    <w:p w14:paraId="261BBF2A">
      <w:pPr>
        <w:tabs>
          <w:tab w:val="left" w:pos="5400"/>
        </w:tabs>
        <w:spacing w:line="600" w:lineRule="exact"/>
        <w:ind w:firstLine="560" w:firstLineChars="200"/>
        <w:rPr>
          <w:color w:val="000000" w:themeColor="text1"/>
          <w:sz w:val="28"/>
          <w:szCs w:val="28"/>
        </w:rPr>
      </w:pPr>
      <w:r>
        <w:rPr>
          <w:color w:val="000000" w:themeColor="text1"/>
          <w:sz w:val="28"/>
          <w:szCs w:val="28"/>
        </w:rPr>
        <w:t>平阴县通过田山泵站等引水工程利用引黄水，未分配引江指标。</w:t>
      </w:r>
    </w:p>
    <w:p w14:paraId="79D45EC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2、供水量分析</w:t>
      </w:r>
    </w:p>
    <w:p w14:paraId="2E978277">
      <w:pPr>
        <w:adjustRightInd w:val="0"/>
        <w:snapToGrid w:val="0"/>
        <w:spacing w:line="560" w:lineRule="exact"/>
        <w:ind w:firstLine="560" w:firstLineChars="200"/>
        <w:rPr>
          <w:color w:val="000000" w:themeColor="text1"/>
          <w:sz w:val="28"/>
          <w:szCs w:val="28"/>
        </w:rPr>
      </w:pPr>
      <w:r>
        <w:rPr>
          <w:color w:val="000000" w:themeColor="text1"/>
          <w:sz w:val="28"/>
          <w:szCs w:val="28"/>
        </w:rPr>
        <w:t>根据201</w:t>
      </w:r>
      <w:r>
        <w:rPr>
          <w:rFonts w:hint="eastAsia"/>
          <w:color w:val="000000" w:themeColor="text1"/>
          <w:sz w:val="28"/>
          <w:szCs w:val="28"/>
        </w:rPr>
        <w:t>9—</w:t>
      </w:r>
      <w:r>
        <w:rPr>
          <w:color w:val="000000" w:themeColor="text1"/>
          <w:sz w:val="28"/>
          <w:szCs w:val="28"/>
        </w:rPr>
        <w:t>202</w:t>
      </w:r>
      <w:r>
        <w:rPr>
          <w:rFonts w:hint="eastAsia"/>
          <w:color w:val="000000" w:themeColor="text1"/>
          <w:sz w:val="28"/>
          <w:szCs w:val="28"/>
        </w:rPr>
        <w:t>3</w:t>
      </w:r>
      <w:r>
        <w:rPr>
          <w:color w:val="000000" w:themeColor="text1"/>
          <w:sz w:val="28"/>
          <w:szCs w:val="28"/>
        </w:rPr>
        <w:t>年《平阴县水资源公报表》统计分析平阴县地表水供水量、地下水供水量和其他水源供水量，详见表2.3-2、图2.3-1和图</w:t>
      </w:r>
      <w:r>
        <w:rPr>
          <w:rFonts w:hint="eastAsia"/>
          <w:color w:val="000000" w:themeColor="text1"/>
          <w:sz w:val="28"/>
          <w:szCs w:val="28"/>
        </w:rPr>
        <w:t>2</w:t>
      </w:r>
      <w:r>
        <w:rPr>
          <w:color w:val="000000" w:themeColor="text1"/>
          <w:sz w:val="28"/>
          <w:szCs w:val="28"/>
        </w:rPr>
        <w:t>.3-2。</w:t>
      </w:r>
    </w:p>
    <w:p w14:paraId="763A0F59">
      <w:pPr>
        <w:tabs>
          <w:tab w:val="left" w:pos="5400"/>
        </w:tabs>
        <w:spacing w:line="600" w:lineRule="exact"/>
        <w:jc w:val="right"/>
        <w:rPr>
          <w:b/>
          <w:color w:val="000000" w:themeColor="text1"/>
          <w:sz w:val="24"/>
          <w:vertAlign w:val="superscript"/>
        </w:rPr>
      </w:pPr>
      <w:r>
        <w:rPr>
          <w:b/>
          <w:color w:val="000000" w:themeColor="text1"/>
          <w:sz w:val="24"/>
        </w:rPr>
        <w:t>表2.3-2  201</w:t>
      </w:r>
      <w:r>
        <w:rPr>
          <w:rFonts w:hint="eastAsia"/>
          <w:b/>
          <w:color w:val="000000" w:themeColor="text1"/>
          <w:sz w:val="24"/>
        </w:rPr>
        <w:t>9—</w:t>
      </w:r>
      <w:r>
        <w:rPr>
          <w:b/>
          <w:color w:val="000000" w:themeColor="text1"/>
          <w:sz w:val="24"/>
        </w:rPr>
        <w:t>202</w:t>
      </w:r>
      <w:r>
        <w:rPr>
          <w:rFonts w:hint="eastAsia"/>
          <w:b/>
          <w:color w:val="000000" w:themeColor="text1"/>
          <w:sz w:val="24"/>
        </w:rPr>
        <w:t>3</w:t>
      </w:r>
      <w:r>
        <w:rPr>
          <w:b/>
          <w:color w:val="000000" w:themeColor="text1"/>
          <w:sz w:val="24"/>
        </w:rPr>
        <w:t xml:space="preserve">年平阴县供水量统计表      </w:t>
      </w:r>
      <w:r>
        <w:rPr>
          <w:rFonts w:hint="eastAsia"/>
          <w:b/>
          <w:color w:val="000000" w:themeColor="text1"/>
          <w:sz w:val="24"/>
        </w:rPr>
        <w:t xml:space="preserve">    </w:t>
      </w:r>
      <w:r>
        <w:rPr>
          <w:b/>
          <w:color w:val="000000" w:themeColor="text1"/>
          <w:sz w:val="24"/>
        </w:rPr>
        <w:t xml:space="preserve">     单位：万m</w:t>
      </w:r>
      <w:r>
        <w:rPr>
          <w:b/>
          <w:color w:val="000000" w:themeColor="text1"/>
          <w:sz w:val="24"/>
          <w:vertAlign w:val="superscript"/>
        </w:rPr>
        <w:t>3</w:t>
      </w:r>
    </w:p>
    <w:tbl>
      <w:tblPr>
        <w:tblStyle w:val="46"/>
        <w:tblW w:w="5000" w:type="pct"/>
        <w:tblInd w:w="0" w:type="dxa"/>
        <w:tblLayout w:type="autofit"/>
        <w:tblCellMar>
          <w:top w:w="0" w:type="dxa"/>
          <w:left w:w="108" w:type="dxa"/>
          <w:bottom w:w="0" w:type="dxa"/>
          <w:right w:w="108" w:type="dxa"/>
        </w:tblCellMar>
      </w:tblPr>
      <w:tblGrid>
        <w:gridCol w:w="1344"/>
        <w:gridCol w:w="1795"/>
        <w:gridCol w:w="1795"/>
        <w:gridCol w:w="1795"/>
        <w:gridCol w:w="1793"/>
      </w:tblGrid>
      <w:tr w14:paraId="3B565C71">
        <w:tblPrEx>
          <w:tblCellMar>
            <w:top w:w="0" w:type="dxa"/>
            <w:left w:w="108" w:type="dxa"/>
            <w:bottom w:w="0" w:type="dxa"/>
            <w:right w:w="108" w:type="dxa"/>
          </w:tblCellMar>
        </w:tblPrEx>
        <w:trPr>
          <w:trHeight w:val="454" w:hRule="atLeast"/>
        </w:trPr>
        <w:tc>
          <w:tcPr>
            <w:tcW w:w="789" w:type="pct"/>
            <w:tcBorders>
              <w:top w:val="single" w:color="auto" w:sz="4" w:space="0"/>
              <w:left w:val="single" w:color="auto" w:sz="4" w:space="0"/>
              <w:bottom w:val="single" w:color="auto" w:sz="4" w:space="0"/>
              <w:right w:val="single" w:color="auto" w:sz="4" w:space="0"/>
            </w:tcBorders>
            <w:noWrap/>
            <w:vAlign w:val="center"/>
          </w:tcPr>
          <w:p w14:paraId="6B882C3E">
            <w:pPr>
              <w:widowControl/>
              <w:jc w:val="center"/>
              <w:rPr>
                <w:color w:val="000000"/>
                <w:kern w:val="0"/>
                <w:sz w:val="22"/>
                <w:szCs w:val="22"/>
              </w:rPr>
            </w:pPr>
            <w:r>
              <w:rPr>
                <w:color w:val="000000"/>
                <w:kern w:val="0"/>
                <w:sz w:val="22"/>
                <w:szCs w:val="22"/>
              </w:rPr>
              <w:t>年份</w:t>
            </w:r>
          </w:p>
        </w:tc>
        <w:tc>
          <w:tcPr>
            <w:tcW w:w="1053" w:type="pct"/>
            <w:tcBorders>
              <w:top w:val="single" w:color="auto" w:sz="4" w:space="0"/>
              <w:left w:val="nil"/>
              <w:bottom w:val="single" w:color="auto" w:sz="4" w:space="0"/>
              <w:right w:val="single" w:color="auto" w:sz="4" w:space="0"/>
            </w:tcBorders>
            <w:noWrap/>
            <w:vAlign w:val="center"/>
          </w:tcPr>
          <w:p w14:paraId="62164680">
            <w:pPr>
              <w:widowControl/>
              <w:jc w:val="center"/>
              <w:rPr>
                <w:color w:val="000000"/>
                <w:kern w:val="0"/>
                <w:sz w:val="22"/>
                <w:szCs w:val="22"/>
              </w:rPr>
            </w:pPr>
            <w:r>
              <w:rPr>
                <w:color w:val="000000"/>
                <w:kern w:val="0"/>
                <w:sz w:val="22"/>
                <w:szCs w:val="22"/>
              </w:rPr>
              <w:t>地表水</w:t>
            </w:r>
          </w:p>
        </w:tc>
        <w:tc>
          <w:tcPr>
            <w:tcW w:w="1053" w:type="pct"/>
            <w:tcBorders>
              <w:top w:val="single" w:color="auto" w:sz="4" w:space="0"/>
              <w:left w:val="nil"/>
              <w:bottom w:val="single" w:color="auto" w:sz="4" w:space="0"/>
              <w:right w:val="single" w:color="auto" w:sz="4" w:space="0"/>
            </w:tcBorders>
            <w:noWrap/>
            <w:vAlign w:val="center"/>
          </w:tcPr>
          <w:p w14:paraId="0B9B7FA2">
            <w:pPr>
              <w:widowControl/>
              <w:jc w:val="center"/>
              <w:rPr>
                <w:color w:val="000000"/>
                <w:kern w:val="0"/>
                <w:sz w:val="22"/>
                <w:szCs w:val="22"/>
              </w:rPr>
            </w:pPr>
            <w:r>
              <w:rPr>
                <w:color w:val="000000"/>
                <w:kern w:val="0"/>
                <w:sz w:val="22"/>
                <w:szCs w:val="22"/>
              </w:rPr>
              <w:t>地下水</w:t>
            </w:r>
          </w:p>
        </w:tc>
        <w:tc>
          <w:tcPr>
            <w:tcW w:w="1053" w:type="pct"/>
            <w:tcBorders>
              <w:top w:val="single" w:color="auto" w:sz="4" w:space="0"/>
              <w:left w:val="nil"/>
              <w:bottom w:val="single" w:color="auto" w:sz="4" w:space="0"/>
              <w:right w:val="single" w:color="auto" w:sz="4" w:space="0"/>
            </w:tcBorders>
            <w:noWrap/>
            <w:vAlign w:val="center"/>
          </w:tcPr>
          <w:p w14:paraId="677C293D">
            <w:pPr>
              <w:widowControl/>
              <w:jc w:val="center"/>
              <w:rPr>
                <w:color w:val="000000"/>
                <w:kern w:val="0"/>
                <w:sz w:val="22"/>
                <w:szCs w:val="22"/>
              </w:rPr>
            </w:pPr>
            <w:r>
              <w:rPr>
                <w:color w:val="000000"/>
                <w:kern w:val="0"/>
                <w:sz w:val="22"/>
                <w:szCs w:val="22"/>
              </w:rPr>
              <w:t>非常规水</w:t>
            </w:r>
          </w:p>
        </w:tc>
        <w:tc>
          <w:tcPr>
            <w:tcW w:w="1053" w:type="pct"/>
            <w:tcBorders>
              <w:top w:val="single" w:color="auto" w:sz="4" w:space="0"/>
              <w:left w:val="nil"/>
              <w:bottom w:val="single" w:color="auto" w:sz="4" w:space="0"/>
              <w:right w:val="single" w:color="auto" w:sz="4" w:space="0"/>
            </w:tcBorders>
            <w:noWrap/>
            <w:vAlign w:val="center"/>
          </w:tcPr>
          <w:p w14:paraId="2146FCA0">
            <w:pPr>
              <w:widowControl/>
              <w:jc w:val="center"/>
              <w:rPr>
                <w:color w:val="000000"/>
                <w:kern w:val="0"/>
                <w:sz w:val="22"/>
                <w:szCs w:val="22"/>
              </w:rPr>
            </w:pPr>
            <w:r>
              <w:rPr>
                <w:color w:val="000000"/>
                <w:kern w:val="0"/>
                <w:sz w:val="22"/>
                <w:szCs w:val="22"/>
              </w:rPr>
              <w:t>合计</w:t>
            </w:r>
          </w:p>
        </w:tc>
      </w:tr>
      <w:tr w14:paraId="42577083">
        <w:tblPrEx>
          <w:tblCellMar>
            <w:top w:w="0" w:type="dxa"/>
            <w:left w:w="108" w:type="dxa"/>
            <w:bottom w:w="0" w:type="dxa"/>
            <w:right w:w="108" w:type="dxa"/>
          </w:tblCellMar>
        </w:tblPrEx>
        <w:trPr>
          <w:trHeight w:val="454" w:hRule="atLeast"/>
        </w:trPr>
        <w:tc>
          <w:tcPr>
            <w:tcW w:w="789" w:type="pct"/>
            <w:tcBorders>
              <w:top w:val="nil"/>
              <w:left w:val="single" w:color="auto" w:sz="4" w:space="0"/>
              <w:bottom w:val="single" w:color="auto" w:sz="4" w:space="0"/>
              <w:right w:val="single" w:color="auto" w:sz="4" w:space="0"/>
            </w:tcBorders>
            <w:noWrap/>
            <w:vAlign w:val="center"/>
          </w:tcPr>
          <w:p w14:paraId="7B253E7A">
            <w:pPr>
              <w:widowControl/>
              <w:jc w:val="center"/>
              <w:rPr>
                <w:color w:val="000000"/>
                <w:kern w:val="0"/>
                <w:sz w:val="22"/>
                <w:szCs w:val="22"/>
              </w:rPr>
            </w:pPr>
            <w:r>
              <w:rPr>
                <w:color w:val="000000"/>
                <w:kern w:val="0"/>
                <w:sz w:val="22"/>
                <w:szCs w:val="22"/>
              </w:rPr>
              <w:t>2019</w:t>
            </w:r>
          </w:p>
        </w:tc>
        <w:tc>
          <w:tcPr>
            <w:tcW w:w="1053" w:type="pct"/>
            <w:tcBorders>
              <w:top w:val="nil"/>
              <w:left w:val="nil"/>
              <w:bottom w:val="single" w:color="auto" w:sz="4" w:space="0"/>
              <w:right w:val="single" w:color="auto" w:sz="4" w:space="0"/>
            </w:tcBorders>
            <w:noWrap/>
            <w:vAlign w:val="center"/>
          </w:tcPr>
          <w:p w14:paraId="5EDACFF2">
            <w:pPr>
              <w:widowControl/>
              <w:jc w:val="center"/>
              <w:rPr>
                <w:color w:val="000000"/>
                <w:kern w:val="0"/>
                <w:sz w:val="22"/>
                <w:szCs w:val="22"/>
              </w:rPr>
            </w:pPr>
            <w:r>
              <w:rPr>
                <w:rFonts w:eastAsia="等线"/>
                <w:color w:val="000000"/>
                <w:sz w:val="22"/>
                <w:szCs w:val="22"/>
              </w:rPr>
              <w:t>4823</w:t>
            </w:r>
          </w:p>
        </w:tc>
        <w:tc>
          <w:tcPr>
            <w:tcW w:w="1053" w:type="pct"/>
            <w:tcBorders>
              <w:top w:val="nil"/>
              <w:left w:val="nil"/>
              <w:bottom w:val="single" w:color="auto" w:sz="4" w:space="0"/>
              <w:right w:val="single" w:color="auto" w:sz="4" w:space="0"/>
            </w:tcBorders>
            <w:noWrap/>
            <w:vAlign w:val="center"/>
          </w:tcPr>
          <w:p w14:paraId="0B685A0C">
            <w:pPr>
              <w:widowControl/>
              <w:jc w:val="center"/>
              <w:rPr>
                <w:color w:val="000000"/>
                <w:kern w:val="0"/>
                <w:sz w:val="22"/>
                <w:szCs w:val="22"/>
              </w:rPr>
            </w:pPr>
            <w:r>
              <w:rPr>
                <w:rFonts w:eastAsia="等线"/>
                <w:color w:val="000000"/>
                <w:sz w:val="22"/>
                <w:szCs w:val="22"/>
              </w:rPr>
              <w:t>5699</w:t>
            </w:r>
          </w:p>
        </w:tc>
        <w:tc>
          <w:tcPr>
            <w:tcW w:w="1053" w:type="pct"/>
            <w:tcBorders>
              <w:top w:val="nil"/>
              <w:left w:val="nil"/>
              <w:bottom w:val="single" w:color="auto" w:sz="4" w:space="0"/>
              <w:right w:val="single" w:color="auto" w:sz="4" w:space="0"/>
            </w:tcBorders>
            <w:noWrap/>
            <w:vAlign w:val="center"/>
          </w:tcPr>
          <w:p w14:paraId="3D533DC0">
            <w:pPr>
              <w:widowControl/>
              <w:jc w:val="center"/>
              <w:rPr>
                <w:color w:val="000000"/>
                <w:kern w:val="0"/>
                <w:sz w:val="22"/>
                <w:szCs w:val="22"/>
              </w:rPr>
            </w:pPr>
            <w:r>
              <w:rPr>
                <w:rFonts w:eastAsia="等线"/>
                <w:color w:val="000000"/>
                <w:sz w:val="22"/>
                <w:szCs w:val="22"/>
              </w:rPr>
              <w:t>576</w:t>
            </w:r>
          </w:p>
        </w:tc>
        <w:tc>
          <w:tcPr>
            <w:tcW w:w="1053" w:type="pct"/>
            <w:tcBorders>
              <w:top w:val="nil"/>
              <w:left w:val="nil"/>
              <w:bottom w:val="single" w:color="auto" w:sz="4" w:space="0"/>
              <w:right w:val="single" w:color="auto" w:sz="4" w:space="0"/>
            </w:tcBorders>
            <w:noWrap/>
            <w:vAlign w:val="center"/>
          </w:tcPr>
          <w:p w14:paraId="3D74BBDA">
            <w:pPr>
              <w:widowControl/>
              <w:jc w:val="center"/>
              <w:rPr>
                <w:color w:val="000000"/>
                <w:kern w:val="0"/>
                <w:sz w:val="22"/>
                <w:szCs w:val="22"/>
              </w:rPr>
            </w:pPr>
            <w:r>
              <w:rPr>
                <w:rFonts w:eastAsia="等线"/>
                <w:color w:val="000000"/>
                <w:sz w:val="22"/>
                <w:szCs w:val="22"/>
              </w:rPr>
              <w:t>11098</w:t>
            </w:r>
          </w:p>
        </w:tc>
      </w:tr>
      <w:tr w14:paraId="7EC8CFC1">
        <w:tblPrEx>
          <w:tblCellMar>
            <w:top w:w="0" w:type="dxa"/>
            <w:left w:w="108" w:type="dxa"/>
            <w:bottom w:w="0" w:type="dxa"/>
            <w:right w:w="108" w:type="dxa"/>
          </w:tblCellMar>
        </w:tblPrEx>
        <w:trPr>
          <w:trHeight w:val="454" w:hRule="atLeast"/>
        </w:trPr>
        <w:tc>
          <w:tcPr>
            <w:tcW w:w="789" w:type="pct"/>
            <w:tcBorders>
              <w:top w:val="nil"/>
              <w:left w:val="single" w:color="auto" w:sz="4" w:space="0"/>
              <w:bottom w:val="single" w:color="auto" w:sz="4" w:space="0"/>
              <w:right w:val="single" w:color="auto" w:sz="4" w:space="0"/>
            </w:tcBorders>
            <w:noWrap/>
            <w:vAlign w:val="center"/>
          </w:tcPr>
          <w:p w14:paraId="2F843505">
            <w:pPr>
              <w:widowControl/>
              <w:jc w:val="center"/>
              <w:rPr>
                <w:color w:val="000000"/>
                <w:kern w:val="0"/>
                <w:sz w:val="22"/>
                <w:szCs w:val="22"/>
              </w:rPr>
            </w:pPr>
            <w:r>
              <w:rPr>
                <w:color w:val="000000"/>
                <w:kern w:val="0"/>
                <w:sz w:val="22"/>
                <w:szCs w:val="22"/>
              </w:rPr>
              <w:t>2020</w:t>
            </w:r>
          </w:p>
        </w:tc>
        <w:tc>
          <w:tcPr>
            <w:tcW w:w="1053" w:type="pct"/>
            <w:tcBorders>
              <w:top w:val="nil"/>
              <w:left w:val="nil"/>
              <w:bottom w:val="single" w:color="auto" w:sz="4" w:space="0"/>
              <w:right w:val="single" w:color="auto" w:sz="4" w:space="0"/>
            </w:tcBorders>
            <w:noWrap/>
            <w:vAlign w:val="center"/>
          </w:tcPr>
          <w:p w14:paraId="7DF2DC13">
            <w:pPr>
              <w:widowControl/>
              <w:jc w:val="center"/>
              <w:rPr>
                <w:color w:val="000000"/>
                <w:kern w:val="0"/>
                <w:sz w:val="22"/>
                <w:szCs w:val="22"/>
              </w:rPr>
            </w:pPr>
            <w:r>
              <w:rPr>
                <w:rFonts w:eastAsia="等线"/>
                <w:color w:val="000000"/>
                <w:sz w:val="22"/>
                <w:szCs w:val="22"/>
              </w:rPr>
              <w:t>3853</w:t>
            </w:r>
          </w:p>
        </w:tc>
        <w:tc>
          <w:tcPr>
            <w:tcW w:w="1053" w:type="pct"/>
            <w:tcBorders>
              <w:top w:val="nil"/>
              <w:left w:val="nil"/>
              <w:bottom w:val="single" w:color="auto" w:sz="4" w:space="0"/>
              <w:right w:val="single" w:color="auto" w:sz="4" w:space="0"/>
            </w:tcBorders>
            <w:noWrap/>
            <w:vAlign w:val="center"/>
          </w:tcPr>
          <w:p w14:paraId="68F1CE3E">
            <w:pPr>
              <w:widowControl/>
              <w:jc w:val="center"/>
              <w:rPr>
                <w:color w:val="000000"/>
                <w:kern w:val="0"/>
                <w:sz w:val="22"/>
                <w:szCs w:val="22"/>
              </w:rPr>
            </w:pPr>
            <w:r>
              <w:rPr>
                <w:rFonts w:eastAsia="等线"/>
                <w:color w:val="000000"/>
                <w:sz w:val="22"/>
                <w:szCs w:val="22"/>
              </w:rPr>
              <w:t>6300</w:t>
            </w:r>
          </w:p>
        </w:tc>
        <w:tc>
          <w:tcPr>
            <w:tcW w:w="1053" w:type="pct"/>
            <w:tcBorders>
              <w:top w:val="nil"/>
              <w:left w:val="nil"/>
              <w:bottom w:val="single" w:color="auto" w:sz="4" w:space="0"/>
              <w:right w:val="single" w:color="auto" w:sz="4" w:space="0"/>
            </w:tcBorders>
            <w:noWrap/>
            <w:vAlign w:val="center"/>
          </w:tcPr>
          <w:p w14:paraId="1F821EC8">
            <w:pPr>
              <w:widowControl/>
              <w:jc w:val="center"/>
              <w:rPr>
                <w:color w:val="000000"/>
                <w:kern w:val="0"/>
                <w:sz w:val="22"/>
                <w:szCs w:val="22"/>
              </w:rPr>
            </w:pPr>
            <w:r>
              <w:rPr>
                <w:rFonts w:eastAsia="等线"/>
                <w:color w:val="000000"/>
                <w:sz w:val="22"/>
                <w:szCs w:val="22"/>
              </w:rPr>
              <w:t>378</w:t>
            </w:r>
          </w:p>
        </w:tc>
        <w:tc>
          <w:tcPr>
            <w:tcW w:w="1053" w:type="pct"/>
            <w:tcBorders>
              <w:top w:val="nil"/>
              <w:left w:val="nil"/>
              <w:bottom w:val="single" w:color="auto" w:sz="4" w:space="0"/>
              <w:right w:val="single" w:color="auto" w:sz="4" w:space="0"/>
            </w:tcBorders>
            <w:noWrap/>
            <w:vAlign w:val="center"/>
          </w:tcPr>
          <w:p w14:paraId="5DE3949A">
            <w:pPr>
              <w:widowControl/>
              <w:jc w:val="center"/>
              <w:rPr>
                <w:color w:val="000000"/>
                <w:kern w:val="0"/>
                <w:sz w:val="22"/>
                <w:szCs w:val="22"/>
              </w:rPr>
            </w:pPr>
            <w:r>
              <w:rPr>
                <w:rFonts w:eastAsia="等线"/>
                <w:color w:val="000000"/>
                <w:sz w:val="22"/>
                <w:szCs w:val="22"/>
              </w:rPr>
              <w:t>10531</w:t>
            </w:r>
          </w:p>
        </w:tc>
      </w:tr>
      <w:tr w14:paraId="768D5B7C">
        <w:tblPrEx>
          <w:tblCellMar>
            <w:top w:w="0" w:type="dxa"/>
            <w:left w:w="108" w:type="dxa"/>
            <w:bottom w:w="0" w:type="dxa"/>
            <w:right w:w="108" w:type="dxa"/>
          </w:tblCellMar>
        </w:tblPrEx>
        <w:trPr>
          <w:trHeight w:val="454" w:hRule="atLeast"/>
        </w:trPr>
        <w:tc>
          <w:tcPr>
            <w:tcW w:w="789" w:type="pct"/>
            <w:tcBorders>
              <w:top w:val="nil"/>
              <w:left w:val="single" w:color="auto" w:sz="4" w:space="0"/>
              <w:bottom w:val="single" w:color="auto" w:sz="4" w:space="0"/>
              <w:right w:val="single" w:color="auto" w:sz="4" w:space="0"/>
            </w:tcBorders>
            <w:noWrap/>
            <w:vAlign w:val="center"/>
          </w:tcPr>
          <w:p w14:paraId="78D709F5">
            <w:pPr>
              <w:widowControl/>
              <w:jc w:val="center"/>
              <w:rPr>
                <w:color w:val="000000"/>
                <w:kern w:val="0"/>
                <w:sz w:val="22"/>
                <w:szCs w:val="22"/>
              </w:rPr>
            </w:pPr>
            <w:r>
              <w:rPr>
                <w:color w:val="000000"/>
                <w:kern w:val="0"/>
                <w:sz w:val="22"/>
                <w:szCs w:val="22"/>
              </w:rPr>
              <w:t>2021</w:t>
            </w:r>
          </w:p>
        </w:tc>
        <w:tc>
          <w:tcPr>
            <w:tcW w:w="1053" w:type="pct"/>
            <w:tcBorders>
              <w:top w:val="nil"/>
              <w:left w:val="nil"/>
              <w:bottom w:val="single" w:color="auto" w:sz="4" w:space="0"/>
              <w:right w:val="single" w:color="auto" w:sz="4" w:space="0"/>
            </w:tcBorders>
            <w:noWrap/>
            <w:vAlign w:val="center"/>
          </w:tcPr>
          <w:p w14:paraId="6CA5FD1A">
            <w:pPr>
              <w:widowControl/>
              <w:jc w:val="center"/>
              <w:rPr>
                <w:color w:val="000000"/>
                <w:kern w:val="0"/>
                <w:sz w:val="22"/>
                <w:szCs w:val="22"/>
              </w:rPr>
            </w:pPr>
            <w:r>
              <w:rPr>
                <w:rFonts w:eastAsia="等线"/>
                <w:color w:val="000000"/>
                <w:sz w:val="22"/>
                <w:szCs w:val="22"/>
              </w:rPr>
              <w:t>2518</w:t>
            </w:r>
          </w:p>
        </w:tc>
        <w:tc>
          <w:tcPr>
            <w:tcW w:w="1053" w:type="pct"/>
            <w:tcBorders>
              <w:top w:val="nil"/>
              <w:left w:val="nil"/>
              <w:bottom w:val="single" w:color="auto" w:sz="4" w:space="0"/>
              <w:right w:val="single" w:color="auto" w:sz="4" w:space="0"/>
            </w:tcBorders>
            <w:noWrap/>
            <w:vAlign w:val="center"/>
          </w:tcPr>
          <w:p w14:paraId="36EBCD73">
            <w:pPr>
              <w:widowControl/>
              <w:jc w:val="center"/>
              <w:rPr>
                <w:color w:val="000000"/>
                <w:kern w:val="0"/>
                <w:sz w:val="22"/>
                <w:szCs w:val="22"/>
              </w:rPr>
            </w:pPr>
            <w:r>
              <w:rPr>
                <w:rFonts w:eastAsia="等线"/>
                <w:color w:val="000000"/>
                <w:sz w:val="22"/>
                <w:szCs w:val="22"/>
              </w:rPr>
              <w:t>5778</w:t>
            </w:r>
          </w:p>
        </w:tc>
        <w:tc>
          <w:tcPr>
            <w:tcW w:w="1053" w:type="pct"/>
            <w:tcBorders>
              <w:top w:val="nil"/>
              <w:left w:val="nil"/>
              <w:bottom w:val="single" w:color="auto" w:sz="4" w:space="0"/>
              <w:right w:val="single" w:color="auto" w:sz="4" w:space="0"/>
            </w:tcBorders>
            <w:noWrap/>
            <w:vAlign w:val="center"/>
          </w:tcPr>
          <w:p w14:paraId="0F358A20">
            <w:pPr>
              <w:widowControl/>
              <w:jc w:val="center"/>
              <w:rPr>
                <w:color w:val="000000"/>
                <w:kern w:val="0"/>
                <w:sz w:val="22"/>
                <w:szCs w:val="22"/>
              </w:rPr>
            </w:pPr>
            <w:r>
              <w:rPr>
                <w:rFonts w:eastAsia="等线"/>
                <w:color w:val="000000"/>
                <w:sz w:val="22"/>
                <w:szCs w:val="22"/>
              </w:rPr>
              <w:t>601</w:t>
            </w:r>
          </w:p>
        </w:tc>
        <w:tc>
          <w:tcPr>
            <w:tcW w:w="1053" w:type="pct"/>
            <w:tcBorders>
              <w:top w:val="nil"/>
              <w:left w:val="nil"/>
              <w:bottom w:val="single" w:color="auto" w:sz="4" w:space="0"/>
              <w:right w:val="single" w:color="auto" w:sz="4" w:space="0"/>
            </w:tcBorders>
            <w:noWrap/>
            <w:vAlign w:val="center"/>
          </w:tcPr>
          <w:p w14:paraId="14009CD5">
            <w:pPr>
              <w:widowControl/>
              <w:jc w:val="center"/>
              <w:rPr>
                <w:color w:val="000000"/>
                <w:kern w:val="0"/>
                <w:sz w:val="22"/>
                <w:szCs w:val="22"/>
              </w:rPr>
            </w:pPr>
            <w:r>
              <w:rPr>
                <w:rFonts w:eastAsia="等线"/>
                <w:color w:val="000000"/>
                <w:sz w:val="22"/>
                <w:szCs w:val="22"/>
              </w:rPr>
              <w:t>8897</w:t>
            </w:r>
          </w:p>
        </w:tc>
      </w:tr>
      <w:tr w14:paraId="0CC3BDB5">
        <w:tblPrEx>
          <w:tblCellMar>
            <w:top w:w="0" w:type="dxa"/>
            <w:left w:w="108" w:type="dxa"/>
            <w:bottom w:w="0" w:type="dxa"/>
            <w:right w:w="108" w:type="dxa"/>
          </w:tblCellMar>
        </w:tblPrEx>
        <w:trPr>
          <w:trHeight w:val="454" w:hRule="atLeast"/>
        </w:trPr>
        <w:tc>
          <w:tcPr>
            <w:tcW w:w="789" w:type="pct"/>
            <w:tcBorders>
              <w:top w:val="nil"/>
              <w:left w:val="single" w:color="auto" w:sz="4" w:space="0"/>
              <w:bottom w:val="single" w:color="auto" w:sz="4" w:space="0"/>
              <w:right w:val="single" w:color="auto" w:sz="4" w:space="0"/>
            </w:tcBorders>
            <w:noWrap/>
            <w:vAlign w:val="center"/>
          </w:tcPr>
          <w:p w14:paraId="27FBA886">
            <w:pPr>
              <w:widowControl/>
              <w:jc w:val="center"/>
              <w:rPr>
                <w:color w:val="000000"/>
                <w:kern w:val="0"/>
                <w:sz w:val="22"/>
                <w:szCs w:val="22"/>
              </w:rPr>
            </w:pPr>
            <w:r>
              <w:rPr>
                <w:color w:val="000000"/>
                <w:kern w:val="0"/>
                <w:sz w:val="22"/>
                <w:szCs w:val="22"/>
              </w:rPr>
              <w:t>2022</w:t>
            </w:r>
          </w:p>
        </w:tc>
        <w:tc>
          <w:tcPr>
            <w:tcW w:w="1053" w:type="pct"/>
            <w:tcBorders>
              <w:top w:val="nil"/>
              <w:left w:val="nil"/>
              <w:bottom w:val="single" w:color="auto" w:sz="4" w:space="0"/>
              <w:right w:val="single" w:color="auto" w:sz="4" w:space="0"/>
            </w:tcBorders>
            <w:noWrap/>
            <w:vAlign w:val="center"/>
          </w:tcPr>
          <w:p w14:paraId="7C7CD58C">
            <w:pPr>
              <w:widowControl/>
              <w:jc w:val="center"/>
              <w:rPr>
                <w:color w:val="000000"/>
                <w:kern w:val="0"/>
                <w:sz w:val="22"/>
                <w:szCs w:val="22"/>
              </w:rPr>
            </w:pPr>
            <w:r>
              <w:rPr>
                <w:rFonts w:eastAsia="等线"/>
                <w:color w:val="000000"/>
                <w:sz w:val="22"/>
                <w:szCs w:val="22"/>
              </w:rPr>
              <w:t>2662</w:t>
            </w:r>
          </w:p>
        </w:tc>
        <w:tc>
          <w:tcPr>
            <w:tcW w:w="1053" w:type="pct"/>
            <w:tcBorders>
              <w:top w:val="nil"/>
              <w:left w:val="nil"/>
              <w:bottom w:val="single" w:color="auto" w:sz="4" w:space="0"/>
              <w:right w:val="single" w:color="auto" w:sz="4" w:space="0"/>
            </w:tcBorders>
            <w:noWrap/>
            <w:vAlign w:val="center"/>
          </w:tcPr>
          <w:p w14:paraId="5C1956E4">
            <w:pPr>
              <w:widowControl/>
              <w:jc w:val="center"/>
              <w:rPr>
                <w:color w:val="000000"/>
                <w:kern w:val="0"/>
                <w:sz w:val="22"/>
                <w:szCs w:val="22"/>
              </w:rPr>
            </w:pPr>
            <w:r>
              <w:rPr>
                <w:rFonts w:eastAsia="等线"/>
                <w:color w:val="000000"/>
                <w:sz w:val="22"/>
                <w:szCs w:val="22"/>
              </w:rPr>
              <w:t>5847</w:t>
            </w:r>
          </w:p>
        </w:tc>
        <w:tc>
          <w:tcPr>
            <w:tcW w:w="1053" w:type="pct"/>
            <w:tcBorders>
              <w:top w:val="nil"/>
              <w:left w:val="nil"/>
              <w:bottom w:val="single" w:color="auto" w:sz="4" w:space="0"/>
              <w:right w:val="single" w:color="auto" w:sz="4" w:space="0"/>
            </w:tcBorders>
            <w:noWrap/>
            <w:vAlign w:val="center"/>
          </w:tcPr>
          <w:p w14:paraId="53274C8F">
            <w:pPr>
              <w:widowControl/>
              <w:jc w:val="center"/>
              <w:rPr>
                <w:color w:val="000000"/>
                <w:kern w:val="0"/>
                <w:sz w:val="22"/>
                <w:szCs w:val="22"/>
              </w:rPr>
            </w:pPr>
            <w:r>
              <w:rPr>
                <w:rFonts w:eastAsia="等线"/>
                <w:color w:val="000000"/>
                <w:sz w:val="22"/>
                <w:szCs w:val="22"/>
              </w:rPr>
              <w:t>643</w:t>
            </w:r>
          </w:p>
        </w:tc>
        <w:tc>
          <w:tcPr>
            <w:tcW w:w="1053" w:type="pct"/>
            <w:tcBorders>
              <w:top w:val="nil"/>
              <w:left w:val="nil"/>
              <w:bottom w:val="single" w:color="auto" w:sz="4" w:space="0"/>
              <w:right w:val="single" w:color="auto" w:sz="4" w:space="0"/>
            </w:tcBorders>
            <w:noWrap/>
            <w:vAlign w:val="center"/>
          </w:tcPr>
          <w:p w14:paraId="25B0DAB9">
            <w:pPr>
              <w:widowControl/>
              <w:jc w:val="center"/>
              <w:rPr>
                <w:color w:val="000000"/>
                <w:kern w:val="0"/>
                <w:sz w:val="22"/>
                <w:szCs w:val="22"/>
              </w:rPr>
            </w:pPr>
            <w:r>
              <w:rPr>
                <w:rFonts w:eastAsia="等线"/>
                <w:color w:val="000000"/>
                <w:sz w:val="22"/>
                <w:szCs w:val="22"/>
              </w:rPr>
              <w:t>9152</w:t>
            </w:r>
          </w:p>
        </w:tc>
      </w:tr>
      <w:tr w14:paraId="28E24B10">
        <w:tblPrEx>
          <w:tblCellMar>
            <w:top w:w="0" w:type="dxa"/>
            <w:left w:w="108" w:type="dxa"/>
            <w:bottom w:w="0" w:type="dxa"/>
            <w:right w:w="108" w:type="dxa"/>
          </w:tblCellMar>
        </w:tblPrEx>
        <w:trPr>
          <w:trHeight w:val="454" w:hRule="atLeast"/>
        </w:trPr>
        <w:tc>
          <w:tcPr>
            <w:tcW w:w="789" w:type="pct"/>
            <w:tcBorders>
              <w:top w:val="nil"/>
              <w:left w:val="single" w:color="auto" w:sz="4" w:space="0"/>
              <w:bottom w:val="single" w:color="auto" w:sz="4" w:space="0"/>
              <w:right w:val="single" w:color="auto" w:sz="4" w:space="0"/>
            </w:tcBorders>
            <w:noWrap/>
            <w:vAlign w:val="center"/>
          </w:tcPr>
          <w:p w14:paraId="4C517BB4">
            <w:pPr>
              <w:widowControl/>
              <w:jc w:val="center"/>
              <w:rPr>
                <w:color w:val="000000"/>
                <w:kern w:val="0"/>
                <w:sz w:val="22"/>
                <w:szCs w:val="22"/>
              </w:rPr>
            </w:pPr>
            <w:r>
              <w:rPr>
                <w:color w:val="000000"/>
                <w:kern w:val="0"/>
                <w:sz w:val="22"/>
                <w:szCs w:val="22"/>
              </w:rPr>
              <w:t>2023</w:t>
            </w:r>
          </w:p>
        </w:tc>
        <w:tc>
          <w:tcPr>
            <w:tcW w:w="1053" w:type="pct"/>
            <w:tcBorders>
              <w:top w:val="nil"/>
              <w:left w:val="nil"/>
              <w:bottom w:val="single" w:color="auto" w:sz="4" w:space="0"/>
              <w:right w:val="single" w:color="auto" w:sz="4" w:space="0"/>
            </w:tcBorders>
            <w:noWrap/>
            <w:vAlign w:val="center"/>
          </w:tcPr>
          <w:p w14:paraId="6D039602">
            <w:pPr>
              <w:widowControl/>
              <w:jc w:val="center"/>
              <w:rPr>
                <w:color w:val="000000"/>
                <w:kern w:val="0"/>
                <w:sz w:val="22"/>
                <w:szCs w:val="22"/>
              </w:rPr>
            </w:pPr>
            <w:r>
              <w:rPr>
                <w:rFonts w:eastAsia="等线"/>
                <w:color w:val="000000"/>
                <w:sz w:val="22"/>
                <w:szCs w:val="22"/>
              </w:rPr>
              <w:t>3525</w:t>
            </w:r>
          </w:p>
        </w:tc>
        <w:tc>
          <w:tcPr>
            <w:tcW w:w="1053" w:type="pct"/>
            <w:tcBorders>
              <w:top w:val="nil"/>
              <w:left w:val="nil"/>
              <w:bottom w:val="single" w:color="auto" w:sz="4" w:space="0"/>
              <w:right w:val="single" w:color="auto" w:sz="4" w:space="0"/>
            </w:tcBorders>
            <w:noWrap/>
            <w:vAlign w:val="center"/>
          </w:tcPr>
          <w:p w14:paraId="3D9EC0F7">
            <w:pPr>
              <w:widowControl/>
              <w:jc w:val="center"/>
              <w:rPr>
                <w:color w:val="000000"/>
                <w:kern w:val="0"/>
                <w:sz w:val="22"/>
                <w:szCs w:val="22"/>
              </w:rPr>
            </w:pPr>
            <w:r>
              <w:rPr>
                <w:rFonts w:eastAsia="等线"/>
                <w:color w:val="000000"/>
                <w:sz w:val="22"/>
                <w:szCs w:val="22"/>
              </w:rPr>
              <w:t>6020</w:t>
            </w:r>
          </w:p>
        </w:tc>
        <w:tc>
          <w:tcPr>
            <w:tcW w:w="1053" w:type="pct"/>
            <w:tcBorders>
              <w:top w:val="nil"/>
              <w:left w:val="nil"/>
              <w:bottom w:val="single" w:color="auto" w:sz="4" w:space="0"/>
              <w:right w:val="single" w:color="auto" w:sz="4" w:space="0"/>
            </w:tcBorders>
            <w:noWrap/>
            <w:vAlign w:val="center"/>
          </w:tcPr>
          <w:p w14:paraId="0E5D8F7D">
            <w:pPr>
              <w:widowControl/>
              <w:jc w:val="center"/>
              <w:rPr>
                <w:color w:val="000000"/>
                <w:kern w:val="0"/>
                <w:sz w:val="22"/>
                <w:szCs w:val="22"/>
              </w:rPr>
            </w:pPr>
            <w:r>
              <w:rPr>
                <w:rFonts w:eastAsia="等线"/>
                <w:color w:val="000000"/>
                <w:sz w:val="22"/>
                <w:szCs w:val="22"/>
              </w:rPr>
              <w:t>864</w:t>
            </w:r>
          </w:p>
        </w:tc>
        <w:tc>
          <w:tcPr>
            <w:tcW w:w="1053" w:type="pct"/>
            <w:tcBorders>
              <w:top w:val="nil"/>
              <w:left w:val="nil"/>
              <w:bottom w:val="single" w:color="auto" w:sz="4" w:space="0"/>
              <w:right w:val="single" w:color="auto" w:sz="4" w:space="0"/>
            </w:tcBorders>
            <w:noWrap/>
            <w:vAlign w:val="center"/>
          </w:tcPr>
          <w:p w14:paraId="36565406">
            <w:pPr>
              <w:widowControl/>
              <w:jc w:val="center"/>
              <w:rPr>
                <w:color w:val="000000"/>
                <w:kern w:val="0"/>
                <w:sz w:val="22"/>
                <w:szCs w:val="22"/>
              </w:rPr>
            </w:pPr>
            <w:r>
              <w:rPr>
                <w:rFonts w:eastAsia="等线"/>
                <w:color w:val="000000"/>
                <w:sz w:val="22"/>
                <w:szCs w:val="22"/>
              </w:rPr>
              <w:t>104</w:t>
            </w:r>
            <w:r>
              <w:rPr>
                <w:rFonts w:hint="eastAsia" w:eastAsia="等线"/>
                <w:color w:val="000000"/>
                <w:sz w:val="22"/>
                <w:szCs w:val="22"/>
              </w:rPr>
              <w:t>10</w:t>
            </w:r>
          </w:p>
        </w:tc>
      </w:tr>
      <w:tr w14:paraId="05674B42">
        <w:tblPrEx>
          <w:tblCellMar>
            <w:top w:w="0" w:type="dxa"/>
            <w:left w:w="108" w:type="dxa"/>
            <w:bottom w:w="0" w:type="dxa"/>
            <w:right w:w="108" w:type="dxa"/>
          </w:tblCellMar>
        </w:tblPrEx>
        <w:trPr>
          <w:trHeight w:val="454" w:hRule="atLeast"/>
        </w:trPr>
        <w:tc>
          <w:tcPr>
            <w:tcW w:w="789" w:type="pct"/>
            <w:tcBorders>
              <w:top w:val="nil"/>
              <w:left w:val="single" w:color="auto" w:sz="4" w:space="0"/>
              <w:bottom w:val="single" w:color="auto" w:sz="4" w:space="0"/>
              <w:right w:val="single" w:color="auto" w:sz="4" w:space="0"/>
            </w:tcBorders>
            <w:noWrap/>
            <w:vAlign w:val="center"/>
          </w:tcPr>
          <w:p w14:paraId="0C667956">
            <w:pPr>
              <w:widowControl/>
              <w:jc w:val="center"/>
              <w:rPr>
                <w:color w:val="000000"/>
                <w:kern w:val="0"/>
                <w:sz w:val="22"/>
                <w:szCs w:val="22"/>
              </w:rPr>
            </w:pPr>
            <w:r>
              <w:rPr>
                <w:color w:val="000000"/>
                <w:kern w:val="0"/>
                <w:sz w:val="22"/>
                <w:szCs w:val="22"/>
              </w:rPr>
              <w:t>平均</w:t>
            </w:r>
          </w:p>
        </w:tc>
        <w:tc>
          <w:tcPr>
            <w:tcW w:w="1053" w:type="pct"/>
            <w:tcBorders>
              <w:top w:val="nil"/>
              <w:left w:val="nil"/>
              <w:bottom w:val="single" w:color="auto" w:sz="4" w:space="0"/>
              <w:right w:val="single" w:color="auto" w:sz="4" w:space="0"/>
            </w:tcBorders>
            <w:noWrap/>
            <w:vAlign w:val="center"/>
          </w:tcPr>
          <w:p w14:paraId="52498785">
            <w:pPr>
              <w:widowControl/>
              <w:jc w:val="center"/>
              <w:rPr>
                <w:color w:val="000000"/>
                <w:kern w:val="0"/>
                <w:sz w:val="22"/>
                <w:szCs w:val="22"/>
              </w:rPr>
            </w:pPr>
            <w:r>
              <w:rPr>
                <w:rFonts w:eastAsia="等线"/>
                <w:color w:val="000000"/>
                <w:sz w:val="22"/>
                <w:szCs w:val="22"/>
              </w:rPr>
              <w:t>3476</w:t>
            </w:r>
          </w:p>
        </w:tc>
        <w:tc>
          <w:tcPr>
            <w:tcW w:w="1053" w:type="pct"/>
            <w:tcBorders>
              <w:top w:val="nil"/>
              <w:left w:val="nil"/>
              <w:bottom w:val="single" w:color="auto" w:sz="4" w:space="0"/>
              <w:right w:val="single" w:color="auto" w:sz="4" w:space="0"/>
            </w:tcBorders>
            <w:noWrap/>
            <w:vAlign w:val="center"/>
          </w:tcPr>
          <w:p w14:paraId="69E0EAC1">
            <w:pPr>
              <w:widowControl/>
              <w:jc w:val="center"/>
              <w:rPr>
                <w:color w:val="000000"/>
                <w:kern w:val="0"/>
                <w:sz w:val="22"/>
                <w:szCs w:val="22"/>
              </w:rPr>
            </w:pPr>
            <w:r>
              <w:rPr>
                <w:rFonts w:eastAsia="等线"/>
                <w:color w:val="000000"/>
                <w:sz w:val="22"/>
                <w:szCs w:val="22"/>
              </w:rPr>
              <w:t>5929</w:t>
            </w:r>
          </w:p>
        </w:tc>
        <w:tc>
          <w:tcPr>
            <w:tcW w:w="1053" w:type="pct"/>
            <w:tcBorders>
              <w:top w:val="nil"/>
              <w:left w:val="nil"/>
              <w:bottom w:val="single" w:color="auto" w:sz="4" w:space="0"/>
              <w:right w:val="single" w:color="auto" w:sz="4" w:space="0"/>
            </w:tcBorders>
            <w:noWrap/>
            <w:vAlign w:val="center"/>
          </w:tcPr>
          <w:p w14:paraId="749AEE76">
            <w:pPr>
              <w:widowControl/>
              <w:jc w:val="center"/>
              <w:rPr>
                <w:color w:val="000000"/>
                <w:kern w:val="0"/>
                <w:sz w:val="22"/>
                <w:szCs w:val="22"/>
              </w:rPr>
            </w:pPr>
            <w:r>
              <w:rPr>
                <w:rFonts w:eastAsia="等线"/>
                <w:color w:val="000000"/>
                <w:sz w:val="22"/>
                <w:szCs w:val="22"/>
              </w:rPr>
              <w:t>613</w:t>
            </w:r>
          </w:p>
        </w:tc>
        <w:tc>
          <w:tcPr>
            <w:tcW w:w="1053" w:type="pct"/>
            <w:tcBorders>
              <w:top w:val="nil"/>
              <w:left w:val="nil"/>
              <w:bottom w:val="single" w:color="auto" w:sz="4" w:space="0"/>
              <w:right w:val="single" w:color="auto" w:sz="4" w:space="0"/>
            </w:tcBorders>
            <w:noWrap/>
            <w:vAlign w:val="center"/>
          </w:tcPr>
          <w:p w14:paraId="76BB2AD6">
            <w:pPr>
              <w:widowControl/>
              <w:jc w:val="center"/>
              <w:rPr>
                <w:color w:val="000000"/>
                <w:kern w:val="0"/>
                <w:sz w:val="22"/>
                <w:szCs w:val="22"/>
              </w:rPr>
            </w:pPr>
            <w:r>
              <w:rPr>
                <w:rFonts w:eastAsia="等线"/>
                <w:color w:val="000000"/>
                <w:sz w:val="22"/>
                <w:szCs w:val="22"/>
              </w:rPr>
              <w:t>10018</w:t>
            </w:r>
          </w:p>
        </w:tc>
      </w:tr>
    </w:tbl>
    <w:p w14:paraId="2698E2B5">
      <w:pPr>
        <w:tabs>
          <w:tab w:val="left" w:pos="5400"/>
        </w:tabs>
        <w:spacing w:line="600" w:lineRule="exact"/>
        <w:ind w:firstLine="560" w:firstLineChars="200"/>
        <w:rPr>
          <w:color w:val="000000" w:themeColor="text1"/>
          <w:sz w:val="28"/>
          <w:szCs w:val="28"/>
        </w:rPr>
      </w:pPr>
      <w:r>
        <w:rPr>
          <w:color w:val="000000" w:themeColor="text1"/>
          <w:sz w:val="28"/>
          <w:szCs w:val="28"/>
        </w:rPr>
        <w:t>从表2.3-2中可见，平阴县201</w:t>
      </w:r>
      <w:r>
        <w:rPr>
          <w:rFonts w:hint="eastAsia"/>
          <w:color w:val="000000" w:themeColor="text1"/>
          <w:sz w:val="28"/>
          <w:szCs w:val="28"/>
        </w:rPr>
        <w:t>9—</w:t>
      </w:r>
      <w:r>
        <w:rPr>
          <w:color w:val="000000" w:themeColor="text1"/>
          <w:sz w:val="28"/>
          <w:szCs w:val="28"/>
        </w:rPr>
        <w:t>202</w:t>
      </w:r>
      <w:r>
        <w:rPr>
          <w:rFonts w:hint="eastAsia"/>
          <w:color w:val="000000" w:themeColor="text1"/>
          <w:sz w:val="28"/>
          <w:szCs w:val="28"/>
        </w:rPr>
        <w:t>3</w:t>
      </w:r>
      <w:r>
        <w:rPr>
          <w:color w:val="000000" w:themeColor="text1"/>
          <w:sz w:val="28"/>
          <w:szCs w:val="28"/>
        </w:rPr>
        <w:t>年平均供水量</w:t>
      </w:r>
      <w:r>
        <w:rPr>
          <w:rFonts w:hint="eastAsia"/>
          <w:color w:val="000000" w:themeColor="text1"/>
          <w:sz w:val="28"/>
          <w:szCs w:val="28"/>
        </w:rPr>
        <w:t>10018</w:t>
      </w:r>
      <w:r>
        <w:rPr>
          <w:color w:val="000000" w:themeColor="text1"/>
          <w:sz w:val="28"/>
          <w:szCs w:val="28"/>
        </w:rPr>
        <w:t>万m</w:t>
      </w:r>
      <w:r>
        <w:rPr>
          <w:color w:val="000000" w:themeColor="text1"/>
          <w:sz w:val="28"/>
          <w:szCs w:val="28"/>
          <w:vertAlign w:val="superscript"/>
        </w:rPr>
        <w:t>3</w:t>
      </w:r>
      <w:r>
        <w:rPr>
          <w:color w:val="000000" w:themeColor="text1"/>
          <w:sz w:val="28"/>
          <w:szCs w:val="28"/>
        </w:rPr>
        <w:t>，其中地表水供水量3</w:t>
      </w:r>
      <w:r>
        <w:rPr>
          <w:rFonts w:hint="eastAsia"/>
          <w:color w:val="000000" w:themeColor="text1"/>
          <w:sz w:val="28"/>
          <w:szCs w:val="28"/>
        </w:rPr>
        <w:t>476</w:t>
      </w:r>
      <w:r>
        <w:rPr>
          <w:color w:val="000000" w:themeColor="text1"/>
          <w:sz w:val="28"/>
          <w:szCs w:val="28"/>
        </w:rPr>
        <w:t>m</w:t>
      </w:r>
      <w:r>
        <w:rPr>
          <w:color w:val="000000" w:themeColor="text1"/>
          <w:sz w:val="28"/>
          <w:szCs w:val="28"/>
          <w:vertAlign w:val="superscript"/>
        </w:rPr>
        <w:t>3</w:t>
      </w:r>
      <w:r>
        <w:rPr>
          <w:color w:val="000000" w:themeColor="text1"/>
          <w:sz w:val="28"/>
          <w:szCs w:val="28"/>
        </w:rPr>
        <w:t>，占总供水量的</w:t>
      </w:r>
      <w:r>
        <w:rPr>
          <w:rFonts w:hint="eastAsia"/>
          <w:color w:val="000000" w:themeColor="text1"/>
          <w:sz w:val="28"/>
          <w:szCs w:val="28"/>
        </w:rPr>
        <w:t>34.7</w:t>
      </w:r>
      <w:r>
        <w:rPr>
          <w:color w:val="000000" w:themeColor="text1"/>
          <w:sz w:val="28"/>
          <w:szCs w:val="28"/>
        </w:rPr>
        <w:t>%；地下水供水量</w:t>
      </w:r>
      <w:r>
        <w:rPr>
          <w:rFonts w:hint="eastAsia"/>
          <w:color w:val="000000" w:themeColor="text1"/>
          <w:sz w:val="28"/>
          <w:szCs w:val="28"/>
        </w:rPr>
        <w:t>5929</w:t>
      </w:r>
      <w:r>
        <w:rPr>
          <w:color w:val="000000" w:themeColor="text1"/>
          <w:sz w:val="28"/>
          <w:szCs w:val="28"/>
        </w:rPr>
        <w:t>万m</w:t>
      </w:r>
      <w:r>
        <w:rPr>
          <w:color w:val="000000" w:themeColor="text1"/>
          <w:sz w:val="28"/>
          <w:szCs w:val="28"/>
          <w:vertAlign w:val="superscript"/>
        </w:rPr>
        <w:t>3</w:t>
      </w:r>
      <w:r>
        <w:rPr>
          <w:color w:val="000000" w:themeColor="text1"/>
          <w:sz w:val="28"/>
          <w:szCs w:val="28"/>
        </w:rPr>
        <w:t>，占总供水量的5</w:t>
      </w:r>
      <w:r>
        <w:rPr>
          <w:rFonts w:hint="eastAsia"/>
          <w:color w:val="000000" w:themeColor="text1"/>
          <w:sz w:val="28"/>
          <w:szCs w:val="28"/>
        </w:rPr>
        <w:t>9.2</w:t>
      </w:r>
      <w:r>
        <w:rPr>
          <w:color w:val="000000" w:themeColor="text1"/>
          <w:sz w:val="28"/>
          <w:szCs w:val="28"/>
        </w:rPr>
        <w:t>%；其他水源供水量为</w:t>
      </w:r>
      <w:r>
        <w:rPr>
          <w:rFonts w:hint="eastAsia"/>
          <w:color w:val="000000" w:themeColor="text1"/>
          <w:sz w:val="28"/>
          <w:szCs w:val="28"/>
        </w:rPr>
        <w:t>613</w:t>
      </w:r>
      <w:r>
        <w:rPr>
          <w:color w:val="000000" w:themeColor="text1"/>
          <w:sz w:val="28"/>
          <w:szCs w:val="28"/>
        </w:rPr>
        <w:t>万m</w:t>
      </w:r>
      <w:r>
        <w:rPr>
          <w:color w:val="000000" w:themeColor="text1"/>
          <w:sz w:val="28"/>
          <w:szCs w:val="28"/>
          <w:vertAlign w:val="superscript"/>
        </w:rPr>
        <w:t>3</w:t>
      </w:r>
      <w:r>
        <w:rPr>
          <w:color w:val="000000" w:themeColor="text1"/>
          <w:sz w:val="28"/>
          <w:szCs w:val="28"/>
        </w:rPr>
        <w:t>，占总供水量的</w:t>
      </w:r>
      <w:r>
        <w:rPr>
          <w:rFonts w:hint="eastAsia"/>
          <w:color w:val="000000" w:themeColor="text1"/>
          <w:sz w:val="28"/>
          <w:szCs w:val="28"/>
        </w:rPr>
        <w:t>6.1</w:t>
      </w:r>
      <w:r>
        <w:rPr>
          <w:color w:val="000000" w:themeColor="text1"/>
          <w:sz w:val="28"/>
          <w:szCs w:val="28"/>
        </w:rPr>
        <w:t>%。</w:t>
      </w:r>
    </w:p>
    <w:p w14:paraId="4DF28621">
      <w:pPr>
        <w:tabs>
          <w:tab w:val="left" w:pos="5400"/>
        </w:tabs>
        <w:jc w:val="center"/>
        <w:rPr>
          <w:color w:val="000000" w:themeColor="text1"/>
          <w:sz w:val="28"/>
          <w:szCs w:val="28"/>
        </w:rPr>
      </w:pPr>
      <w:r>
        <w:drawing>
          <wp:inline distT="0" distB="0" distL="0" distR="0">
            <wp:extent cx="4761230" cy="2809875"/>
            <wp:effectExtent l="0" t="0" r="0" b="0"/>
            <wp:docPr id="300479070"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AF4841D">
      <w:pPr>
        <w:tabs>
          <w:tab w:val="left" w:pos="5400"/>
        </w:tabs>
        <w:jc w:val="center"/>
        <w:rPr>
          <w:b/>
          <w:bCs/>
          <w:color w:val="000000" w:themeColor="text1"/>
          <w:sz w:val="24"/>
        </w:rPr>
      </w:pPr>
      <w:r>
        <w:rPr>
          <w:rFonts w:hint="eastAsia"/>
          <w:b/>
          <w:bCs/>
          <w:color w:val="000000" w:themeColor="text1"/>
          <w:sz w:val="24"/>
        </w:rPr>
        <w:t>图</w:t>
      </w:r>
      <w:r>
        <w:rPr>
          <w:b/>
          <w:bCs/>
          <w:color w:val="000000" w:themeColor="text1"/>
          <w:sz w:val="24"/>
        </w:rPr>
        <w:t>2</w:t>
      </w:r>
      <w:r>
        <w:rPr>
          <w:rFonts w:hint="eastAsia"/>
          <w:b/>
          <w:bCs/>
          <w:color w:val="000000" w:themeColor="text1"/>
          <w:sz w:val="24"/>
        </w:rPr>
        <w:t>.</w:t>
      </w:r>
      <w:r>
        <w:rPr>
          <w:b/>
          <w:bCs/>
          <w:color w:val="000000" w:themeColor="text1"/>
          <w:sz w:val="24"/>
        </w:rPr>
        <w:t>3</w:t>
      </w:r>
      <w:r>
        <w:rPr>
          <w:rFonts w:hint="eastAsia"/>
          <w:b/>
          <w:bCs/>
          <w:color w:val="000000" w:themeColor="text1"/>
          <w:sz w:val="24"/>
        </w:rPr>
        <w:t>-1  2019—2023年平阴县各水源供水量柱状图</w:t>
      </w:r>
    </w:p>
    <w:p w14:paraId="221BB67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2023年</w:t>
      </w:r>
      <w:r>
        <w:rPr>
          <w:color w:val="000000" w:themeColor="text1"/>
          <w:sz w:val="28"/>
          <w:szCs w:val="28"/>
        </w:rPr>
        <w:t>平阴县供水量</w:t>
      </w:r>
      <w:r>
        <w:rPr>
          <w:rFonts w:hint="eastAsia"/>
          <w:color w:val="000000" w:themeColor="text1"/>
          <w:sz w:val="28"/>
          <w:szCs w:val="28"/>
        </w:rPr>
        <w:t>10410</w:t>
      </w:r>
      <w:r>
        <w:rPr>
          <w:color w:val="000000" w:themeColor="text1"/>
          <w:sz w:val="28"/>
          <w:szCs w:val="28"/>
        </w:rPr>
        <w:t>万m</w:t>
      </w:r>
      <w:r>
        <w:rPr>
          <w:color w:val="000000" w:themeColor="text1"/>
          <w:sz w:val="28"/>
          <w:szCs w:val="28"/>
          <w:vertAlign w:val="superscript"/>
        </w:rPr>
        <w:t>3</w:t>
      </w:r>
      <w:r>
        <w:rPr>
          <w:color w:val="000000" w:themeColor="text1"/>
          <w:sz w:val="28"/>
          <w:szCs w:val="28"/>
        </w:rPr>
        <w:t>，其中地表水</w:t>
      </w:r>
      <w:r>
        <w:rPr>
          <w:rFonts w:hint="eastAsia"/>
          <w:color w:val="000000" w:themeColor="text1"/>
          <w:sz w:val="28"/>
          <w:szCs w:val="28"/>
        </w:rPr>
        <w:t>3525</w:t>
      </w:r>
      <w:r>
        <w:rPr>
          <w:color w:val="000000" w:themeColor="text1"/>
          <w:sz w:val="28"/>
          <w:szCs w:val="28"/>
        </w:rPr>
        <w:t>万m</w:t>
      </w:r>
      <w:r>
        <w:rPr>
          <w:color w:val="000000" w:themeColor="text1"/>
          <w:sz w:val="28"/>
          <w:szCs w:val="28"/>
          <w:vertAlign w:val="superscript"/>
        </w:rPr>
        <w:t>3</w:t>
      </w:r>
      <w:r>
        <w:rPr>
          <w:color w:val="000000" w:themeColor="text1"/>
          <w:sz w:val="28"/>
          <w:szCs w:val="28"/>
        </w:rPr>
        <w:t>、地下水</w:t>
      </w:r>
      <w:r>
        <w:rPr>
          <w:rFonts w:hint="eastAsia"/>
          <w:color w:val="000000" w:themeColor="text1"/>
          <w:sz w:val="28"/>
          <w:szCs w:val="28"/>
        </w:rPr>
        <w:t>6020</w:t>
      </w:r>
      <w:r>
        <w:rPr>
          <w:color w:val="000000" w:themeColor="text1"/>
          <w:sz w:val="28"/>
          <w:szCs w:val="28"/>
        </w:rPr>
        <w:t>万m</w:t>
      </w:r>
      <w:r>
        <w:rPr>
          <w:color w:val="000000" w:themeColor="text1"/>
          <w:sz w:val="28"/>
          <w:szCs w:val="28"/>
          <w:vertAlign w:val="superscript"/>
        </w:rPr>
        <w:t>3</w:t>
      </w:r>
      <w:r>
        <w:rPr>
          <w:color w:val="000000" w:themeColor="text1"/>
          <w:sz w:val="28"/>
          <w:szCs w:val="28"/>
        </w:rPr>
        <w:t>、其</w:t>
      </w:r>
      <w:r>
        <w:rPr>
          <w:rFonts w:hint="eastAsia"/>
          <w:color w:val="000000" w:themeColor="text1"/>
          <w:sz w:val="28"/>
          <w:szCs w:val="28"/>
        </w:rPr>
        <w:t>他</w:t>
      </w:r>
      <w:r>
        <w:rPr>
          <w:color w:val="000000" w:themeColor="text1"/>
          <w:sz w:val="28"/>
          <w:szCs w:val="28"/>
        </w:rPr>
        <w:t>水源</w:t>
      </w:r>
      <w:r>
        <w:rPr>
          <w:rFonts w:hint="eastAsia"/>
          <w:color w:val="000000" w:themeColor="text1"/>
          <w:sz w:val="28"/>
          <w:szCs w:val="28"/>
        </w:rPr>
        <w:t>864</w:t>
      </w:r>
      <w:r>
        <w:rPr>
          <w:color w:val="000000" w:themeColor="text1"/>
          <w:sz w:val="28"/>
          <w:szCs w:val="28"/>
        </w:rPr>
        <w:t>万m</w:t>
      </w:r>
      <w:r>
        <w:rPr>
          <w:color w:val="000000" w:themeColor="text1"/>
          <w:sz w:val="28"/>
          <w:szCs w:val="28"/>
          <w:vertAlign w:val="superscript"/>
        </w:rPr>
        <w:t>3</w:t>
      </w:r>
      <w:r>
        <w:rPr>
          <w:color w:val="000000" w:themeColor="text1"/>
          <w:sz w:val="28"/>
          <w:szCs w:val="28"/>
        </w:rPr>
        <w:t>。现状年地下水是主要供水水源，占全县总供水量的</w:t>
      </w:r>
      <w:r>
        <w:rPr>
          <w:rFonts w:hint="eastAsia"/>
          <w:color w:val="000000" w:themeColor="text1"/>
          <w:sz w:val="28"/>
          <w:szCs w:val="28"/>
        </w:rPr>
        <w:t>57.8</w:t>
      </w:r>
      <w:r>
        <w:rPr>
          <w:color w:val="000000" w:themeColor="text1"/>
          <w:sz w:val="28"/>
          <w:szCs w:val="28"/>
        </w:rPr>
        <w:t>%，表明平阴县以开发利用地下水为主，且近几年平阴县地下水开发利用量呈现下降趋势。</w:t>
      </w:r>
    </w:p>
    <w:p w14:paraId="1163091C">
      <w:pPr>
        <w:tabs>
          <w:tab w:val="left" w:pos="5400"/>
        </w:tabs>
        <w:jc w:val="center"/>
        <w:rPr>
          <w:b/>
          <w:bCs/>
          <w:color w:val="000000" w:themeColor="text1"/>
          <w:sz w:val="24"/>
        </w:rPr>
      </w:pPr>
      <w:r>
        <w:drawing>
          <wp:inline distT="0" distB="0" distL="0" distR="0">
            <wp:extent cx="3819525" cy="2466975"/>
            <wp:effectExtent l="0" t="0" r="0" b="0"/>
            <wp:docPr id="54602932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0A6061C">
      <w:pPr>
        <w:tabs>
          <w:tab w:val="left" w:pos="5400"/>
        </w:tabs>
        <w:jc w:val="center"/>
        <w:rPr>
          <w:b/>
          <w:bCs/>
          <w:color w:val="000000" w:themeColor="text1"/>
          <w:sz w:val="24"/>
        </w:rPr>
      </w:pPr>
      <w:r>
        <w:rPr>
          <w:rFonts w:hint="eastAsia"/>
          <w:b/>
          <w:bCs/>
          <w:color w:val="000000" w:themeColor="text1"/>
          <w:sz w:val="24"/>
        </w:rPr>
        <w:t>图</w:t>
      </w:r>
      <w:r>
        <w:rPr>
          <w:b/>
          <w:bCs/>
          <w:color w:val="000000" w:themeColor="text1"/>
          <w:sz w:val="24"/>
        </w:rPr>
        <w:t>2.3</w:t>
      </w:r>
      <w:r>
        <w:rPr>
          <w:rFonts w:hint="eastAsia"/>
          <w:b/>
          <w:bCs/>
          <w:color w:val="000000" w:themeColor="text1"/>
          <w:sz w:val="24"/>
        </w:rPr>
        <w:t>-2  2023年平阴县供水水源结构图</w:t>
      </w:r>
    </w:p>
    <w:p w14:paraId="2DA987B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二、用水量与用水结构</w:t>
      </w:r>
    </w:p>
    <w:p w14:paraId="49AC0D04">
      <w:pPr>
        <w:tabs>
          <w:tab w:val="left" w:pos="5400"/>
        </w:tabs>
        <w:spacing w:line="600" w:lineRule="exact"/>
        <w:ind w:firstLine="560" w:firstLineChars="200"/>
        <w:rPr>
          <w:color w:val="000000" w:themeColor="text1"/>
          <w:sz w:val="28"/>
          <w:szCs w:val="28"/>
        </w:rPr>
      </w:pPr>
      <w:r>
        <w:rPr>
          <w:color w:val="000000" w:themeColor="text1"/>
          <w:sz w:val="28"/>
          <w:szCs w:val="28"/>
        </w:rPr>
        <w:t>1、用水量及用水结构分析</w:t>
      </w:r>
    </w:p>
    <w:p w14:paraId="687C344F">
      <w:pPr>
        <w:tabs>
          <w:tab w:val="left" w:pos="5400"/>
        </w:tabs>
        <w:spacing w:line="600" w:lineRule="exact"/>
        <w:ind w:firstLine="560" w:firstLineChars="200"/>
        <w:rPr>
          <w:color w:val="000000" w:themeColor="text1"/>
          <w:sz w:val="28"/>
          <w:szCs w:val="28"/>
        </w:rPr>
      </w:pPr>
      <w:r>
        <w:rPr>
          <w:color w:val="000000" w:themeColor="text1"/>
          <w:sz w:val="28"/>
          <w:szCs w:val="28"/>
        </w:rPr>
        <w:t>根据201</w:t>
      </w:r>
      <w:r>
        <w:rPr>
          <w:rFonts w:hint="eastAsia"/>
          <w:color w:val="000000" w:themeColor="text1"/>
          <w:sz w:val="28"/>
          <w:szCs w:val="28"/>
        </w:rPr>
        <w:t>9—</w:t>
      </w:r>
      <w:r>
        <w:rPr>
          <w:color w:val="000000" w:themeColor="text1"/>
          <w:sz w:val="28"/>
          <w:szCs w:val="28"/>
        </w:rPr>
        <w:t>202</w:t>
      </w:r>
      <w:r>
        <w:rPr>
          <w:rFonts w:hint="eastAsia"/>
          <w:color w:val="000000" w:themeColor="text1"/>
          <w:sz w:val="28"/>
          <w:szCs w:val="28"/>
        </w:rPr>
        <w:t>3</w:t>
      </w:r>
      <w:r>
        <w:rPr>
          <w:color w:val="000000" w:themeColor="text1"/>
          <w:sz w:val="28"/>
          <w:szCs w:val="28"/>
        </w:rPr>
        <w:t>年《平阴县水资源公报表》统计分析平阴县历年用水量。用水量主要包括农田灌溉、林牧渔畜、工业、城镇公共、居民生活和生态环境用水量。201</w:t>
      </w:r>
      <w:r>
        <w:rPr>
          <w:rFonts w:hint="eastAsia"/>
          <w:color w:val="000000" w:themeColor="text1"/>
          <w:sz w:val="28"/>
          <w:szCs w:val="28"/>
        </w:rPr>
        <w:t>9—</w:t>
      </w:r>
      <w:r>
        <w:rPr>
          <w:color w:val="000000" w:themeColor="text1"/>
          <w:sz w:val="28"/>
          <w:szCs w:val="28"/>
        </w:rPr>
        <w:t>202</w:t>
      </w:r>
      <w:r>
        <w:rPr>
          <w:rFonts w:hint="eastAsia"/>
          <w:color w:val="000000" w:themeColor="text1"/>
          <w:sz w:val="28"/>
          <w:szCs w:val="28"/>
        </w:rPr>
        <w:t>3</w:t>
      </w:r>
      <w:r>
        <w:rPr>
          <w:color w:val="000000" w:themeColor="text1"/>
          <w:sz w:val="28"/>
          <w:szCs w:val="28"/>
        </w:rPr>
        <w:t>年平阴县用水量详见表2.3-3、图2.3-3和图2.3-4。</w:t>
      </w:r>
    </w:p>
    <w:p w14:paraId="137ADCEF">
      <w:pPr>
        <w:tabs>
          <w:tab w:val="left" w:pos="5400"/>
        </w:tabs>
        <w:spacing w:line="600" w:lineRule="exact"/>
        <w:jc w:val="right"/>
        <w:rPr>
          <w:b/>
          <w:bCs/>
          <w:color w:val="000000" w:themeColor="text1"/>
          <w:sz w:val="24"/>
          <w:vertAlign w:val="superscript"/>
        </w:rPr>
      </w:pPr>
      <w:r>
        <w:rPr>
          <w:rFonts w:hint="eastAsia"/>
          <w:b/>
          <w:bCs/>
          <w:color w:val="000000" w:themeColor="text1"/>
          <w:sz w:val="24"/>
        </w:rPr>
        <w:t>表</w:t>
      </w:r>
      <w:r>
        <w:rPr>
          <w:b/>
          <w:bCs/>
          <w:color w:val="000000" w:themeColor="text1"/>
          <w:sz w:val="24"/>
        </w:rPr>
        <w:t>2.3</w:t>
      </w:r>
      <w:r>
        <w:rPr>
          <w:rFonts w:hint="eastAsia"/>
          <w:b/>
          <w:bCs/>
          <w:color w:val="000000" w:themeColor="text1"/>
          <w:sz w:val="24"/>
        </w:rPr>
        <w:t>-</w:t>
      </w:r>
      <w:r>
        <w:rPr>
          <w:b/>
          <w:bCs/>
          <w:color w:val="000000" w:themeColor="text1"/>
          <w:sz w:val="24"/>
        </w:rPr>
        <w:t>3</w:t>
      </w:r>
      <w:r>
        <w:rPr>
          <w:rFonts w:hint="eastAsia"/>
          <w:b/>
          <w:bCs/>
          <w:color w:val="000000" w:themeColor="text1"/>
          <w:sz w:val="24"/>
        </w:rPr>
        <w:t xml:space="preserve">  平阴县2019—2023年实际用水量统计成果表       单位：万m</w:t>
      </w:r>
      <w:r>
        <w:rPr>
          <w:rFonts w:hint="eastAsia"/>
          <w:b/>
          <w:bCs/>
          <w:color w:val="000000" w:themeColor="text1"/>
          <w:sz w:val="24"/>
          <w:vertAlign w:val="superscript"/>
        </w:rPr>
        <w:t>3</w:t>
      </w:r>
    </w:p>
    <w:tbl>
      <w:tblPr>
        <w:tblStyle w:val="46"/>
        <w:tblW w:w="8432"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1192"/>
        <w:gridCol w:w="1173"/>
        <w:gridCol w:w="1302"/>
        <w:gridCol w:w="1181"/>
        <w:gridCol w:w="1335"/>
        <w:gridCol w:w="1287"/>
      </w:tblGrid>
      <w:tr w14:paraId="52D88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62" w:type="dxa"/>
            <w:noWrap/>
            <w:vAlign w:val="center"/>
          </w:tcPr>
          <w:p w14:paraId="37FB2C12">
            <w:pPr>
              <w:widowControl/>
              <w:jc w:val="center"/>
              <w:rPr>
                <w:rFonts w:eastAsia="等线"/>
                <w:color w:val="000000"/>
                <w:kern w:val="0"/>
                <w:sz w:val="22"/>
                <w:szCs w:val="22"/>
              </w:rPr>
            </w:pPr>
            <w:r>
              <w:rPr>
                <w:rFonts w:hint="eastAsia" w:ascii="宋体" w:hAnsi="宋体"/>
                <w:color w:val="000000"/>
                <w:kern w:val="0"/>
                <w:sz w:val="22"/>
                <w:szCs w:val="22"/>
              </w:rPr>
              <w:t>年份</w:t>
            </w:r>
          </w:p>
        </w:tc>
        <w:tc>
          <w:tcPr>
            <w:tcW w:w="1192" w:type="dxa"/>
            <w:noWrap/>
            <w:vAlign w:val="center"/>
          </w:tcPr>
          <w:p w14:paraId="39D670DA">
            <w:pPr>
              <w:widowControl/>
              <w:jc w:val="center"/>
              <w:rPr>
                <w:rFonts w:eastAsia="等线"/>
                <w:color w:val="000000"/>
                <w:kern w:val="0"/>
                <w:sz w:val="22"/>
                <w:szCs w:val="22"/>
              </w:rPr>
            </w:pPr>
            <w:r>
              <w:rPr>
                <w:rFonts w:hint="eastAsia" w:ascii="宋体" w:hAnsi="宋体"/>
                <w:color w:val="000000"/>
                <w:kern w:val="0"/>
                <w:sz w:val="22"/>
                <w:szCs w:val="22"/>
              </w:rPr>
              <w:t>农业用水量</w:t>
            </w:r>
          </w:p>
        </w:tc>
        <w:tc>
          <w:tcPr>
            <w:tcW w:w="1173" w:type="dxa"/>
            <w:noWrap/>
            <w:vAlign w:val="center"/>
          </w:tcPr>
          <w:p w14:paraId="72B42B84">
            <w:pPr>
              <w:widowControl/>
              <w:jc w:val="center"/>
              <w:rPr>
                <w:rFonts w:eastAsia="等线"/>
                <w:color w:val="000000"/>
                <w:kern w:val="0"/>
                <w:sz w:val="22"/>
                <w:szCs w:val="22"/>
              </w:rPr>
            </w:pPr>
            <w:r>
              <w:rPr>
                <w:rFonts w:hint="eastAsia" w:ascii="宋体" w:hAnsi="宋体"/>
                <w:color w:val="000000"/>
                <w:kern w:val="0"/>
                <w:sz w:val="22"/>
                <w:szCs w:val="22"/>
              </w:rPr>
              <w:t>工业用水量</w:t>
            </w:r>
          </w:p>
        </w:tc>
        <w:tc>
          <w:tcPr>
            <w:tcW w:w="1302" w:type="dxa"/>
            <w:noWrap/>
            <w:vAlign w:val="center"/>
          </w:tcPr>
          <w:p w14:paraId="04F65C5F">
            <w:pPr>
              <w:widowControl/>
              <w:jc w:val="center"/>
              <w:rPr>
                <w:rFonts w:eastAsia="等线"/>
                <w:color w:val="000000"/>
                <w:kern w:val="0"/>
                <w:sz w:val="22"/>
                <w:szCs w:val="22"/>
              </w:rPr>
            </w:pPr>
            <w:r>
              <w:rPr>
                <w:rFonts w:hint="eastAsia" w:ascii="宋体" w:hAnsi="宋体"/>
                <w:color w:val="000000"/>
                <w:kern w:val="0"/>
                <w:sz w:val="22"/>
                <w:szCs w:val="22"/>
              </w:rPr>
              <w:t>城镇公共用水量</w:t>
            </w:r>
          </w:p>
        </w:tc>
        <w:tc>
          <w:tcPr>
            <w:tcW w:w="1181" w:type="dxa"/>
            <w:noWrap/>
            <w:vAlign w:val="center"/>
          </w:tcPr>
          <w:p w14:paraId="7A424DE6">
            <w:pPr>
              <w:widowControl/>
              <w:jc w:val="center"/>
              <w:rPr>
                <w:rFonts w:eastAsia="等线"/>
                <w:color w:val="000000"/>
                <w:kern w:val="0"/>
                <w:sz w:val="22"/>
                <w:szCs w:val="22"/>
              </w:rPr>
            </w:pPr>
            <w:r>
              <w:rPr>
                <w:rFonts w:hint="eastAsia" w:ascii="宋体" w:hAnsi="宋体"/>
                <w:color w:val="000000"/>
                <w:kern w:val="0"/>
                <w:sz w:val="22"/>
                <w:szCs w:val="22"/>
              </w:rPr>
              <w:t>居民生活用水量</w:t>
            </w:r>
          </w:p>
        </w:tc>
        <w:tc>
          <w:tcPr>
            <w:tcW w:w="1335" w:type="dxa"/>
            <w:noWrap/>
            <w:vAlign w:val="center"/>
          </w:tcPr>
          <w:p w14:paraId="5CB362E5">
            <w:pPr>
              <w:widowControl/>
              <w:jc w:val="center"/>
              <w:rPr>
                <w:rFonts w:eastAsia="等线"/>
                <w:color w:val="000000"/>
                <w:kern w:val="0"/>
                <w:sz w:val="22"/>
                <w:szCs w:val="22"/>
              </w:rPr>
            </w:pPr>
            <w:r>
              <w:rPr>
                <w:rFonts w:hint="eastAsia" w:ascii="宋体" w:hAnsi="宋体"/>
                <w:color w:val="000000"/>
                <w:kern w:val="0"/>
                <w:sz w:val="22"/>
                <w:szCs w:val="22"/>
              </w:rPr>
              <w:t>生态与环境补水量</w:t>
            </w:r>
          </w:p>
        </w:tc>
        <w:tc>
          <w:tcPr>
            <w:tcW w:w="1287" w:type="dxa"/>
            <w:noWrap/>
            <w:vAlign w:val="center"/>
          </w:tcPr>
          <w:p w14:paraId="68E5CC39">
            <w:pPr>
              <w:widowControl/>
              <w:jc w:val="center"/>
              <w:rPr>
                <w:rFonts w:eastAsia="等线"/>
                <w:color w:val="000000"/>
                <w:kern w:val="0"/>
                <w:sz w:val="22"/>
                <w:szCs w:val="22"/>
              </w:rPr>
            </w:pPr>
            <w:r>
              <w:rPr>
                <w:rFonts w:hint="eastAsia" w:ascii="宋体" w:hAnsi="宋体"/>
                <w:color w:val="000000"/>
                <w:kern w:val="0"/>
                <w:sz w:val="22"/>
                <w:szCs w:val="22"/>
              </w:rPr>
              <w:t>总用水量</w:t>
            </w:r>
          </w:p>
        </w:tc>
      </w:tr>
      <w:tr w14:paraId="4B10F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62" w:type="dxa"/>
            <w:vAlign w:val="center"/>
          </w:tcPr>
          <w:p w14:paraId="5812DDA8">
            <w:pPr>
              <w:widowControl/>
              <w:jc w:val="center"/>
              <w:rPr>
                <w:rFonts w:eastAsia="等线"/>
                <w:color w:val="000000"/>
                <w:kern w:val="0"/>
                <w:sz w:val="22"/>
                <w:szCs w:val="22"/>
              </w:rPr>
            </w:pPr>
            <w:r>
              <w:rPr>
                <w:rFonts w:eastAsia="等线"/>
                <w:color w:val="000000"/>
                <w:kern w:val="0"/>
                <w:sz w:val="22"/>
                <w:szCs w:val="22"/>
              </w:rPr>
              <w:t>2019</w:t>
            </w:r>
          </w:p>
        </w:tc>
        <w:tc>
          <w:tcPr>
            <w:tcW w:w="1192" w:type="dxa"/>
            <w:noWrap/>
            <w:vAlign w:val="center"/>
          </w:tcPr>
          <w:p w14:paraId="66CE6838">
            <w:pPr>
              <w:widowControl/>
              <w:jc w:val="center"/>
              <w:rPr>
                <w:rFonts w:eastAsia="等线"/>
                <w:color w:val="000000"/>
                <w:kern w:val="0"/>
                <w:sz w:val="22"/>
                <w:szCs w:val="22"/>
              </w:rPr>
            </w:pPr>
            <w:r>
              <w:rPr>
                <w:rFonts w:eastAsia="等线"/>
                <w:color w:val="000000"/>
                <w:sz w:val="22"/>
                <w:szCs w:val="22"/>
              </w:rPr>
              <w:t>7765</w:t>
            </w:r>
          </w:p>
        </w:tc>
        <w:tc>
          <w:tcPr>
            <w:tcW w:w="1173" w:type="dxa"/>
            <w:vAlign w:val="center"/>
          </w:tcPr>
          <w:p w14:paraId="178125A8">
            <w:pPr>
              <w:widowControl/>
              <w:jc w:val="center"/>
              <w:rPr>
                <w:rFonts w:eastAsia="等线"/>
                <w:color w:val="000000"/>
                <w:kern w:val="0"/>
                <w:sz w:val="22"/>
                <w:szCs w:val="22"/>
              </w:rPr>
            </w:pPr>
            <w:r>
              <w:rPr>
                <w:rFonts w:eastAsia="等线"/>
                <w:color w:val="000000"/>
                <w:sz w:val="22"/>
                <w:szCs w:val="22"/>
              </w:rPr>
              <w:t>1068</w:t>
            </w:r>
          </w:p>
        </w:tc>
        <w:tc>
          <w:tcPr>
            <w:tcW w:w="1302" w:type="dxa"/>
            <w:vAlign w:val="center"/>
          </w:tcPr>
          <w:p w14:paraId="508E546E">
            <w:pPr>
              <w:widowControl/>
              <w:jc w:val="center"/>
              <w:rPr>
                <w:rFonts w:eastAsia="等线"/>
                <w:color w:val="000000"/>
                <w:kern w:val="0"/>
                <w:sz w:val="22"/>
                <w:szCs w:val="22"/>
              </w:rPr>
            </w:pPr>
            <w:r>
              <w:rPr>
                <w:rFonts w:eastAsia="等线"/>
                <w:color w:val="000000"/>
                <w:sz w:val="22"/>
                <w:szCs w:val="22"/>
              </w:rPr>
              <w:t>273</w:t>
            </w:r>
          </w:p>
        </w:tc>
        <w:tc>
          <w:tcPr>
            <w:tcW w:w="1181" w:type="dxa"/>
            <w:vAlign w:val="center"/>
          </w:tcPr>
          <w:p w14:paraId="7F49D4DA">
            <w:pPr>
              <w:widowControl/>
              <w:jc w:val="center"/>
              <w:rPr>
                <w:rFonts w:eastAsia="等线"/>
                <w:color w:val="000000"/>
                <w:kern w:val="0"/>
                <w:sz w:val="22"/>
                <w:szCs w:val="22"/>
              </w:rPr>
            </w:pPr>
            <w:r>
              <w:rPr>
                <w:rFonts w:eastAsia="等线"/>
                <w:color w:val="000000"/>
                <w:sz w:val="22"/>
                <w:szCs w:val="22"/>
              </w:rPr>
              <w:t>839</w:t>
            </w:r>
          </w:p>
        </w:tc>
        <w:tc>
          <w:tcPr>
            <w:tcW w:w="1335" w:type="dxa"/>
            <w:vAlign w:val="center"/>
          </w:tcPr>
          <w:p w14:paraId="4E77A7AE">
            <w:pPr>
              <w:widowControl/>
              <w:jc w:val="center"/>
              <w:rPr>
                <w:rFonts w:eastAsia="等线"/>
                <w:color w:val="000000"/>
                <w:kern w:val="0"/>
                <w:sz w:val="22"/>
                <w:szCs w:val="22"/>
              </w:rPr>
            </w:pPr>
            <w:r>
              <w:rPr>
                <w:rFonts w:eastAsia="等线"/>
                <w:color w:val="000000"/>
                <w:sz w:val="22"/>
                <w:szCs w:val="22"/>
              </w:rPr>
              <w:t>1153</w:t>
            </w:r>
          </w:p>
        </w:tc>
        <w:tc>
          <w:tcPr>
            <w:tcW w:w="1287" w:type="dxa"/>
            <w:noWrap/>
            <w:vAlign w:val="center"/>
          </w:tcPr>
          <w:p w14:paraId="5F689B0C">
            <w:pPr>
              <w:widowControl/>
              <w:jc w:val="center"/>
              <w:rPr>
                <w:rFonts w:eastAsia="等线"/>
                <w:color w:val="000000"/>
                <w:kern w:val="0"/>
                <w:sz w:val="22"/>
                <w:szCs w:val="22"/>
              </w:rPr>
            </w:pPr>
            <w:r>
              <w:rPr>
                <w:rFonts w:eastAsia="等线"/>
                <w:color w:val="000000"/>
                <w:sz w:val="22"/>
                <w:szCs w:val="22"/>
              </w:rPr>
              <w:t>11098</w:t>
            </w:r>
          </w:p>
        </w:tc>
      </w:tr>
      <w:tr w14:paraId="5E65A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62" w:type="dxa"/>
            <w:vAlign w:val="center"/>
          </w:tcPr>
          <w:p w14:paraId="64E913B5">
            <w:pPr>
              <w:widowControl/>
              <w:jc w:val="center"/>
              <w:rPr>
                <w:rFonts w:eastAsia="等线"/>
                <w:color w:val="000000"/>
                <w:kern w:val="0"/>
                <w:sz w:val="22"/>
                <w:szCs w:val="22"/>
              </w:rPr>
            </w:pPr>
            <w:r>
              <w:rPr>
                <w:rFonts w:eastAsia="等线"/>
                <w:color w:val="000000"/>
                <w:kern w:val="0"/>
                <w:sz w:val="22"/>
                <w:szCs w:val="22"/>
              </w:rPr>
              <w:t>2020</w:t>
            </w:r>
          </w:p>
        </w:tc>
        <w:tc>
          <w:tcPr>
            <w:tcW w:w="1192" w:type="dxa"/>
            <w:noWrap/>
            <w:vAlign w:val="center"/>
          </w:tcPr>
          <w:p w14:paraId="5CA5E3F7">
            <w:pPr>
              <w:widowControl/>
              <w:jc w:val="center"/>
              <w:rPr>
                <w:rFonts w:eastAsia="等线"/>
                <w:color w:val="000000"/>
                <w:kern w:val="0"/>
                <w:sz w:val="22"/>
                <w:szCs w:val="22"/>
              </w:rPr>
            </w:pPr>
            <w:r>
              <w:rPr>
                <w:rFonts w:eastAsia="等线"/>
                <w:color w:val="000000"/>
                <w:sz w:val="22"/>
                <w:szCs w:val="22"/>
              </w:rPr>
              <w:t>7912</w:t>
            </w:r>
          </w:p>
        </w:tc>
        <w:tc>
          <w:tcPr>
            <w:tcW w:w="1173" w:type="dxa"/>
            <w:vAlign w:val="center"/>
          </w:tcPr>
          <w:p w14:paraId="63275312">
            <w:pPr>
              <w:widowControl/>
              <w:jc w:val="center"/>
              <w:rPr>
                <w:rFonts w:eastAsia="等线"/>
                <w:color w:val="000000"/>
                <w:kern w:val="0"/>
                <w:sz w:val="22"/>
                <w:szCs w:val="22"/>
              </w:rPr>
            </w:pPr>
            <w:r>
              <w:rPr>
                <w:rFonts w:eastAsia="等线"/>
                <w:color w:val="000000"/>
                <w:sz w:val="22"/>
                <w:szCs w:val="22"/>
              </w:rPr>
              <w:t>1000</w:t>
            </w:r>
          </w:p>
        </w:tc>
        <w:tc>
          <w:tcPr>
            <w:tcW w:w="1302" w:type="dxa"/>
            <w:vAlign w:val="center"/>
          </w:tcPr>
          <w:p w14:paraId="76AAB94B">
            <w:pPr>
              <w:widowControl/>
              <w:jc w:val="center"/>
              <w:rPr>
                <w:rFonts w:eastAsia="等线"/>
                <w:color w:val="000000"/>
                <w:kern w:val="0"/>
                <w:sz w:val="22"/>
                <w:szCs w:val="22"/>
              </w:rPr>
            </w:pPr>
            <w:r>
              <w:rPr>
                <w:rFonts w:eastAsia="等线"/>
                <w:color w:val="000000"/>
                <w:sz w:val="22"/>
                <w:szCs w:val="22"/>
              </w:rPr>
              <w:t>167</w:t>
            </w:r>
          </w:p>
        </w:tc>
        <w:tc>
          <w:tcPr>
            <w:tcW w:w="1181" w:type="dxa"/>
            <w:vAlign w:val="center"/>
          </w:tcPr>
          <w:p w14:paraId="0E9377B2">
            <w:pPr>
              <w:widowControl/>
              <w:jc w:val="center"/>
              <w:rPr>
                <w:rFonts w:eastAsia="等线"/>
                <w:color w:val="000000"/>
                <w:kern w:val="0"/>
                <w:sz w:val="22"/>
                <w:szCs w:val="22"/>
              </w:rPr>
            </w:pPr>
            <w:r>
              <w:rPr>
                <w:rFonts w:eastAsia="等线"/>
                <w:color w:val="000000"/>
                <w:sz w:val="22"/>
                <w:szCs w:val="22"/>
              </w:rPr>
              <w:t>816</w:t>
            </w:r>
          </w:p>
        </w:tc>
        <w:tc>
          <w:tcPr>
            <w:tcW w:w="1335" w:type="dxa"/>
            <w:vAlign w:val="center"/>
          </w:tcPr>
          <w:p w14:paraId="4A63AE79">
            <w:pPr>
              <w:widowControl/>
              <w:jc w:val="center"/>
              <w:rPr>
                <w:rFonts w:eastAsia="等线"/>
                <w:color w:val="000000"/>
                <w:kern w:val="0"/>
                <w:sz w:val="22"/>
                <w:szCs w:val="22"/>
              </w:rPr>
            </w:pPr>
            <w:r>
              <w:rPr>
                <w:rFonts w:eastAsia="等线"/>
                <w:color w:val="000000"/>
                <w:sz w:val="22"/>
                <w:szCs w:val="22"/>
              </w:rPr>
              <w:t>636</w:t>
            </w:r>
          </w:p>
        </w:tc>
        <w:tc>
          <w:tcPr>
            <w:tcW w:w="1287" w:type="dxa"/>
            <w:noWrap/>
            <w:vAlign w:val="center"/>
          </w:tcPr>
          <w:p w14:paraId="6D292462">
            <w:pPr>
              <w:widowControl/>
              <w:jc w:val="center"/>
              <w:rPr>
                <w:rFonts w:eastAsia="等线"/>
                <w:color w:val="000000"/>
                <w:kern w:val="0"/>
                <w:sz w:val="22"/>
                <w:szCs w:val="22"/>
              </w:rPr>
            </w:pPr>
            <w:r>
              <w:rPr>
                <w:rFonts w:eastAsia="等线"/>
                <w:color w:val="000000"/>
                <w:sz w:val="22"/>
                <w:szCs w:val="22"/>
              </w:rPr>
              <w:t>10531</w:t>
            </w:r>
          </w:p>
        </w:tc>
      </w:tr>
      <w:tr w14:paraId="295DD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62" w:type="dxa"/>
            <w:vAlign w:val="center"/>
          </w:tcPr>
          <w:p w14:paraId="7CE837B0">
            <w:pPr>
              <w:widowControl/>
              <w:jc w:val="center"/>
              <w:rPr>
                <w:rFonts w:eastAsia="等线"/>
                <w:color w:val="000000"/>
                <w:kern w:val="0"/>
                <w:sz w:val="22"/>
                <w:szCs w:val="22"/>
              </w:rPr>
            </w:pPr>
            <w:r>
              <w:rPr>
                <w:rFonts w:eastAsia="等线"/>
                <w:color w:val="000000"/>
                <w:kern w:val="0"/>
                <w:sz w:val="22"/>
                <w:szCs w:val="22"/>
              </w:rPr>
              <w:t>2021</w:t>
            </w:r>
          </w:p>
        </w:tc>
        <w:tc>
          <w:tcPr>
            <w:tcW w:w="1192" w:type="dxa"/>
            <w:noWrap/>
            <w:vAlign w:val="center"/>
          </w:tcPr>
          <w:p w14:paraId="73AD6028">
            <w:pPr>
              <w:widowControl/>
              <w:jc w:val="center"/>
              <w:rPr>
                <w:rFonts w:eastAsia="等线"/>
                <w:color w:val="000000"/>
                <w:kern w:val="0"/>
                <w:sz w:val="22"/>
                <w:szCs w:val="22"/>
              </w:rPr>
            </w:pPr>
            <w:r>
              <w:rPr>
                <w:rFonts w:eastAsia="等线"/>
                <w:color w:val="000000"/>
                <w:sz w:val="22"/>
                <w:szCs w:val="22"/>
              </w:rPr>
              <w:t>5852</w:t>
            </w:r>
          </w:p>
        </w:tc>
        <w:tc>
          <w:tcPr>
            <w:tcW w:w="1173" w:type="dxa"/>
            <w:vAlign w:val="center"/>
          </w:tcPr>
          <w:p w14:paraId="5D4EDD3C">
            <w:pPr>
              <w:widowControl/>
              <w:jc w:val="center"/>
              <w:rPr>
                <w:rFonts w:eastAsia="等线"/>
                <w:color w:val="000000"/>
                <w:kern w:val="0"/>
                <w:sz w:val="22"/>
                <w:szCs w:val="22"/>
              </w:rPr>
            </w:pPr>
            <w:r>
              <w:rPr>
                <w:rFonts w:eastAsia="等线"/>
                <w:color w:val="000000"/>
                <w:sz w:val="22"/>
                <w:szCs w:val="22"/>
              </w:rPr>
              <w:t>1044</w:t>
            </w:r>
          </w:p>
        </w:tc>
        <w:tc>
          <w:tcPr>
            <w:tcW w:w="1302" w:type="dxa"/>
            <w:vAlign w:val="center"/>
          </w:tcPr>
          <w:p w14:paraId="358A26A2">
            <w:pPr>
              <w:widowControl/>
              <w:jc w:val="center"/>
              <w:rPr>
                <w:rFonts w:eastAsia="等线"/>
                <w:color w:val="000000"/>
                <w:kern w:val="0"/>
                <w:sz w:val="22"/>
                <w:szCs w:val="22"/>
              </w:rPr>
            </w:pPr>
            <w:r>
              <w:rPr>
                <w:rFonts w:eastAsia="等线"/>
                <w:color w:val="000000"/>
                <w:sz w:val="22"/>
                <w:szCs w:val="22"/>
              </w:rPr>
              <w:t>246</w:t>
            </w:r>
          </w:p>
        </w:tc>
        <w:tc>
          <w:tcPr>
            <w:tcW w:w="1181" w:type="dxa"/>
            <w:vAlign w:val="center"/>
          </w:tcPr>
          <w:p w14:paraId="0FF8D48B">
            <w:pPr>
              <w:widowControl/>
              <w:jc w:val="center"/>
              <w:rPr>
                <w:rFonts w:eastAsia="等线"/>
                <w:color w:val="000000"/>
                <w:kern w:val="0"/>
                <w:sz w:val="22"/>
                <w:szCs w:val="22"/>
              </w:rPr>
            </w:pPr>
            <w:r>
              <w:rPr>
                <w:rFonts w:eastAsia="等线"/>
                <w:color w:val="000000"/>
                <w:sz w:val="22"/>
                <w:szCs w:val="22"/>
              </w:rPr>
              <w:t>939</w:t>
            </w:r>
          </w:p>
        </w:tc>
        <w:tc>
          <w:tcPr>
            <w:tcW w:w="1335" w:type="dxa"/>
            <w:vAlign w:val="center"/>
          </w:tcPr>
          <w:p w14:paraId="57FE9B1B">
            <w:pPr>
              <w:widowControl/>
              <w:jc w:val="center"/>
              <w:rPr>
                <w:rFonts w:eastAsia="等线"/>
                <w:color w:val="000000"/>
                <w:kern w:val="0"/>
                <w:sz w:val="22"/>
                <w:szCs w:val="22"/>
              </w:rPr>
            </w:pPr>
            <w:r>
              <w:rPr>
                <w:rFonts w:eastAsia="等线"/>
                <w:color w:val="000000"/>
                <w:sz w:val="22"/>
                <w:szCs w:val="22"/>
              </w:rPr>
              <w:t>816</w:t>
            </w:r>
          </w:p>
        </w:tc>
        <w:tc>
          <w:tcPr>
            <w:tcW w:w="1287" w:type="dxa"/>
            <w:noWrap/>
            <w:vAlign w:val="center"/>
          </w:tcPr>
          <w:p w14:paraId="5D914701">
            <w:pPr>
              <w:widowControl/>
              <w:jc w:val="center"/>
              <w:rPr>
                <w:rFonts w:eastAsia="等线"/>
                <w:color w:val="000000"/>
                <w:kern w:val="0"/>
                <w:sz w:val="22"/>
                <w:szCs w:val="22"/>
              </w:rPr>
            </w:pPr>
            <w:r>
              <w:rPr>
                <w:rFonts w:eastAsia="等线"/>
                <w:color w:val="000000"/>
                <w:sz w:val="22"/>
                <w:szCs w:val="22"/>
              </w:rPr>
              <w:t>8897</w:t>
            </w:r>
          </w:p>
        </w:tc>
      </w:tr>
      <w:tr w14:paraId="1C444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62" w:type="dxa"/>
            <w:vAlign w:val="center"/>
          </w:tcPr>
          <w:p w14:paraId="0FF2C86D">
            <w:pPr>
              <w:widowControl/>
              <w:jc w:val="center"/>
              <w:rPr>
                <w:rFonts w:eastAsia="等线"/>
                <w:color w:val="000000"/>
                <w:kern w:val="0"/>
                <w:sz w:val="22"/>
                <w:szCs w:val="22"/>
              </w:rPr>
            </w:pPr>
            <w:r>
              <w:rPr>
                <w:rFonts w:eastAsia="等线"/>
                <w:color w:val="000000"/>
                <w:kern w:val="0"/>
                <w:sz w:val="22"/>
                <w:szCs w:val="22"/>
              </w:rPr>
              <w:t>2022</w:t>
            </w:r>
          </w:p>
        </w:tc>
        <w:tc>
          <w:tcPr>
            <w:tcW w:w="1192" w:type="dxa"/>
            <w:noWrap/>
            <w:vAlign w:val="center"/>
          </w:tcPr>
          <w:p w14:paraId="6FFFB484">
            <w:pPr>
              <w:widowControl/>
              <w:jc w:val="center"/>
              <w:rPr>
                <w:rFonts w:eastAsia="等线"/>
                <w:color w:val="000000"/>
                <w:kern w:val="0"/>
                <w:sz w:val="22"/>
                <w:szCs w:val="22"/>
              </w:rPr>
            </w:pPr>
            <w:r>
              <w:rPr>
                <w:rFonts w:eastAsia="等线"/>
                <w:color w:val="000000"/>
                <w:sz w:val="22"/>
                <w:szCs w:val="22"/>
              </w:rPr>
              <w:t>6048</w:t>
            </w:r>
          </w:p>
        </w:tc>
        <w:tc>
          <w:tcPr>
            <w:tcW w:w="1173" w:type="dxa"/>
            <w:vAlign w:val="center"/>
          </w:tcPr>
          <w:p w14:paraId="3FBD31A0">
            <w:pPr>
              <w:widowControl/>
              <w:jc w:val="center"/>
              <w:rPr>
                <w:rFonts w:eastAsia="等线"/>
                <w:color w:val="000000"/>
                <w:kern w:val="0"/>
                <w:sz w:val="22"/>
                <w:szCs w:val="22"/>
              </w:rPr>
            </w:pPr>
            <w:r>
              <w:rPr>
                <w:rFonts w:eastAsia="等线"/>
                <w:color w:val="000000"/>
                <w:sz w:val="22"/>
                <w:szCs w:val="22"/>
              </w:rPr>
              <w:t>1033</w:t>
            </w:r>
          </w:p>
        </w:tc>
        <w:tc>
          <w:tcPr>
            <w:tcW w:w="1302" w:type="dxa"/>
            <w:vAlign w:val="center"/>
          </w:tcPr>
          <w:p w14:paraId="5825A2C3">
            <w:pPr>
              <w:widowControl/>
              <w:jc w:val="center"/>
              <w:rPr>
                <w:rFonts w:eastAsia="等线"/>
                <w:color w:val="000000"/>
                <w:kern w:val="0"/>
                <w:sz w:val="22"/>
                <w:szCs w:val="22"/>
              </w:rPr>
            </w:pPr>
            <w:r>
              <w:rPr>
                <w:rFonts w:eastAsia="等线"/>
                <w:color w:val="000000"/>
                <w:sz w:val="22"/>
                <w:szCs w:val="22"/>
              </w:rPr>
              <w:t>246</w:t>
            </w:r>
          </w:p>
        </w:tc>
        <w:tc>
          <w:tcPr>
            <w:tcW w:w="1181" w:type="dxa"/>
            <w:vAlign w:val="center"/>
          </w:tcPr>
          <w:p w14:paraId="36E1F24D">
            <w:pPr>
              <w:widowControl/>
              <w:jc w:val="center"/>
              <w:rPr>
                <w:rFonts w:eastAsia="等线"/>
                <w:color w:val="000000"/>
                <w:kern w:val="0"/>
                <w:sz w:val="22"/>
                <w:szCs w:val="22"/>
              </w:rPr>
            </w:pPr>
            <w:r>
              <w:rPr>
                <w:rFonts w:eastAsia="等线"/>
                <w:color w:val="000000"/>
                <w:sz w:val="22"/>
                <w:szCs w:val="22"/>
              </w:rPr>
              <w:t>947</w:t>
            </w:r>
          </w:p>
        </w:tc>
        <w:tc>
          <w:tcPr>
            <w:tcW w:w="1335" w:type="dxa"/>
            <w:vAlign w:val="center"/>
          </w:tcPr>
          <w:p w14:paraId="15193730">
            <w:pPr>
              <w:widowControl/>
              <w:jc w:val="center"/>
              <w:rPr>
                <w:rFonts w:eastAsia="等线"/>
                <w:color w:val="000000"/>
                <w:kern w:val="0"/>
                <w:sz w:val="22"/>
                <w:szCs w:val="22"/>
              </w:rPr>
            </w:pPr>
            <w:r>
              <w:rPr>
                <w:rFonts w:eastAsia="等线"/>
                <w:color w:val="000000"/>
                <w:sz w:val="22"/>
                <w:szCs w:val="22"/>
              </w:rPr>
              <w:t>878</w:t>
            </w:r>
          </w:p>
        </w:tc>
        <w:tc>
          <w:tcPr>
            <w:tcW w:w="1287" w:type="dxa"/>
            <w:noWrap/>
            <w:vAlign w:val="center"/>
          </w:tcPr>
          <w:p w14:paraId="0366DD4B">
            <w:pPr>
              <w:widowControl/>
              <w:jc w:val="center"/>
              <w:rPr>
                <w:rFonts w:eastAsia="等线"/>
                <w:color w:val="000000"/>
                <w:kern w:val="0"/>
                <w:sz w:val="22"/>
                <w:szCs w:val="22"/>
              </w:rPr>
            </w:pPr>
            <w:r>
              <w:rPr>
                <w:rFonts w:eastAsia="等线"/>
                <w:color w:val="000000"/>
                <w:sz w:val="22"/>
                <w:szCs w:val="22"/>
              </w:rPr>
              <w:t>9152</w:t>
            </w:r>
          </w:p>
        </w:tc>
      </w:tr>
      <w:tr w14:paraId="20AFE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62" w:type="dxa"/>
            <w:vAlign w:val="center"/>
          </w:tcPr>
          <w:p w14:paraId="02DFA36E">
            <w:pPr>
              <w:widowControl/>
              <w:jc w:val="center"/>
              <w:rPr>
                <w:rFonts w:eastAsia="等线"/>
                <w:color w:val="000000"/>
                <w:kern w:val="0"/>
                <w:sz w:val="22"/>
                <w:szCs w:val="22"/>
              </w:rPr>
            </w:pPr>
            <w:r>
              <w:rPr>
                <w:rFonts w:eastAsia="等线"/>
                <w:color w:val="000000"/>
                <w:kern w:val="0"/>
                <w:sz w:val="22"/>
                <w:szCs w:val="22"/>
              </w:rPr>
              <w:t>2023</w:t>
            </w:r>
          </w:p>
        </w:tc>
        <w:tc>
          <w:tcPr>
            <w:tcW w:w="1192" w:type="dxa"/>
            <w:noWrap/>
            <w:vAlign w:val="center"/>
          </w:tcPr>
          <w:p w14:paraId="588D7413">
            <w:pPr>
              <w:widowControl/>
              <w:jc w:val="center"/>
              <w:rPr>
                <w:rFonts w:eastAsia="等线"/>
                <w:color w:val="000000"/>
                <w:kern w:val="0"/>
                <w:sz w:val="22"/>
                <w:szCs w:val="22"/>
              </w:rPr>
            </w:pPr>
            <w:r>
              <w:rPr>
                <w:rFonts w:eastAsia="等线"/>
                <w:color w:val="000000"/>
                <w:sz w:val="22"/>
                <w:szCs w:val="22"/>
              </w:rPr>
              <w:t>7248</w:t>
            </w:r>
          </w:p>
        </w:tc>
        <w:tc>
          <w:tcPr>
            <w:tcW w:w="1173" w:type="dxa"/>
            <w:vAlign w:val="center"/>
          </w:tcPr>
          <w:p w14:paraId="45AAD0D3">
            <w:pPr>
              <w:widowControl/>
              <w:jc w:val="center"/>
              <w:rPr>
                <w:rFonts w:eastAsia="等线"/>
                <w:color w:val="000000"/>
                <w:kern w:val="0"/>
                <w:sz w:val="22"/>
                <w:szCs w:val="22"/>
              </w:rPr>
            </w:pPr>
            <w:r>
              <w:rPr>
                <w:rFonts w:eastAsia="等线"/>
                <w:color w:val="000000"/>
                <w:sz w:val="22"/>
                <w:szCs w:val="22"/>
              </w:rPr>
              <w:t>1009</w:t>
            </w:r>
          </w:p>
        </w:tc>
        <w:tc>
          <w:tcPr>
            <w:tcW w:w="1302" w:type="dxa"/>
            <w:vAlign w:val="center"/>
          </w:tcPr>
          <w:p w14:paraId="451A09EA">
            <w:pPr>
              <w:widowControl/>
              <w:jc w:val="center"/>
              <w:rPr>
                <w:rFonts w:eastAsia="等线"/>
                <w:color w:val="000000"/>
                <w:kern w:val="0"/>
                <w:sz w:val="22"/>
                <w:szCs w:val="22"/>
              </w:rPr>
            </w:pPr>
            <w:r>
              <w:rPr>
                <w:rFonts w:eastAsia="等线"/>
                <w:color w:val="000000"/>
                <w:sz w:val="22"/>
                <w:szCs w:val="22"/>
              </w:rPr>
              <w:t>286</w:t>
            </w:r>
          </w:p>
        </w:tc>
        <w:tc>
          <w:tcPr>
            <w:tcW w:w="1181" w:type="dxa"/>
            <w:vAlign w:val="center"/>
          </w:tcPr>
          <w:p w14:paraId="12FB38FE">
            <w:pPr>
              <w:widowControl/>
              <w:jc w:val="center"/>
              <w:rPr>
                <w:rFonts w:eastAsia="等线"/>
                <w:color w:val="000000"/>
                <w:kern w:val="0"/>
                <w:sz w:val="22"/>
                <w:szCs w:val="22"/>
              </w:rPr>
            </w:pPr>
            <w:r>
              <w:rPr>
                <w:rFonts w:eastAsia="等线"/>
                <w:color w:val="000000"/>
                <w:sz w:val="22"/>
                <w:szCs w:val="22"/>
              </w:rPr>
              <w:t>942</w:t>
            </w:r>
          </w:p>
        </w:tc>
        <w:tc>
          <w:tcPr>
            <w:tcW w:w="1335" w:type="dxa"/>
            <w:vAlign w:val="center"/>
          </w:tcPr>
          <w:p w14:paraId="4AC619BA">
            <w:pPr>
              <w:widowControl/>
              <w:jc w:val="center"/>
              <w:rPr>
                <w:rFonts w:eastAsia="等线"/>
                <w:color w:val="000000"/>
                <w:kern w:val="0"/>
                <w:sz w:val="22"/>
                <w:szCs w:val="22"/>
              </w:rPr>
            </w:pPr>
            <w:r>
              <w:rPr>
                <w:rFonts w:eastAsia="等线"/>
                <w:color w:val="000000"/>
                <w:sz w:val="22"/>
                <w:szCs w:val="22"/>
              </w:rPr>
              <w:t>924</w:t>
            </w:r>
          </w:p>
        </w:tc>
        <w:tc>
          <w:tcPr>
            <w:tcW w:w="1287" w:type="dxa"/>
            <w:noWrap/>
            <w:vAlign w:val="center"/>
          </w:tcPr>
          <w:p w14:paraId="2CD5C9EA">
            <w:pPr>
              <w:widowControl/>
              <w:jc w:val="center"/>
              <w:rPr>
                <w:rFonts w:eastAsia="等线"/>
                <w:color w:val="000000"/>
                <w:kern w:val="0"/>
                <w:sz w:val="22"/>
                <w:szCs w:val="22"/>
              </w:rPr>
            </w:pPr>
            <w:r>
              <w:rPr>
                <w:rFonts w:eastAsia="等线"/>
                <w:color w:val="000000"/>
                <w:sz w:val="22"/>
                <w:szCs w:val="22"/>
              </w:rPr>
              <w:t>104</w:t>
            </w:r>
            <w:r>
              <w:rPr>
                <w:rFonts w:hint="eastAsia" w:eastAsia="等线"/>
                <w:color w:val="000000"/>
                <w:sz w:val="22"/>
                <w:szCs w:val="22"/>
              </w:rPr>
              <w:t>10</w:t>
            </w:r>
          </w:p>
        </w:tc>
      </w:tr>
      <w:tr w14:paraId="2BD18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62" w:type="dxa"/>
            <w:vAlign w:val="center"/>
          </w:tcPr>
          <w:p w14:paraId="17ED50E1">
            <w:pPr>
              <w:widowControl/>
              <w:jc w:val="center"/>
              <w:rPr>
                <w:rFonts w:eastAsia="等线"/>
                <w:color w:val="000000"/>
                <w:kern w:val="0"/>
                <w:sz w:val="22"/>
                <w:szCs w:val="22"/>
              </w:rPr>
            </w:pPr>
            <w:r>
              <w:rPr>
                <w:rFonts w:hint="eastAsia" w:ascii="宋体" w:hAnsi="宋体"/>
                <w:color w:val="000000"/>
                <w:kern w:val="0"/>
                <w:sz w:val="22"/>
                <w:szCs w:val="22"/>
              </w:rPr>
              <w:t>平均</w:t>
            </w:r>
          </w:p>
        </w:tc>
        <w:tc>
          <w:tcPr>
            <w:tcW w:w="1192" w:type="dxa"/>
            <w:noWrap/>
            <w:vAlign w:val="center"/>
          </w:tcPr>
          <w:p w14:paraId="06447F7D">
            <w:pPr>
              <w:widowControl/>
              <w:jc w:val="center"/>
              <w:rPr>
                <w:rFonts w:eastAsia="等线"/>
                <w:color w:val="000000"/>
                <w:kern w:val="0"/>
                <w:sz w:val="22"/>
                <w:szCs w:val="22"/>
              </w:rPr>
            </w:pPr>
            <w:r>
              <w:rPr>
                <w:rFonts w:eastAsia="等线"/>
                <w:color w:val="000000"/>
                <w:sz w:val="22"/>
                <w:szCs w:val="22"/>
              </w:rPr>
              <w:t>6965</w:t>
            </w:r>
          </w:p>
        </w:tc>
        <w:tc>
          <w:tcPr>
            <w:tcW w:w="1173" w:type="dxa"/>
            <w:noWrap/>
            <w:vAlign w:val="center"/>
          </w:tcPr>
          <w:p w14:paraId="0CDB9749">
            <w:pPr>
              <w:widowControl/>
              <w:jc w:val="center"/>
              <w:rPr>
                <w:rFonts w:eastAsia="等线"/>
                <w:color w:val="000000"/>
                <w:kern w:val="0"/>
                <w:sz w:val="22"/>
                <w:szCs w:val="22"/>
              </w:rPr>
            </w:pPr>
            <w:r>
              <w:rPr>
                <w:rFonts w:eastAsia="等线"/>
                <w:color w:val="000000"/>
                <w:sz w:val="22"/>
                <w:szCs w:val="22"/>
              </w:rPr>
              <w:t>1031</w:t>
            </w:r>
          </w:p>
        </w:tc>
        <w:tc>
          <w:tcPr>
            <w:tcW w:w="1302" w:type="dxa"/>
            <w:noWrap/>
            <w:vAlign w:val="center"/>
          </w:tcPr>
          <w:p w14:paraId="5F4779D3">
            <w:pPr>
              <w:widowControl/>
              <w:jc w:val="center"/>
              <w:rPr>
                <w:rFonts w:eastAsia="等线"/>
                <w:color w:val="000000"/>
                <w:kern w:val="0"/>
                <w:sz w:val="22"/>
                <w:szCs w:val="22"/>
              </w:rPr>
            </w:pPr>
            <w:r>
              <w:rPr>
                <w:rFonts w:eastAsia="等线"/>
                <w:color w:val="000000"/>
                <w:sz w:val="22"/>
                <w:szCs w:val="22"/>
              </w:rPr>
              <w:t>244</w:t>
            </w:r>
          </w:p>
        </w:tc>
        <w:tc>
          <w:tcPr>
            <w:tcW w:w="1181" w:type="dxa"/>
            <w:noWrap/>
            <w:vAlign w:val="center"/>
          </w:tcPr>
          <w:p w14:paraId="5419773B">
            <w:pPr>
              <w:widowControl/>
              <w:jc w:val="center"/>
              <w:rPr>
                <w:rFonts w:eastAsia="等线"/>
                <w:color w:val="000000"/>
                <w:kern w:val="0"/>
                <w:sz w:val="22"/>
                <w:szCs w:val="22"/>
              </w:rPr>
            </w:pPr>
            <w:r>
              <w:rPr>
                <w:rFonts w:eastAsia="等线"/>
                <w:color w:val="000000"/>
                <w:sz w:val="22"/>
                <w:szCs w:val="22"/>
              </w:rPr>
              <w:t>897</w:t>
            </w:r>
          </w:p>
        </w:tc>
        <w:tc>
          <w:tcPr>
            <w:tcW w:w="1335" w:type="dxa"/>
            <w:noWrap/>
            <w:vAlign w:val="center"/>
          </w:tcPr>
          <w:p w14:paraId="6FFFFBA1">
            <w:pPr>
              <w:widowControl/>
              <w:jc w:val="center"/>
              <w:rPr>
                <w:rFonts w:eastAsia="等线"/>
                <w:color w:val="000000"/>
                <w:kern w:val="0"/>
                <w:sz w:val="22"/>
                <w:szCs w:val="22"/>
              </w:rPr>
            </w:pPr>
            <w:r>
              <w:rPr>
                <w:rFonts w:eastAsia="等线"/>
                <w:color w:val="000000"/>
                <w:sz w:val="22"/>
                <w:szCs w:val="22"/>
              </w:rPr>
              <w:t>881</w:t>
            </w:r>
          </w:p>
        </w:tc>
        <w:tc>
          <w:tcPr>
            <w:tcW w:w="1287" w:type="dxa"/>
            <w:noWrap/>
            <w:vAlign w:val="center"/>
          </w:tcPr>
          <w:p w14:paraId="4A655097">
            <w:pPr>
              <w:widowControl/>
              <w:jc w:val="center"/>
              <w:rPr>
                <w:rFonts w:eastAsia="等线"/>
                <w:color w:val="000000"/>
                <w:kern w:val="0"/>
                <w:sz w:val="22"/>
                <w:szCs w:val="22"/>
              </w:rPr>
            </w:pPr>
            <w:r>
              <w:rPr>
                <w:rFonts w:eastAsia="等线"/>
                <w:color w:val="000000"/>
                <w:sz w:val="22"/>
                <w:szCs w:val="22"/>
              </w:rPr>
              <w:t>10018</w:t>
            </w:r>
          </w:p>
        </w:tc>
      </w:tr>
    </w:tbl>
    <w:p w14:paraId="7A16D51F">
      <w:pPr>
        <w:tabs>
          <w:tab w:val="left" w:pos="5400"/>
        </w:tabs>
        <w:ind w:right="315"/>
        <w:jc w:val="center"/>
        <w:rPr>
          <w:b/>
          <w:color w:val="000000" w:themeColor="text1"/>
          <w:sz w:val="24"/>
        </w:rPr>
      </w:pPr>
      <w:r>
        <w:drawing>
          <wp:inline distT="0" distB="0" distL="0" distR="0">
            <wp:extent cx="5274310" cy="3048000"/>
            <wp:effectExtent l="0" t="0" r="0" b="0"/>
            <wp:docPr id="11943444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DA74D7">
      <w:pPr>
        <w:tabs>
          <w:tab w:val="left" w:pos="5400"/>
        </w:tabs>
        <w:ind w:right="315"/>
        <w:jc w:val="center"/>
        <w:rPr>
          <w:b/>
          <w:color w:val="000000" w:themeColor="text1"/>
          <w:sz w:val="24"/>
        </w:rPr>
      </w:pPr>
      <w:r>
        <w:rPr>
          <w:b/>
          <w:color w:val="000000" w:themeColor="text1"/>
          <w:sz w:val="24"/>
        </w:rPr>
        <w:t>图2.3-3  201</w:t>
      </w:r>
      <w:r>
        <w:rPr>
          <w:rFonts w:hint="eastAsia"/>
          <w:b/>
          <w:color w:val="000000" w:themeColor="text1"/>
          <w:sz w:val="24"/>
        </w:rPr>
        <w:t>9—</w:t>
      </w:r>
      <w:r>
        <w:rPr>
          <w:b/>
          <w:color w:val="000000" w:themeColor="text1"/>
          <w:sz w:val="24"/>
        </w:rPr>
        <w:t>202</w:t>
      </w:r>
      <w:r>
        <w:rPr>
          <w:rFonts w:hint="eastAsia"/>
          <w:b/>
          <w:color w:val="000000" w:themeColor="text1"/>
          <w:sz w:val="24"/>
        </w:rPr>
        <w:t>3</w:t>
      </w:r>
      <w:r>
        <w:rPr>
          <w:b/>
          <w:color w:val="000000" w:themeColor="text1"/>
          <w:sz w:val="24"/>
        </w:rPr>
        <w:t>年平阴县用水量柱状图</w:t>
      </w:r>
    </w:p>
    <w:p w14:paraId="3D5D92DE">
      <w:pPr>
        <w:tabs>
          <w:tab w:val="left" w:pos="5400"/>
        </w:tabs>
        <w:spacing w:line="600" w:lineRule="exact"/>
        <w:ind w:firstLine="560" w:firstLineChars="200"/>
        <w:rPr>
          <w:color w:val="000000" w:themeColor="text1"/>
          <w:sz w:val="28"/>
          <w:szCs w:val="28"/>
        </w:rPr>
      </w:pPr>
      <w:r>
        <w:rPr>
          <w:color w:val="000000" w:themeColor="text1"/>
          <w:sz w:val="28"/>
          <w:szCs w:val="28"/>
        </w:rPr>
        <w:t>由表2.3-3可知，平阴县现状年总用水量为</w:t>
      </w:r>
      <w:r>
        <w:rPr>
          <w:rFonts w:hint="eastAsia"/>
          <w:color w:val="000000" w:themeColor="text1"/>
          <w:sz w:val="28"/>
          <w:szCs w:val="28"/>
        </w:rPr>
        <w:t>10410</w:t>
      </w:r>
      <w:r>
        <w:rPr>
          <w:color w:val="000000" w:themeColor="text1"/>
          <w:sz w:val="28"/>
          <w:szCs w:val="28"/>
        </w:rPr>
        <w:t>万m</w:t>
      </w:r>
      <w:r>
        <w:rPr>
          <w:color w:val="000000" w:themeColor="text1"/>
          <w:sz w:val="28"/>
          <w:szCs w:val="28"/>
          <w:vertAlign w:val="superscript"/>
        </w:rPr>
        <w:t>3</w:t>
      </w:r>
      <w:r>
        <w:rPr>
          <w:color w:val="000000" w:themeColor="text1"/>
          <w:sz w:val="28"/>
          <w:szCs w:val="28"/>
        </w:rPr>
        <w:t>。其中，农</w:t>
      </w:r>
      <w:r>
        <w:rPr>
          <w:rFonts w:hint="eastAsia"/>
          <w:color w:val="000000" w:themeColor="text1"/>
          <w:sz w:val="28"/>
          <w:szCs w:val="28"/>
        </w:rPr>
        <w:t>业</w:t>
      </w:r>
      <w:r>
        <w:rPr>
          <w:color w:val="000000" w:themeColor="text1"/>
          <w:sz w:val="28"/>
          <w:szCs w:val="28"/>
        </w:rPr>
        <w:t>用水量</w:t>
      </w:r>
      <w:r>
        <w:rPr>
          <w:rFonts w:hint="eastAsia"/>
          <w:color w:val="000000" w:themeColor="text1"/>
          <w:sz w:val="28"/>
          <w:szCs w:val="28"/>
        </w:rPr>
        <w:t>7248</w:t>
      </w:r>
      <w:r>
        <w:rPr>
          <w:color w:val="000000" w:themeColor="text1"/>
          <w:sz w:val="28"/>
          <w:szCs w:val="28"/>
        </w:rPr>
        <w:t>万m</w:t>
      </w:r>
      <w:r>
        <w:rPr>
          <w:color w:val="000000" w:themeColor="text1"/>
          <w:sz w:val="28"/>
          <w:szCs w:val="28"/>
          <w:vertAlign w:val="superscript"/>
        </w:rPr>
        <w:t>3</w:t>
      </w:r>
      <w:r>
        <w:rPr>
          <w:color w:val="000000" w:themeColor="text1"/>
          <w:sz w:val="28"/>
          <w:szCs w:val="28"/>
        </w:rPr>
        <w:t>，占总用水量的</w:t>
      </w:r>
      <w:r>
        <w:rPr>
          <w:rFonts w:hint="eastAsia"/>
          <w:color w:val="000000" w:themeColor="text1"/>
          <w:sz w:val="28"/>
          <w:szCs w:val="28"/>
        </w:rPr>
        <w:t>69.6</w:t>
      </w:r>
      <w:r>
        <w:rPr>
          <w:color w:val="000000" w:themeColor="text1"/>
          <w:sz w:val="28"/>
          <w:szCs w:val="28"/>
        </w:rPr>
        <w:t>%；工业用水量10</w:t>
      </w:r>
      <w:r>
        <w:rPr>
          <w:rFonts w:hint="eastAsia"/>
          <w:color w:val="000000" w:themeColor="text1"/>
          <w:sz w:val="28"/>
          <w:szCs w:val="28"/>
        </w:rPr>
        <w:t>09</w:t>
      </w:r>
      <w:r>
        <w:rPr>
          <w:color w:val="000000" w:themeColor="text1"/>
          <w:sz w:val="28"/>
          <w:szCs w:val="28"/>
        </w:rPr>
        <w:t>万m</w:t>
      </w:r>
      <w:r>
        <w:rPr>
          <w:color w:val="000000" w:themeColor="text1"/>
          <w:sz w:val="28"/>
          <w:szCs w:val="28"/>
          <w:vertAlign w:val="superscript"/>
        </w:rPr>
        <w:t>3</w:t>
      </w:r>
      <w:r>
        <w:rPr>
          <w:color w:val="000000" w:themeColor="text1"/>
          <w:sz w:val="28"/>
          <w:szCs w:val="28"/>
        </w:rPr>
        <w:t>，占总用水量的</w:t>
      </w:r>
      <w:r>
        <w:rPr>
          <w:rFonts w:hint="eastAsia"/>
          <w:color w:val="000000" w:themeColor="text1"/>
          <w:sz w:val="28"/>
          <w:szCs w:val="28"/>
        </w:rPr>
        <w:t>9.7</w:t>
      </w:r>
      <w:r>
        <w:rPr>
          <w:color w:val="000000" w:themeColor="text1"/>
          <w:sz w:val="28"/>
          <w:szCs w:val="28"/>
        </w:rPr>
        <w:t>%；城镇公共用水量</w:t>
      </w:r>
      <w:r>
        <w:rPr>
          <w:rFonts w:hint="eastAsia"/>
          <w:color w:val="000000" w:themeColor="text1"/>
          <w:sz w:val="28"/>
          <w:szCs w:val="28"/>
        </w:rPr>
        <w:t>286</w:t>
      </w:r>
      <w:r>
        <w:rPr>
          <w:color w:val="000000" w:themeColor="text1"/>
          <w:sz w:val="28"/>
          <w:szCs w:val="28"/>
        </w:rPr>
        <w:t>万m</w:t>
      </w:r>
      <w:r>
        <w:rPr>
          <w:color w:val="000000" w:themeColor="text1"/>
          <w:sz w:val="28"/>
          <w:szCs w:val="28"/>
          <w:vertAlign w:val="superscript"/>
        </w:rPr>
        <w:t>3</w:t>
      </w:r>
      <w:r>
        <w:rPr>
          <w:color w:val="000000" w:themeColor="text1"/>
          <w:sz w:val="28"/>
          <w:szCs w:val="28"/>
        </w:rPr>
        <w:t>，占总用水量的2.7%；居民生活用水量94</w:t>
      </w:r>
      <w:r>
        <w:rPr>
          <w:rFonts w:hint="eastAsia"/>
          <w:color w:val="000000" w:themeColor="text1"/>
          <w:sz w:val="28"/>
          <w:szCs w:val="28"/>
        </w:rPr>
        <w:t>2</w:t>
      </w:r>
      <w:r>
        <w:rPr>
          <w:color w:val="000000" w:themeColor="text1"/>
          <w:sz w:val="28"/>
          <w:szCs w:val="28"/>
        </w:rPr>
        <w:t>万m</w:t>
      </w:r>
      <w:r>
        <w:rPr>
          <w:color w:val="000000" w:themeColor="text1"/>
          <w:sz w:val="28"/>
          <w:szCs w:val="28"/>
          <w:vertAlign w:val="superscript"/>
        </w:rPr>
        <w:t>3</w:t>
      </w:r>
      <w:r>
        <w:rPr>
          <w:color w:val="000000" w:themeColor="text1"/>
          <w:sz w:val="28"/>
          <w:szCs w:val="28"/>
        </w:rPr>
        <w:t>，占总用水量的</w:t>
      </w:r>
      <w:r>
        <w:rPr>
          <w:rFonts w:hint="eastAsia"/>
          <w:color w:val="000000" w:themeColor="text1"/>
          <w:sz w:val="28"/>
          <w:szCs w:val="28"/>
        </w:rPr>
        <w:t>9.1</w:t>
      </w:r>
      <w:r>
        <w:rPr>
          <w:color w:val="000000" w:themeColor="text1"/>
          <w:sz w:val="28"/>
          <w:szCs w:val="28"/>
        </w:rPr>
        <w:t>%；生态环境用水量</w:t>
      </w:r>
      <w:r>
        <w:rPr>
          <w:rFonts w:hint="eastAsia"/>
          <w:color w:val="000000" w:themeColor="text1"/>
          <w:sz w:val="28"/>
          <w:szCs w:val="28"/>
        </w:rPr>
        <w:t>924</w:t>
      </w:r>
      <w:r>
        <w:rPr>
          <w:color w:val="000000" w:themeColor="text1"/>
          <w:sz w:val="28"/>
          <w:szCs w:val="28"/>
        </w:rPr>
        <w:t>万m</w:t>
      </w:r>
      <w:r>
        <w:rPr>
          <w:color w:val="000000" w:themeColor="text1"/>
          <w:sz w:val="28"/>
          <w:szCs w:val="28"/>
          <w:vertAlign w:val="superscript"/>
        </w:rPr>
        <w:t>3</w:t>
      </w:r>
      <w:r>
        <w:rPr>
          <w:color w:val="000000" w:themeColor="text1"/>
          <w:sz w:val="28"/>
          <w:szCs w:val="28"/>
        </w:rPr>
        <w:t>，占总用水量的</w:t>
      </w:r>
      <w:r>
        <w:rPr>
          <w:rFonts w:hint="eastAsia"/>
          <w:color w:val="000000" w:themeColor="text1"/>
          <w:sz w:val="28"/>
          <w:szCs w:val="28"/>
        </w:rPr>
        <w:t>8.9</w:t>
      </w:r>
      <w:r>
        <w:rPr>
          <w:color w:val="000000" w:themeColor="text1"/>
          <w:sz w:val="28"/>
          <w:szCs w:val="28"/>
        </w:rPr>
        <w:t>%。从现状用水结构分析，农业用水占区域总用水量的</w:t>
      </w:r>
      <w:r>
        <w:rPr>
          <w:rFonts w:hint="eastAsia"/>
          <w:color w:val="000000" w:themeColor="text1"/>
          <w:sz w:val="28"/>
          <w:szCs w:val="28"/>
        </w:rPr>
        <w:t>69.6</w:t>
      </w:r>
      <w:r>
        <w:rPr>
          <w:color w:val="000000" w:themeColor="text1"/>
          <w:sz w:val="28"/>
          <w:szCs w:val="28"/>
        </w:rPr>
        <w:t>%，是平阴县的</w:t>
      </w:r>
      <w:r>
        <w:rPr>
          <w:rFonts w:hint="eastAsia"/>
          <w:color w:val="000000" w:themeColor="text1"/>
          <w:sz w:val="28"/>
          <w:szCs w:val="28"/>
        </w:rPr>
        <w:t>主要</w:t>
      </w:r>
      <w:r>
        <w:rPr>
          <w:color w:val="000000" w:themeColor="text1"/>
          <w:sz w:val="28"/>
          <w:szCs w:val="28"/>
        </w:rPr>
        <w:t>用水</w:t>
      </w:r>
      <w:r>
        <w:rPr>
          <w:rFonts w:hint="eastAsia"/>
          <w:color w:val="000000" w:themeColor="text1"/>
          <w:sz w:val="28"/>
          <w:szCs w:val="28"/>
        </w:rPr>
        <w:t>，其次为工业用水</w:t>
      </w:r>
      <w:r>
        <w:rPr>
          <w:color w:val="000000" w:themeColor="text1"/>
          <w:sz w:val="28"/>
          <w:szCs w:val="28"/>
        </w:rPr>
        <w:t>。</w:t>
      </w:r>
    </w:p>
    <w:p w14:paraId="52DFAF65">
      <w:pPr>
        <w:tabs>
          <w:tab w:val="left" w:pos="5400"/>
        </w:tabs>
        <w:jc w:val="center"/>
        <w:rPr>
          <w:color w:val="000000" w:themeColor="text1"/>
          <w:sz w:val="28"/>
          <w:szCs w:val="28"/>
        </w:rPr>
      </w:pPr>
      <w:r>
        <w:drawing>
          <wp:inline distT="0" distB="0" distL="0" distR="0">
            <wp:extent cx="4448175" cy="2543175"/>
            <wp:effectExtent l="0" t="0" r="0" b="0"/>
            <wp:docPr id="1273603590"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F19C41C">
      <w:pPr>
        <w:tabs>
          <w:tab w:val="left" w:pos="5400"/>
        </w:tabs>
        <w:jc w:val="center"/>
        <w:rPr>
          <w:color w:val="000000" w:themeColor="text1"/>
          <w:sz w:val="28"/>
          <w:szCs w:val="28"/>
        </w:rPr>
      </w:pPr>
      <w:r>
        <w:rPr>
          <w:b/>
          <w:color w:val="000000" w:themeColor="text1"/>
          <w:sz w:val="24"/>
        </w:rPr>
        <w:t>图2.3-4  202</w:t>
      </w:r>
      <w:r>
        <w:rPr>
          <w:rFonts w:hint="eastAsia"/>
          <w:b/>
          <w:color w:val="000000" w:themeColor="text1"/>
          <w:sz w:val="24"/>
        </w:rPr>
        <w:t>3</w:t>
      </w:r>
      <w:r>
        <w:rPr>
          <w:b/>
          <w:color w:val="000000" w:themeColor="text1"/>
          <w:sz w:val="24"/>
        </w:rPr>
        <w:t>年平阴县用水结构图</w:t>
      </w:r>
    </w:p>
    <w:p w14:paraId="7F329F10">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2、用水水平分析</w:t>
      </w:r>
    </w:p>
    <w:p w14:paraId="523EDED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根据平阴县现状年用水量及经济社会指标，分别计算平阴县现状年各项用水指标，并与《山东省节水型社会建设技术指标》等进行对比分析，评价平阴县现状用水水平，详见表</w:t>
      </w:r>
      <w:r>
        <w:rPr>
          <w:color w:val="000000" w:themeColor="text1"/>
          <w:sz w:val="28"/>
          <w:szCs w:val="28"/>
        </w:rPr>
        <w:t>2.3</w:t>
      </w:r>
      <w:r>
        <w:rPr>
          <w:rFonts w:hint="eastAsia"/>
          <w:color w:val="000000" w:themeColor="text1"/>
          <w:sz w:val="28"/>
          <w:szCs w:val="28"/>
        </w:rPr>
        <w:t>-</w:t>
      </w:r>
      <w:r>
        <w:rPr>
          <w:color w:val="000000" w:themeColor="text1"/>
          <w:sz w:val="28"/>
          <w:szCs w:val="28"/>
        </w:rPr>
        <w:t>4</w:t>
      </w:r>
      <w:r>
        <w:rPr>
          <w:rFonts w:hint="eastAsia"/>
          <w:color w:val="000000" w:themeColor="text1"/>
          <w:sz w:val="28"/>
          <w:szCs w:val="28"/>
        </w:rPr>
        <w:t>。</w:t>
      </w:r>
    </w:p>
    <w:p w14:paraId="031CE418">
      <w:pPr>
        <w:tabs>
          <w:tab w:val="left" w:pos="5400"/>
        </w:tabs>
        <w:spacing w:line="600" w:lineRule="exact"/>
        <w:jc w:val="center"/>
        <w:rPr>
          <w:b/>
          <w:color w:val="000000" w:themeColor="text1"/>
          <w:sz w:val="24"/>
        </w:rPr>
      </w:pPr>
      <w:r>
        <w:rPr>
          <w:b/>
          <w:color w:val="000000" w:themeColor="text1"/>
          <w:sz w:val="24"/>
        </w:rPr>
        <w:t>表2.3-4  202</w:t>
      </w:r>
      <w:r>
        <w:rPr>
          <w:rFonts w:hint="eastAsia"/>
          <w:b/>
          <w:color w:val="000000" w:themeColor="text1"/>
          <w:sz w:val="24"/>
        </w:rPr>
        <w:t>3</w:t>
      </w:r>
      <w:r>
        <w:rPr>
          <w:b/>
          <w:color w:val="000000" w:themeColor="text1"/>
          <w:sz w:val="24"/>
        </w:rPr>
        <w:t>年平阴县用水水平及用水定额指标对比分析表</w:t>
      </w:r>
    </w:p>
    <w:tbl>
      <w:tblPr>
        <w:tblStyle w:val="46"/>
        <w:tblW w:w="86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9"/>
        <w:gridCol w:w="1027"/>
        <w:gridCol w:w="837"/>
        <w:gridCol w:w="1000"/>
        <w:gridCol w:w="682"/>
        <w:gridCol w:w="896"/>
        <w:gridCol w:w="820"/>
        <w:gridCol w:w="939"/>
        <w:gridCol w:w="936"/>
      </w:tblGrid>
      <w:tr w14:paraId="575FA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1560" w:type="dxa"/>
            <w:vAlign w:val="center"/>
          </w:tcPr>
          <w:p w14:paraId="59288394">
            <w:pPr>
              <w:adjustRightInd w:val="0"/>
              <w:snapToGrid w:val="0"/>
              <w:ind w:left="-105" w:leftChars="-50" w:right="-105" w:rightChars="-50"/>
              <w:jc w:val="center"/>
              <w:rPr>
                <w:color w:val="000000" w:themeColor="text1"/>
                <w:kern w:val="0"/>
                <w:sz w:val="22"/>
                <w:szCs w:val="22"/>
              </w:rPr>
            </w:pPr>
            <w:r>
              <w:rPr>
                <w:color w:val="000000" w:themeColor="text1"/>
                <w:sz w:val="22"/>
                <w:szCs w:val="22"/>
              </w:rPr>
              <w:t>用水指标</w:t>
            </w:r>
          </w:p>
        </w:tc>
        <w:tc>
          <w:tcPr>
            <w:tcW w:w="1035" w:type="dxa"/>
            <w:vAlign w:val="center"/>
          </w:tcPr>
          <w:p w14:paraId="024C9F5C">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万元GDP</w:t>
            </w:r>
          </w:p>
          <w:p w14:paraId="508A30B0">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用水量</w:t>
            </w:r>
          </w:p>
          <w:p w14:paraId="607AA67B">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r>
              <w:rPr>
                <w:color w:val="000000" w:themeColor="text1"/>
                <w:sz w:val="22"/>
                <w:szCs w:val="22"/>
              </w:rPr>
              <w:t>m</w:t>
            </w:r>
            <w:r>
              <w:rPr>
                <w:color w:val="000000" w:themeColor="text1"/>
                <w:sz w:val="22"/>
                <w:szCs w:val="22"/>
                <w:vertAlign w:val="superscript"/>
              </w:rPr>
              <w:t>3</w:t>
            </w:r>
            <w:r>
              <w:rPr>
                <w:color w:val="000000" w:themeColor="text1"/>
                <w:sz w:val="22"/>
                <w:szCs w:val="22"/>
              </w:rPr>
              <w:t>/万元</w:t>
            </w:r>
            <w:r>
              <w:rPr>
                <w:rFonts w:hint="eastAsia"/>
                <w:color w:val="000000" w:themeColor="text1"/>
                <w:sz w:val="22"/>
                <w:szCs w:val="22"/>
                <w:lang w:eastAsia="zh-CN"/>
              </w:rPr>
              <w:t>）</w:t>
            </w:r>
          </w:p>
        </w:tc>
        <w:tc>
          <w:tcPr>
            <w:tcW w:w="841" w:type="dxa"/>
            <w:vAlign w:val="center"/>
          </w:tcPr>
          <w:p w14:paraId="5C51A5A8">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人均</w:t>
            </w:r>
          </w:p>
          <w:p w14:paraId="434D0A3A">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用水量</w:t>
            </w:r>
          </w:p>
          <w:p w14:paraId="7D8E37FF">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r>
              <w:rPr>
                <w:color w:val="000000" w:themeColor="text1"/>
                <w:sz w:val="22"/>
                <w:szCs w:val="22"/>
              </w:rPr>
              <w:t>m</w:t>
            </w:r>
            <w:r>
              <w:rPr>
                <w:color w:val="000000" w:themeColor="text1"/>
                <w:sz w:val="22"/>
                <w:szCs w:val="22"/>
                <w:vertAlign w:val="superscript"/>
              </w:rPr>
              <w:t>3</w:t>
            </w:r>
            <w:r>
              <w:rPr>
                <w:color w:val="000000" w:themeColor="text1"/>
                <w:sz w:val="22"/>
                <w:szCs w:val="22"/>
              </w:rPr>
              <w:t>/人</w:t>
            </w:r>
            <w:r>
              <w:rPr>
                <w:rFonts w:hint="eastAsia"/>
                <w:color w:val="000000" w:themeColor="text1"/>
                <w:sz w:val="22"/>
                <w:szCs w:val="22"/>
                <w:lang w:eastAsia="zh-CN"/>
              </w:rPr>
              <w:t>）</w:t>
            </w:r>
          </w:p>
        </w:tc>
        <w:tc>
          <w:tcPr>
            <w:tcW w:w="1000" w:type="dxa"/>
            <w:vAlign w:val="center"/>
          </w:tcPr>
          <w:p w14:paraId="5407252D">
            <w:pPr>
              <w:adjustRightInd w:val="0"/>
              <w:snapToGrid w:val="0"/>
              <w:ind w:left="-105" w:leftChars="-50" w:right="-105" w:rightChars="-50"/>
              <w:jc w:val="center"/>
              <w:rPr>
                <w:color w:val="000000" w:themeColor="text1"/>
                <w:sz w:val="22"/>
                <w:szCs w:val="22"/>
              </w:rPr>
            </w:pPr>
            <w:r>
              <w:rPr>
                <w:color w:val="000000" w:themeColor="text1"/>
                <w:sz w:val="22"/>
                <w:szCs w:val="22"/>
              </w:rPr>
              <w:t>万元工业增加值用水量</w:t>
            </w:r>
          </w:p>
          <w:p w14:paraId="312A0CC9">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r>
              <w:rPr>
                <w:color w:val="000000" w:themeColor="text1"/>
                <w:sz w:val="22"/>
                <w:szCs w:val="22"/>
              </w:rPr>
              <w:t>m</w:t>
            </w:r>
            <w:r>
              <w:rPr>
                <w:color w:val="000000" w:themeColor="text1"/>
                <w:sz w:val="22"/>
                <w:szCs w:val="22"/>
                <w:vertAlign w:val="superscript"/>
              </w:rPr>
              <w:t>3</w:t>
            </w:r>
            <w:r>
              <w:rPr>
                <w:color w:val="000000" w:themeColor="text1"/>
                <w:sz w:val="22"/>
                <w:szCs w:val="22"/>
              </w:rPr>
              <w:t>/万元</w:t>
            </w:r>
            <w:r>
              <w:rPr>
                <w:rFonts w:hint="eastAsia"/>
                <w:color w:val="000000" w:themeColor="text1"/>
                <w:sz w:val="22"/>
                <w:szCs w:val="22"/>
                <w:lang w:eastAsia="zh-CN"/>
              </w:rPr>
              <w:t>）</w:t>
            </w:r>
          </w:p>
        </w:tc>
        <w:tc>
          <w:tcPr>
            <w:tcW w:w="682" w:type="dxa"/>
            <w:vAlign w:val="center"/>
          </w:tcPr>
          <w:p w14:paraId="353941E7">
            <w:pPr>
              <w:adjustRightInd w:val="0"/>
              <w:snapToGrid w:val="0"/>
              <w:ind w:left="-105" w:leftChars="-50" w:right="-105" w:rightChars="-50"/>
              <w:jc w:val="center"/>
              <w:rPr>
                <w:color w:val="000000" w:themeColor="text1"/>
                <w:kern w:val="0"/>
                <w:sz w:val="22"/>
                <w:szCs w:val="22"/>
              </w:rPr>
            </w:pPr>
            <w:r>
              <w:rPr>
                <w:color w:val="000000" w:themeColor="text1"/>
                <w:sz w:val="22"/>
                <w:szCs w:val="22"/>
              </w:rPr>
              <w:t>重复利用率</w:t>
            </w:r>
            <w:r>
              <w:rPr>
                <w:rFonts w:hint="eastAsia"/>
                <w:color w:val="000000" w:themeColor="text1"/>
                <w:sz w:val="22"/>
                <w:szCs w:val="22"/>
                <w:lang w:eastAsia="zh-CN"/>
              </w:rPr>
              <w:t>（</w:t>
            </w:r>
            <w:r>
              <w:rPr>
                <w:color w:val="000000" w:themeColor="text1"/>
                <w:sz w:val="22"/>
                <w:szCs w:val="22"/>
              </w:rPr>
              <w:t>%</w:t>
            </w:r>
            <w:r>
              <w:rPr>
                <w:rFonts w:hint="eastAsia"/>
                <w:color w:val="000000" w:themeColor="text1"/>
                <w:sz w:val="22"/>
                <w:szCs w:val="22"/>
                <w:lang w:eastAsia="zh-CN"/>
              </w:rPr>
              <w:t>）</w:t>
            </w:r>
          </w:p>
        </w:tc>
        <w:tc>
          <w:tcPr>
            <w:tcW w:w="849" w:type="dxa"/>
            <w:vAlign w:val="center"/>
          </w:tcPr>
          <w:p w14:paraId="70A20E4F">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农灌水利用系数</w:t>
            </w:r>
          </w:p>
        </w:tc>
        <w:tc>
          <w:tcPr>
            <w:tcW w:w="823" w:type="dxa"/>
            <w:vAlign w:val="center"/>
          </w:tcPr>
          <w:p w14:paraId="140BF346">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亩均用水量</w:t>
            </w:r>
          </w:p>
          <w:p w14:paraId="29808099">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r>
              <w:rPr>
                <w:color w:val="000000" w:themeColor="text1"/>
                <w:sz w:val="22"/>
                <w:szCs w:val="22"/>
              </w:rPr>
              <w:t>m</w:t>
            </w:r>
            <w:r>
              <w:rPr>
                <w:color w:val="000000" w:themeColor="text1"/>
                <w:sz w:val="22"/>
                <w:szCs w:val="22"/>
                <w:vertAlign w:val="superscript"/>
              </w:rPr>
              <w:t>3</w:t>
            </w:r>
            <w:r>
              <w:rPr>
                <w:color w:val="000000" w:themeColor="text1"/>
                <w:sz w:val="22"/>
                <w:szCs w:val="22"/>
              </w:rPr>
              <w:t>/亩</w:t>
            </w:r>
            <w:r>
              <w:rPr>
                <w:rFonts w:hint="eastAsia"/>
                <w:color w:val="000000" w:themeColor="text1"/>
                <w:sz w:val="22"/>
                <w:szCs w:val="22"/>
                <w:lang w:eastAsia="zh-CN"/>
              </w:rPr>
              <w:t>）</w:t>
            </w:r>
          </w:p>
        </w:tc>
        <w:tc>
          <w:tcPr>
            <w:tcW w:w="943" w:type="dxa"/>
            <w:vAlign w:val="center"/>
          </w:tcPr>
          <w:p w14:paraId="41D241F4">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城区居民用水量</w:t>
            </w:r>
          </w:p>
          <w:p w14:paraId="3A38F559">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(L/人·d)</w:t>
            </w:r>
          </w:p>
        </w:tc>
        <w:tc>
          <w:tcPr>
            <w:tcW w:w="943" w:type="dxa"/>
            <w:vAlign w:val="center"/>
          </w:tcPr>
          <w:p w14:paraId="36292AA7">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农村生活用水量</w:t>
            </w:r>
          </w:p>
          <w:p w14:paraId="645621E8">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(L/人·d)</w:t>
            </w:r>
          </w:p>
        </w:tc>
      </w:tr>
      <w:tr w14:paraId="65CCC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1560" w:type="dxa"/>
            <w:vAlign w:val="center"/>
          </w:tcPr>
          <w:p w14:paraId="0BBA4FD3">
            <w:pPr>
              <w:adjustRightInd w:val="0"/>
              <w:snapToGrid w:val="0"/>
              <w:ind w:left="-105" w:leftChars="-50" w:right="-105" w:rightChars="-50"/>
              <w:jc w:val="center"/>
              <w:rPr>
                <w:color w:val="000000" w:themeColor="text1"/>
                <w:kern w:val="0"/>
                <w:sz w:val="22"/>
                <w:szCs w:val="22"/>
              </w:rPr>
            </w:pPr>
            <w:r>
              <w:rPr>
                <w:color w:val="000000" w:themeColor="text1"/>
                <w:sz w:val="22"/>
                <w:szCs w:val="22"/>
              </w:rPr>
              <w:t>节水型社会控制指标</w:t>
            </w:r>
          </w:p>
        </w:tc>
        <w:tc>
          <w:tcPr>
            <w:tcW w:w="1035" w:type="dxa"/>
            <w:vAlign w:val="center"/>
          </w:tcPr>
          <w:p w14:paraId="0594F685">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40</w:t>
            </w:r>
          </w:p>
        </w:tc>
        <w:tc>
          <w:tcPr>
            <w:tcW w:w="841" w:type="dxa"/>
            <w:vAlign w:val="center"/>
          </w:tcPr>
          <w:p w14:paraId="3EC20DE1">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1000" w:type="dxa"/>
            <w:noWrap/>
            <w:vAlign w:val="center"/>
          </w:tcPr>
          <w:p w14:paraId="359B481B">
            <w:pPr>
              <w:adjustRightInd w:val="0"/>
              <w:snapToGrid w:val="0"/>
              <w:ind w:left="-105" w:leftChars="-50" w:right="-105" w:rightChars="-50"/>
              <w:jc w:val="center"/>
              <w:rPr>
                <w:color w:val="000000" w:themeColor="text1"/>
                <w:sz w:val="22"/>
                <w:szCs w:val="22"/>
              </w:rPr>
            </w:pPr>
            <w:r>
              <w:rPr>
                <w:color w:val="000000" w:themeColor="text1"/>
                <w:sz w:val="22"/>
                <w:szCs w:val="22"/>
              </w:rPr>
              <w:t>10</w:t>
            </w:r>
          </w:p>
        </w:tc>
        <w:tc>
          <w:tcPr>
            <w:tcW w:w="682" w:type="dxa"/>
            <w:noWrap/>
            <w:vAlign w:val="center"/>
          </w:tcPr>
          <w:p w14:paraId="212A05B5">
            <w:pPr>
              <w:adjustRightInd w:val="0"/>
              <w:snapToGrid w:val="0"/>
              <w:ind w:left="-105" w:leftChars="-50" w:right="-105" w:rightChars="-50"/>
              <w:jc w:val="center"/>
              <w:rPr>
                <w:color w:val="000000" w:themeColor="text1"/>
                <w:sz w:val="22"/>
                <w:szCs w:val="22"/>
              </w:rPr>
            </w:pPr>
            <w:r>
              <w:rPr>
                <w:color w:val="000000" w:themeColor="text1"/>
                <w:sz w:val="22"/>
                <w:szCs w:val="22"/>
              </w:rPr>
              <w:t>85</w:t>
            </w:r>
          </w:p>
        </w:tc>
        <w:tc>
          <w:tcPr>
            <w:tcW w:w="849" w:type="dxa"/>
            <w:noWrap/>
            <w:vAlign w:val="center"/>
          </w:tcPr>
          <w:p w14:paraId="6429B8A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0.65</w:t>
            </w:r>
            <w:r>
              <w:rPr>
                <w:rFonts w:hint="eastAsia"/>
                <w:color w:val="000000" w:themeColor="text1"/>
                <w:kern w:val="0"/>
                <w:sz w:val="22"/>
                <w:szCs w:val="22"/>
                <w:lang w:eastAsia="zh-CN"/>
              </w:rPr>
              <w:t>~</w:t>
            </w:r>
            <w:r>
              <w:rPr>
                <w:color w:val="000000" w:themeColor="text1"/>
                <w:kern w:val="0"/>
                <w:sz w:val="22"/>
                <w:szCs w:val="22"/>
              </w:rPr>
              <w:t>0.80</w:t>
            </w:r>
          </w:p>
        </w:tc>
        <w:tc>
          <w:tcPr>
            <w:tcW w:w="823" w:type="dxa"/>
            <w:vAlign w:val="center"/>
          </w:tcPr>
          <w:p w14:paraId="2F9EF9CD">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160</w:t>
            </w:r>
          </w:p>
        </w:tc>
        <w:tc>
          <w:tcPr>
            <w:tcW w:w="943" w:type="dxa"/>
            <w:vAlign w:val="center"/>
          </w:tcPr>
          <w:p w14:paraId="00E1FA5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943" w:type="dxa"/>
            <w:vAlign w:val="center"/>
          </w:tcPr>
          <w:p w14:paraId="784E101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62943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1560" w:type="dxa"/>
            <w:vAlign w:val="center"/>
          </w:tcPr>
          <w:p w14:paraId="7CABB89F">
            <w:pPr>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居民</w:t>
            </w:r>
            <w:r>
              <w:rPr>
                <w:color w:val="000000" w:themeColor="text1"/>
                <w:kern w:val="0"/>
                <w:sz w:val="22"/>
                <w:szCs w:val="22"/>
              </w:rPr>
              <w:t>生活用水量标准</w:t>
            </w:r>
          </w:p>
        </w:tc>
        <w:tc>
          <w:tcPr>
            <w:tcW w:w="1035" w:type="dxa"/>
            <w:vAlign w:val="center"/>
          </w:tcPr>
          <w:p w14:paraId="62D69842">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41" w:type="dxa"/>
            <w:vAlign w:val="center"/>
          </w:tcPr>
          <w:p w14:paraId="5D9BF66A">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1000" w:type="dxa"/>
            <w:noWrap/>
            <w:vAlign w:val="center"/>
          </w:tcPr>
          <w:p w14:paraId="43492390">
            <w:pPr>
              <w:adjustRightInd w:val="0"/>
              <w:snapToGrid w:val="0"/>
              <w:ind w:left="-105" w:leftChars="-50" w:right="-105" w:rightChars="-50"/>
              <w:jc w:val="center"/>
              <w:rPr>
                <w:color w:val="000000" w:themeColor="text1"/>
                <w:sz w:val="22"/>
                <w:szCs w:val="22"/>
              </w:rPr>
            </w:pPr>
            <w:r>
              <w:rPr>
                <w:color w:val="000000" w:themeColor="text1"/>
                <w:kern w:val="0"/>
                <w:sz w:val="22"/>
                <w:szCs w:val="22"/>
              </w:rPr>
              <w:t>-</w:t>
            </w:r>
          </w:p>
        </w:tc>
        <w:tc>
          <w:tcPr>
            <w:tcW w:w="682" w:type="dxa"/>
            <w:noWrap/>
            <w:vAlign w:val="center"/>
          </w:tcPr>
          <w:p w14:paraId="67E62A18">
            <w:pPr>
              <w:adjustRightInd w:val="0"/>
              <w:snapToGrid w:val="0"/>
              <w:ind w:left="-105" w:leftChars="-50" w:right="-105" w:rightChars="-50"/>
              <w:jc w:val="center"/>
              <w:rPr>
                <w:color w:val="000000" w:themeColor="text1"/>
                <w:sz w:val="22"/>
                <w:szCs w:val="22"/>
              </w:rPr>
            </w:pPr>
            <w:r>
              <w:rPr>
                <w:color w:val="000000" w:themeColor="text1"/>
                <w:kern w:val="0"/>
                <w:sz w:val="22"/>
                <w:szCs w:val="22"/>
              </w:rPr>
              <w:t>-</w:t>
            </w:r>
          </w:p>
        </w:tc>
        <w:tc>
          <w:tcPr>
            <w:tcW w:w="849" w:type="dxa"/>
            <w:noWrap/>
            <w:vAlign w:val="center"/>
          </w:tcPr>
          <w:p w14:paraId="03E9D24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23" w:type="dxa"/>
            <w:vAlign w:val="center"/>
          </w:tcPr>
          <w:p w14:paraId="3C35D047">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943" w:type="dxa"/>
            <w:vAlign w:val="center"/>
          </w:tcPr>
          <w:p w14:paraId="77841AB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80</w:t>
            </w:r>
            <w:r>
              <w:rPr>
                <w:rFonts w:hint="eastAsia"/>
                <w:color w:val="000000" w:themeColor="text1"/>
                <w:kern w:val="0"/>
                <w:sz w:val="22"/>
                <w:szCs w:val="22"/>
                <w:lang w:eastAsia="zh-CN"/>
              </w:rPr>
              <w:t>~</w:t>
            </w:r>
            <w:r>
              <w:rPr>
                <w:color w:val="000000" w:themeColor="text1"/>
                <w:kern w:val="0"/>
                <w:sz w:val="22"/>
                <w:szCs w:val="22"/>
              </w:rPr>
              <w:t>120</w:t>
            </w:r>
          </w:p>
        </w:tc>
        <w:tc>
          <w:tcPr>
            <w:tcW w:w="943" w:type="dxa"/>
            <w:vAlign w:val="center"/>
          </w:tcPr>
          <w:p w14:paraId="2202DAE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40-80</w:t>
            </w:r>
          </w:p>
        </w:tc>
      </w:tr>
      <w:tr w14:paraId="79E62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1560" w:type="dxa"/>
            <w:vAlign w:val="center"/>
          </w:tcPr>
          <w:p w14:paraId="6C1BC31E">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平阴县</w:t>
            </w:r>
          </w:p>
        </w:tc>
        <w:tc>
          <w:tcPr>
            <w:tcW w:w="1035" w:type="dxa"/>
            <w:vAlign w:val="center"/>
          </w:tcPr>
          <w:p w14:paraId="0019416D">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r>
              <w:rPr>
                <w:rFonts w:hint="eastAsia"/>
                <w:color w:val="000000" w:themeColor="text1"/>
                <w:kern w:val="0"/>
                <w:sz w:val="22"/>
                <w:szCs w:val="22"/>
              </w:rPr>
              <w:t>7.02</w:t>
            </w:r>
          </w:p>
        </w:tc>
        <w:tc>
          <w:tcPr>
            <w:tcW w:w="841" w:type="dxa"/>
            <w:vAlign w:val="center"/>
          </w:tcPr>
          <w:p w14:paraId="63EF98E2">
            <w:pPr>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315.07</w:t>
            </w:r>
          </w:p>
        </w:tc>
        <w:tc>
          <w:tcPr>
            <w:tcW w:w="1000" w:type="dxa"/>
            <w:noWrap/>
            <w:vAlign w:val="center"/>
          </w:tcPr>
          <w:p w14:paraId="79C90F5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7.</w:t>
            </w:r>
            <w:r>
              <w:rPr>
                <w:rFonts w:hint="eastAsia"/>
                <w:color w:val="000000" w:themeColor="text1"/>
                <w:kern w:val="0"/>
                <w:sz w:val="22"/>
                <w:szCs w:val="22"/>
              </w:rPr>
              <w:t>63</w:t>
            </w:r>
          </w:p>
        </w:tc>
        <w:tc>
          <w:tcPr>
            <w:tcW w:w="682" w:type="dxa"/>
            <w:noWrap/>
            <w:vAlign w:val="center"/>
          </w:tcPr>
          <w:p w14:paraId="315E39A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89.5</w:t>
            </w:r>
          </w:p>
        </w:tc>
        <w:tc>
          <w:tcPr>
            <w:tcW w:w="849" w:type="dxa"/>
            <w:noWrap/>
            <w:vAlign w:val="center"/>
          </w:tcPr>
          <w:p w14:paraId="06D756D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0.654</w:t>
            </w:r>
            <w:r>
              <w:rPr>
                <w:rFonts w:hint="eastAsia"/>
                <w:color w:val="000000" w:themeColor="text1"/>
                <w:kern w:val="0"/>
                <w:sz w:val="22"/>
                <w:szCs w:val="22"/>
              </w:rPr>
              <w:t>5</w:t>
            </w:r>
          </w:p>
        </w:tc>
        <w:tc>
          <w:tcPr>
            <w:tcW w:w="823" w:type="dxa"/>
            <w:vAlign w:val="center"/>
          </w:tcPr>
          <w:p w14:paraId="0E2AA03E">
            <w:pPr>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r>
              <w:rPr>
                <w:rFonts w:hint="eastAsia"/>
                <w:color w:val="000000" w:themeColor="text1"/>
                <w:kern w:val="0"/>
                <w:sz w:val="22"/>
                <w:szCs w:val="22"/>
              </w:rPr>
              <w:t>72.48</w:t>
            </w:r>
          </w:p>
        </w:tc>
        <w:tc>
          <w:tcPr>
            <w:tcW w:w="943" w:type="dxa"/>
            <w:vAlign w:val="center"/>
          </w:tcPr>
          <w:p w14:paraId="145217D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85.19</w:t>
            </w:r>
          </w:p>
        </w:tc>
        <w:tc>
          <w:tcPr>
            <w:tcW w:w="943" w:type="dxa"/>
            <w:vAlign w:val="center"/>
          </w:tcPr>
          <w:p w14:paraId="2C6A024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69.23</w:t>
            </w:r>
          </w:p>
        </w:tc>
      </w:tr>
    </w:tbl>
    <w:p w14:paraId="22062F25">
      <w:pPr>
        <w:tabs>
          <w:tab w:val="left" w:pos="5400"/>
        </w:tabs>
        <w:spacing w:line="600" w:lineRule="exact"/>
        <w:ind w:firstLine="560" w:firstLineChars="200"/>
        <w:rPr>
          <w:color w:val="000000" w:themeColor="text1"/>
          <w:sz w:val="28"/>
          <w:szCs w:val="28"/>
        </w:rPr>
      </w:pPr>
      <w:r>
        <w:rPr>
          <w:color w:val="000000" w:themeColor="text1"/>
          <w:sz w:val="28"/>
          <w:szCs w:val="28"/>
        </w:rPr>
        <w:t>根据《济南市城乡水务局关于印发各区县202</w:t>
      </w:r>
      <w:r>
        <w:rPr>
          <w:rFonts w:hint="eastAsia"/>
          <w:color w:val="000000" w:themeColor="text1"/>
          <w:sz w:val="28"/>
          <w:szCs w:val="28"/>
        </w:rPr>
        <w:t>3</w:t>
      </w:r>
      <w:r>
        <w:rPr>
          <w:color w:val="000000" w:themeColor="text1"/>
          <w:sz w:val="28"/>
          <w:szCs w:val="28"/>
        </w:rPr>
        <w:t>年度水资源管理控制目标的通知》（济水发</w:t>
      </w:r>
      <w:r>
        <w:rPr>
          <w:rFonts w:hint="eastAsia"/>
          <w:color w:val="000000" w:themeColor="text1"/>
          <w:sz w:val="28"/>
          <w:szCs w:val="28"/>
        </w:rPr>
        <w:t>〔2023〕52号</w:t>
      </w:r>
      <w:r>
        <w:rPr>
          <w:color w:val="000000" w:themeColor="text1"/>
          <w:sz w:val="28"/>
          <w:szCs w:val="28"/>
        </w:rPr>
        <w:t>），平阴县202</w:t>
      </w:r>
      <w:r>
        <w:rPr>
          <w:rFonts w:hint="eastAsia"/>
          <w:color w:val="000000" w:themeColor="text1"/>
          <w:sz w:val="28"/>
          <w:szCs w:val="28"/>
        </w:rPr>
        <w:t>3</w:t>
      </w:r>
      <w:r>
        <w:rPr>
          <w:color w:val="000000" w:themeColor="text1"/>
          <w:sz w:val="28"/>
          <w:szCs w:val="28"/>
        </w:rPr>
        <w:t>年万元工业增加值用水量控制目标比2020年下降2%，202</w:t>
      </w:r>
      <w:r>
        <w:rPr>
          <w:rFonts w:hint="eastAsia"/>
          <w:color w:val="000000" w:themeColor="text1"/>
          <w:sz w:val="28"/>
          <w:szCs w:val="28"/>
        </w:rPr>
        <w:t>3</w:t>
      </w:r>
      <w:r>
        <w:rPr>
          <w:color w:val="000000" w:themeColor="text1"/>
          <w:sz w:val="28"/>
          <w:szCs w:val="28"/>
        </w:rPr>
        <w:t>年万元工业增加值用水量为7.</w:t>
      </w:r>
      <w:r>
        <w:rPr>
          <w:rFonts w:hint="eastAsia"/>
          <w:color w:val="000000" w:themeColor="text1"/>
          <w:sz w:val="28"/>
          <w:szCs w:val="28"/>
        </w:rPr>
        <w:t>63</w:t>
      </w:r>
      <w:r>
        <w:rPr>
          <w:bCs/>
          <w:color w:val="000000" w:themeColor="text1"/>
          <w:sz w:val="28"/>
          <w:szCs w:val="28"/>
        </w:rPr>
        <w:t>m</w:t>
      </w:r>
      <w:r>
        <w:rPr>
          <w:bCs/>
          <w:color w:val="000000" w:themeColor="text1"/>
          <w:sz w:val="28"/>
          <w:szCs w:val="28"/>
          <w:vertAlign w:val="superscript"/>
        </w:rPr>
        <w:t>3</w:t>
      </w:r>
      <w:r>
        <w:rPr>
          <w:color w:val="000000" w:themeColor="text1"/>
          <w:sz w:val="28"/>
          <w:szCs w:val="28"/>
        </w:rPr>
        <w:t>/万元，比2020年平阴县万元工业增加值用水量下降1</w:t>
      </w:r>
      <w:r>
        <w:rPr>
          <w:rFonts w:hint="eastAsia"/>
          <w:color w:val="000000" w:themeColor="text1"/>
          <w:sz w:val="28"/>
          <w:szCs w:val="28"/>
        </w:rPr>
        <w:t>4.14</w:t>
      </w:r>
      <w:r>
        <w:rPr>
          <w:color w:val="000000" w:themeColor="text1"/>
          <w:sz w:val="28"/>
          <w:szCs w:val="28"/>
        </w:rPr>
        <w:t>%，优于平阴县万元工业增加值用水量控制目标的要求。平阴县202</w:t>
      </w:r>
      <w:r>
        <w:rPr>
          <w:rFonts w:hint="eastAsia"/>
          <w:color w:val="000000" w:themeColor="text1"/>
          <w:sz w:val="28"/>
          <w:szCs w:val="28"/>
        </w:rPr>
        <w:t>3</w:t>
      </w:r>
      <w:r>
        <w:rPr>
          <w:color w:val="000000" w:themeColor="text1"/>
          <w:sz w:val="28"/>
          <w:szCs w:val="28"/>
        </w:rPr>
        <w:t>年农田灌溉水有效利用系数为0.654</w:t>
      </w:r>
      <w:r>
        <w:rPr>
          <w:rFonts w:hint="eastAsia"/>
          <w:color w:val="000000" w:themeColor="text1"/>
          <w:sz w:val="28"/>
          <w:szCs w:val="28"/>
        </w:rPr>
        <w:t>5</w:t>
      </w:r>
      <w:r>
        <w:rPr>
          <w:color w:val="000000" w:themeColor="text1"/>
          <w:sz w:val="28"/>
          <w:szCs w:val="28"/>
        </w:rPr>
        <w:t>，符合</w:t>
      </w:r>
      <w:r>
        <w:rPr>
          <w:rFonts w:hint="eastAsia"/>
          <w:color w:val="000000" w:themeColor="text1"/>
          <w:sz w:val="28"/>
          <w:szCs w:val="28"/>
        </w:rPr>
        <w:t>本</w:t>
      </w:r>
      <w:r>
        <w:rPr>
          <w:color w:val="000000" w:themeColor="text1"/>
          <w:sz w:val="28"/>
          <w:szCs w:val="28"/>
        </w:rPr>
        <w:t>年度平阴县用水效率控制目标要求。</w:t>
      </w:r>
    </w:p>
    <w:p w14:paraId="1370BC4B">
      <w:pPr>
        <w:tabs>
          <w:tab w:val="left" w:pos="5400"/>
        </w:tabs>
        <w:spacing w:line="600" w:lineRule="exact"/>
        <w:ind w:firstLine="560" w:firstLineChars="200"/>
        <w:rPr>
          <w:color w:val="000000" w:themeColor="text1"/>
          <w:sz w:val="28"/>
          <w:szCs w:val="28"/>
        </w:rPr>
      </w:pPr>
      <w:r>
        <w:rPr>
          <w:color w:val="000000" w:themeColor="text1"/>
          <w:sz w:val="28"/>
          <w:szCs w:val="28"/>
        </w:rPr>
        <w:t>综上所述，平阴县</w:t>
      </w:r>
      <w:r>
        <w:rPr>
          <w:color w:val="000000" w:themeColor="text1"/>
          <w:sz w:val="28"/>
          <w:szCs w:val="28"/>
          <w:lang w:val="zh-TW"/>
        </w:rPr>
        <w:t>万元工业增加值用</w:t>
      </w:r>
      <w:r>
        <w:rPr>
          <w:color w:val="000000" w:themeColor="text1"/>
          <w:sz w:val="28"/>
          <w:szCs w:val="28"/>
        </w:rPr>
        <w:t>水量和农田灌溉水有效利用系数等指标符合《山东省节水型社会建设技术指标》及相关规范的要求；但城市供水管网漏失率、农田灌溉亩均用水量与《山东省节水型社会建设技术指标》相比，还存在一定差距，节水水平有待进一步提高。</w:t>
      </w:r>
    </w:p>
    <w:p w14:paraId="3F26BEC4">
      <w:pPr>
        <w:autoSpaceDE w:val="0"/>
        <w:autoSpaceDN w:val="0"/>
        <w:adjustRightInd w:val="0"/>
        <w:snapToGrid w:val="0"/>
        <w:spacing w:line="600" w:lineRule="exact"/>
        <w:textAlignment w:val="bottom"/>
        <w:outlineLvl w:val="2"/>
        <w:rPr>
          <w:b/>
          <w:bCs/>
          <w:color w:val="000000" w:themeColor="text1"/>
          <w:sz w:val="28"/>
          <w:szCs w:val="28"/>
        </w:rPr>
      </w:pPr>
      <w:r>
        <w:rPr>
          <w:b/>
          <w:bCs/>
          <w:color w:val="000000" w:themeColor="text1"/>
          <w:sz w:val="28"/>
          <w:szCs w:val="28"/>
        </w:rPr>
        <w:t xml:space="preserve">2.3.4 </w:t>
      </w:r>
      <w:r>
        <w:rPr>
          <w:rFonts w:hint="eastAsia"/>
          <w:b/>
          <w:bCs/>
          <w:color w:val="000000" w:themeColor="text1"/>
          <w:sz w:val="28"/>
          <w:szCs w:val="28"/>
        </w:rPr>
        <w:t>水资源供需平衡分析</w:t>
      </w:r>
    </w:p>
    <w:p w14:paraId="659875C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按照平阴县人口、经济社会发展速度，考虑到未来科技进步、体制机制创新、不同产业结构和用水结构、不同用水定额和节水水平等因素，分平水年（50%）、枯水年（75%）、特枯水年（95%）三种情况，按照基准年（2023年）、2030年、2035年三个水平年，分别预测平阴县社会经济需水总量、可供水量，并进行水资源供需平衡分析。</w:t>
      </w:r>
    </w:p>
    <w:p w14:paraId="5AFBA6A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一、经济社会指标预测</w:t>
      </w:r>
    </w:p>
    <w:p w14:paraId="0334ACE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1、人口发展目标及预测</w:t>
      </w:r>
    </w:p>
    <w:p w14:paraId="7CD64EB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平阴县人口发展取决了两个方面的因素：一是人口自然增长，即人类繁衍的需要，人口数量必然会在原有基础上有一定的自然增长；二是社会增长，即人口由于社会和经济等因素而产生迁徙。</w:t>
      </w:r>
    </w:p>
    <w:p w14:paraId="2A3BEB5C">
      <w:pPr>
        <w:tabs>
          <w:tab w:val="left" w:pos="5400"/>
        </w:tabs>
        <w:spacing w:line="600" w:lineRule="exact"/>
        <w:ind w:firstLine="560" w:firstLineChars="200"/>
        <w:rPr>
          <w:sz w:val="28"/>
          <w:szCs w:val="28"/>
        </w:rPr>
      </w:pPr>
      <w:r>
        <w:rPr>
          <w:rFonts w:hint="eastAsia"/>
          <w:sz w:val="28"/>
          <w:szCs w:val="28"/>
        </w:rPr>
        <w:t>2023年平阴县</w:t>
      </w:r>
      <w:r>
        <w:rPr>
          <w:rFonts w:hint="eastAsia"/>
          <w:color w:val="000000" w:themeColor="text1"/>
          <w:sz w:val="28"/>
          <w:szCs w:val="28"/>
        </w:rPr>
        <w:t>户籍总人口36.52万人，常住</w:t>
      </w:r>
      <w:r>
        <w:rPr>
          <w:rFonts w:hint="eastAsia"/>
          <w:sz w:val="28"/>
          <w:szCs w:val="28"/>
        </w:rPr>
        <w:t>人口为</w:t>
      </w:r>
      <w:r>
        <w:rPr>
          <w:sz w:val="28"/>
          <w:szCs w:val="28"/>
        </w:rPr>
        <w:t>3</w:t>
      </w:r>
      <w:r>
        <w:rPr>
          <w:rFonts w:hint="eastAsia"/>
          <w:sz w:val="28"/>
          <w:szCs w:val="28"/>
        </w:rPr>
        <w:t>3.04万人，其中城镇人口</w:t>
      </w:r>
      <w:r>
        <w:rPr>
          <w:sz w:val="28"/>
          <w:szCs w:val="28"/>
        </w:rPr>
        <w:t>1</w:t>
      </w:r>
      <w:r>
        <w:rPr>
          <w:rFonts w:hint="eastAsia"/>
          <w:sz w:val="28"/>
          <w:szCs w:val="28"/>
        </w:rPr>
        <w:t>8.45万人，农村人口14.59万人，城镇化率为55.84</w:t>
      </w:r>
      <w:r>
        <w:rPr>
          <w:sz w:val="28"/>
          <w:szCs w:val="28"/>
        </w:rPr>
        <w:t>%</w:t>
      </w:r>
      <w:r>
        <w:rPr>
          <w:rFonts w:hint="eastAsia"/>
          <w:sz w:val="28"/>
          <w:szCs w:val="28"/>
        </w:rPr>
        <w:t>。依据</w:t>
      </w:r>
      <w:r>
        <w:rPr>
          <w:sz w:val="28"/>
          <w:szCs w:val="28"/>
        </w:rPr>
        <w:t>《</w:t>
      </w:r>
      <w:r>
        <w:rPr>
          <w:rFonts w:hint="eastAsia"/>
          <w:sz w:val="28"/>
          <w:szCs w:val="28"/>
        </w:rPr>
        <w:t>平阴县国民经济和社会发展第十四个五年规划和二〇三五年远景目标纲要</w:t>
      </w:r>
      <w:r>
        <w:rPr>
          <w:sz w:val="28"/>
          <w:szCs w:val="28"/>
        </w:rPr>
        <w:t>》确定202</w:t>
      </w:r>
      <w:r>
        <w:rPr>
          <w:rFonts w:hint="eastAsia"/>
          <w:sz w:val="28"/>
          <w:szCs w:val="28"/>
        </w:rPr>
        <w:t>4—</w:t>
      </w:r>
      <w:r>
        <w:rPr>
          <w:sz w:val="28"/>
          <w:szCs w:val="28"/>
        </w:rPr>
        <w:t>20</w:t>
      </w:r>
      <w:r>
        <w:rPr>
          <w:rFonts w:hint="eastAsia"/>
          <w:sz w:val="28"/>
          <w:szCs w:val="28"/>
        </w:rPr>
        <w:t>35</w:t>
      </w:r>
      <w:r>
        <w:rPr>
          <w:sz w:val="28"/>
          <w:szCs w:val="28"/>
        </w:rPr>
        <w:t>年平阴县人口年均自然增长率分别为</w:t>
      </w:r>
      <w:r>
        <w:rPr>
          <w:rFonts w:hint="eastAsia"/>
          <w:sz w:val="28"/>
          <w:szCs w:val="28"/>
        </w:rPr>
        <w:t>8‰</w:t>
      </w:r>
      <w:r>
        <w:rPr>
          <w:sz w:val="28"/>
          <w:szCs w:val="28"/>
        </w:rPr>
        <w:t>，</w:t>
      </w:r>
      <w:r>
        <w:rPr>
          <w:rFonts w:hint="eastAsia"/>
          <w:sz w:val="28"/>
          <w:szCs w:val="28"/>
        </w:rPr>
        <w:t>其中2030年</w:t>
      </w:r>
      <w:r>
        <w:rPr>
          <w:sz w:val="28"/>
          <w:szCs w:val="28"/>
        </w:rPr>
        <w:t>城镇化率为</w:t>
      </w:r>
      <w:r>
        <w:rPr>
          <w:rFonts w:hint="eastAsia"/>
          <w:sz w:val="28"/>
          <w:szCs w:val="28"/>
        </w:rPr>
        <w:t>60</w:t>
      </w:r>
      <w:r>
        <w:rPr>
          <w:sz w:val="28"/>
          <w:szCs w:val="28"/>
        </w:rPr>
        <w:t>%</w:t>
      </w:r>
      <w:r>
        <w:rPr>
          <w:rFonts w:hint="eastAsia"/>
          <w:sz w:val="28"/>
          <w:szCs w:val="28"/>
        </w:rPr>
        <w:t>；2035年</w:t>
      </w:r>
      <w:r>
        <w:rPr>
          <w:sz w:val="28"/>
          <w:szCs w:val="28"/>
        </w:rPr>
        <w:t>城镇化率为</w:t>
      </w:r>
      <w:r>
        <w:rPr>
          <w:rFonts w:hint="eastAsia"/>
          <w:sz w:val="28"/>
          <w:szCs w:val="28"/>
        </w:rPr>
        <w:t>6</w:t>
      </w:r>
      <w:r>
        <w:rPr>
          <w:sz w:val="28"/>
          <w:szCs w:val="28"/>
        </w:rPr>
        <w:t>5%</w:t>
      </w:r>
      <w:r>
        <w:rPr>
          <w:rFonts w:hint="eastAsia"/>
          <w:sz w:val="28"/>
          <w:szCs w:val="28"/>
        </w:rPr>
        <w:t>。</w:t>
      </w:r>
    </w:p>
    <w:p w14:paraId="206AB816">
      <w:pPr>
        <w:tabs>
          <w:tab w:val="left" w:pos="5400"/>
        </w:tabs>
        <w:spacing w:line="600" w:lineRule="exact"/>
        <w:ind w:firstLine="560" w:firstLineChars="200"/>
        <w:rPr>
          <w:kern w:val="0"/>
          <w:sz w:val="28"/>
          <w:szCs w:val="28"/>
        </w:rPr>
      </w:pPr>
      <w:r>
        <w:rPr>
          <w:rFonts w:hint="eastAsia"/>
          <w:sz w:val="28"/>
          <w:szCs w:val="28"/>
        </w:rPr>
        <w:t>经预测计算，</w:t>
      </w:r>
      <w:r>
        <w:rPr>
          <w:kern w:val="0"/>
          <w:sz w:val="28"/>
          <w:szCs w:val="28"/>
        </w:rPr>
        <w:t>20</w:t>
      </w:r>
      <w:r>
        <w:rPr>
          <w:rFonts w:hint="eastAsia"/>
          <w:kern w:val="0"/>
          <w:sz w:val="28"/>
          <w:szCs w:val="28"/>
        </w:rPr>
        <w:t>30</w:t>
      </w:r>
      <w:r>
        <w:rPr>
          <w:kern w:val="0"/>
          <w:sz w:val="28"/>
          <w:szCs w:val="28"/>
        </w:rPr>
        <w:t>年平阴县人口达到</w:t>
      </w:r>
      <w:r>
        <w:rPr>
          <w:rFonts w:hint="eastAsia"/>
          <w:kern w:val="0"/>
          <w:sz w:val="28"/>
          <w:szCs w:val="28"/>
        </w:rPr>
        <w:t>34.93</w:t>
      </w:r>
      <w:r>
        <w:rPr>
          <w:kern w:val="0"/>
          <w:sz w:val="28"/>
          <w:szCs w:val="28"/>
        </w:rPr>
        <w:t>万人，其中城镇人口为</w:t>
      </w:r>
      <w:r>
        <w:rPr>
          <w:rFonts w:hint="eastAsia"/>
          <w:kern w:val="0"/>
          <w:sz w:val="28"/>
          <w:szCs w:val="28"/>
        </w:rPr>
        <w:t>20.96</w:t>
      </w:r>
      <w:r>
        <w:rPr>
          <w:kern w:val="0"/>
          <w:sz w:val="28"/>
          <w:szCs w:val="28"/>
        </w:rPr>
        <w:t>万人，农村人口为</w:t>
      </w:r>
      <w:r>
        <w:rPr>
          <w:rFonts w:hint="eastAsia"/>
          <w:kern w:val="0"/>
          <w:sz w:val="28"/>
          <w:szCs w:val="28"/>
        </w:rPr>
        <w:t>13.97</w:t>
      </w:r>
      <w:r>
        <w:rPr>
          <w:kern w:val="0"/>
          <w:sz w:val="28"/>
          <w:szCs w:val="28"/>
        </w:rPr>
        <w:t>万人；2035年平阴县人口达到</w:t>
      </w:r>
      <w:r>
        <w:rPr>
          <w:rFonts w:hint="eastAsia"/>
          <w:kern w:val="0"/>
          <w:sz w:val="28"/>
          <w:szCs w:val="28"/>
        </w:rPr>
        <w:t>36.36</w:t>
      </w:r>
      <w:r>
        <w:rPr>
          <w:kern w:val="0"/>
          <w:sz w:val="28"/>
          <w:szCs w:val="28"/>
        </w:rPr>
        <w:t>万人，其中城镇人口为</w:t>
      </w:r>
      <w:r>
        <w:rPr>
          <w:rFonts w:hint="eastAsia"/>
          <w:kern w:val="0"/>
          <w:sz w:val="28"/>
          <w:szCs w:val="28"/>
        </w:rPr>
        <w:t>23.63</w:t>
      </w:r>
      <w:r>
        <w:rPr>
          <w:kern w:val="0"/>
          <w:sz w:val="28"/>
          <w:szCs w:val="28"/>
        </w:rPr>
        <w:t>万人，农村人口为1</w:t>
      </w:r>
      <w:r>
        <w:rPr>
          <w:rFonts w:hint="eastAsia"/>
          <w:kern w:val="0"/>
          <w:sz w:val="28"/>
          <w:szCs w:val="28"/>
        </w:rPr>
        <w:t>2.73</w:t>
      </w:r>
      <w:r>
        <w:rPr>
          <w:kern w:val="0"/>
          <w:sz w:val="28"/>
          <w:szCs w:val="28"/>
        </w:rPr>
        <w:t>万人，预测结果如表</w:t>
      </w:r>
      <w:r>
        <w:rPr>
          <w:rFonts w:hint="eastAsia"/>
          <w:kern w:val="0"/>
          <w:sz w:val="28"/>
          <w:szCs w:val="28"/>
        </w:rPr>
        <w:t>2.3.4</w:t>
      </w:r>
      <w:r>
        <w:rPr>
          <w:kern w:val="0"/>
          <w:sz w:val="28"/>
          <w:szCs w:val="28"/>
        </w:rPr>
        <w:t>-1。</w:t>
      </w:r>
    </w:p>
    <w:p w14:paraId="00D268C3">
      <w:pPr>
        <w:tabs>
          <w:tab w:val="left" w:pos="5400"/>
        </w:tabs>
        <w:spacing w:line="600" w:lineRule="exact"/>
        <w:ind w:firstLine="560" w:firstLineChars="200"/>
        <w:rPr>
          <w:color w:val="000000" w:themeColor="text1"/>
          <w:sz w:val="28"/>
          <w:szCs w:val="28"/>
        </w:rPr>
      </w:pPr>
    </w:p>
    <w:p w14:paraId="45E2F6FC">
      <w:pPr>
        <w:keepNext/>
        <w:wordWrap w:val="0"/>
        <w:snapToGrid w:val="0"/>
        <w:spacing w:before="120" w:beforeLines="50"/>
        <w:jc w:val="right"/>
        <w:rPr>
          <w:b/>
          <w:sz w:val="24"/>
        </w:rPr>
      </w:pPr>
      <w:r>
        <w:rPr>
          <w:b/>
          <w:sz w:val="24"/>
        </w:rPr>
        <w:t>表</w:t>
      </w:r>
      <w:r>
        <w:rPr>
          <w:rFonts w:hint="eastAsia"/>
          <w:b/>
          <w:sz w:val="24"/>
        </w:rPr>
        <w:t>2.3.4-</w:t>
      </w:r>
      <w:r>
        <w:rPr>
          <w:b/>
          <w:sz w:val="24"/>
        </w:rPr>
        <w:t>1  平阴县</w:t>
      </w:r>
      <w:r>
        <w:rPr>
          <w:rFonts w:hint="eastAsia"/>
          <w:b/>
          <w:sz w:val="24"/>
        </w:rPr>
        <w:t>不同规划年</w:t>
      </w:r>
      <w:r>
        <w:rPr>
          <w:b/>
          <w:sz w:val="24"/>
        </w:rPr>
        <w:t>人口发展预测表           单位：万人</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1"/>
        <w:gridCol w:w="1817"/>
        <w:gridCol w:w="1894"/>
        <w:gridCol w:w="1890"/>
      </w:tblGrid>
      <w:tr w14:paraId="553EE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14" w:type="pct"/>
            <w:vAlign w:val="center"/>
          </w:tcPr>
          <w:p w14:paraId="2F29F83E">
            <w:pPr>
              <w:widowControl/>
              <w:jc w:val="center"/>
              <w:rPr>
                <w:color w:val="000000"/>
                <w:kern w:val="0"/>
                <w:sz w:val="22"/>
                <w:szCs w:val="22"/>
              </w:rPr>
            </w:pPr>
            <w:r>
              <w:rPr>
                <w:color w:val="000000"/>
                <w:kern w:val="0"/>
                <w:sz w:val="22"/>
                <w:szCs w:val="22"/>
              </w:rPr>
              <w:t>年份</w:t>
            </w:r>
          </w:p>
        </w:tc>
        <w:tc>
          <w:tcPr>
            <w:tcW w:w="1066" w:type="pct"/>
            <w:vAlign w:val="center"/>
          </w:tcPr>
          <w:p w14:paraId="78251C11">
            <w:pPr>
              <w:widowControl/>
              <w:jc w:val="center"/>
              <w:rPr>
                <w:color w:val="000000"/>
                <w:kern w:val="0"/>
                <w:sz w:val="22"/>
                <w:szCs w:val="22"/>
              </w:rPr>
            </w:pPr>
            <w:r>
              <w:rPr>
                <w:color w:val="000000"/>
                <w:kern w:val="0"/>
                <w:sz w:val="22"/>
                <w:szCs w:val="22"/>
              </w:rPr>
              <w:t>现状年</w:t>
            </w:r>
          </w:p>
        </w:tc>
        <w:tc>
          <w:tcPr>
            <w:tcW w:w="1111" w:type="pct"/>
            <w:vAlign w:val="center"/>
          </w:tcPr>
          <w:p w14:paraId="42B2A532">
            <w:pPr>
              <w:widowControl/>
              <w:jc w:val="center"/>
              <w:rPr>
                <w:rFonts w:eastAsia="等线"/>
                <w:color w:val="000000"/>
                <w:kern w:val="0"/>
                <w:sz w:val="22"/>
                <w:szCs w:val="22"/>
              </w:rPr>
            </w:pPr>
            <w:r>
              <w:rPr>
                <w:rFonts w:eastAsia="等线"/>
                <w:color w:val="000000"/>
                <w:kern w:val="0"/>
                <w:sz w:val="22"/>
                <w:szCs w:val="22"/>
              </w:rPr>
              <w:t>20</w:t>
            </w:r>
            <w:r>
              <w:rPr>
                <w:rFonts w:hint="eastAsia" w:eastAsia="等线"/>
                <w:color w:val="000000"/>
                <w:kern w:val="0"/>
                <w:sz w:val="22"/>
                <w:szCs w:val="22"/>
              </w:rPr>
              <w:t>30</w:t>
            </w:r>
            <w:r>
              <w:rPr>
                <w:color w:val="000000"/>
                <w:kern w:val="0"/>
                <w:sz w:val="22"/>
                <w:szCs w:val="22"/>
              </w:rPr>
              <w:t>年</w:t>
            </w:r>
          </w:p>
        </w:tc>
        <w:tc>
          <w:tcPr>
            <w:tcW w:w="1109" w:type="pct"/>
            <w:vAlign w:val="center"/>
          </w:tcPr>
          <w:p w14:paraId="5A785417">
            <w:pPr>
              <w:widowControl/>
              <w:jc w:val="center"/>
              <w:rPr>
                <w:rFonts w:eastAsia="等线"/>
                <w:color w:val="000000"/>
                <w:kern w:val="0"/>
                <w:sz w:val="22"/>
                <w:szCs w:val="22"/>
              </w:rPr>
            </w:pPr>
            <w:r>
              <w:rPr>
                <w:rFonts w:eastAsia="等线"/>
                <w:color w:val="000000"/>
                <w:kern w:val="0"/>
                <w:sz w:val="22"/>
                <w:szCs w:val="22"/>
              </w:rPr>
              <w:t>2035</w:t>
            </w:r>
            <w:r>
              <w:rPr>
                <w:color w:val="000000"/>
                <w:kern w:val="0"/>
                <w:sz w:val="22"/>
                <w:szCs w:val="22"/>
              </w:rPr>
              <w:t>年</w:t>
            </w:r>
          </w:p>
        </w:tc>
      </w:tr>
      <w:tr w14:paraId="1E671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14" w:type="pct"/>
            <w:vAlign w:val="center"/>
          </w:tcPr>
          <w:p w14:paraId="699FD37A">
            <w:pPr>
              <w:widowControl/>
              <w:jc w:val="center"/>
              <w:rPr>
                <w:color w:val="000000"/>
                <w:kern w:val="0"/>
                <w:sz w:val="22"/>
                <w:szCs w:val="22"/>
              </w:rPr>
            </w:pPr>
            <w:r>
              <w:rPr>
                <w:color w:val="000000"/>
                <w:kern w:val="0"/>
                <w:sz w:val="22"/>
                <w:szCs w:val="22"/>
              </w:rPr>
              <w:t>城镇人口</w:t>
            </w:r>
          </w:p>
        </w:tc>
        <w:tc>
          <w:tcPr>
            <w:tcW w:w="1066" w:type="pct"/>
            <w:vAlign w:val="center"/>
          </w:tcPr>
          <w:p w14:paraId="3380CEA1">
            <w:pPr>
              <w:widowControl/>
              <w:jc w:val="center"/>
              <w:rPr>
                <w:rFonts w:eastAsia="等线"/>
                <w:color w:val="000000"/>
                <w:kern w:val="0"/>
                <w:sz w:val="22"/>
                <w:szCs w:val="22"/>
              </w:rPr>
            </w:pPr>
            <w:r>
              <w:rPr>
                <w:rFonts w:eastAsia="等线"/>
                <w:color w:val="000000"/>
                <w:kern w:val="0"/>
                <w:sz w:val="22"/>
                <w:szCs w:val="22"/>
              </w:rPr>
              <w:t>18.45</w:t>
            </w:r>
          </w:p>
        </w:tc>
        <w:tc>
          <w:tcPr>
            <w:tcW w:w="1111" w:type="pct"/>
            <w:vAlign w:val="center"/>
          </w:tcPr>
          <w:p w14:paraId="6F83D21F">
            <w:pPr>
              <w:widowControl/>
              <w:jc w:val="center"/>
              <w:rPr>
                <w:rFonts w:eastAsia="等线"/>
                <w:color w:val="000000"/>
                <w:kern w:val="0"/>
                <w:sz w:val="22"/>
                <w:szCs w:val="22"/>
              </w:rPr>
            </w:pPr>
            <w:r>
              <w:rPr>
                <w:rFonts w:hint="eastAsia" w:eastAsia="等线"/>
                <w:color w:val="000000"/>
                <w:kern w:val="0"/>
                <w:sz w:val="22"/>
                <w:szCs w:val="22"/>
              </w:rPr>
              <w:t>20.96</w:t>
            </w:r>
          </w:p>
        </w:tc>
        <w:tc>
          <w:tcPr>
            <w:tcW w:w="1109" w:type="pct"/>
            <w:vAlign w:val="center"/>
          </w:tcPr>
          <w:p w14:paraId="2F20F516">
            <w:pPr>
              <w:widowControl/>
              <w:jc w:val="center"/>
              <w:rPr>
                <w:rFonts w:eastAsia="等线"/>
                <w:color w:val="000000"/>
                <w:kern w:val="0"/>
                <w:sz w:val="22"/>
                <w:szCs w:val="22"/>
              </w:rPr>
            </w:pPr>
            <w:r>
              <w:rPr>
                <w:rFonts w:hint="eastAsia" w:eastAsia="等线"/>
                <w:color w:val="000000"/>
                <w:kern w:val="0"/>
                <w:sz w:val="22"/>
                <w:szCs w:val="22"/>
              </w:rPr>
              <w:t>23.63</w:t>
            </w:r>
          </w:p>
        </w:tc>
      </w:tr>
      <w:tr w14:paraId="53955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14" w:type="pct"/>
            <w:vAlign w:val="center"/>
          </w:tcPr>
          <w:p w14:paraId="72EB31D9">
            <w:pPr>
              <w:widowControl/>
              <w:jc w:val="center"/>
              <w:rPr>
                <w:color w:val="000000"/>
                <w:kern w:val="0"/>
                <w:sz w:val="22"/>
                <w:szCs w:val="22"/>
              </w:rPr>
            </w:pPr>
            <w:r>
              <w:rPr>
                <w:color w:val="000000"/>
                <w:kern w:val="0"/>
                <w:sz w:val="22"/>
                <w:szCs w:val="22"/>
              </w:rPr>
              <w:t>农村人口</w:t>
            </w:r>
          </w:p>
        </w:tc>
        <w:tc>
          <w:tcPr>
            <w:tcW w:w="1066" w:type="pct"/>
            <w:vAlign w:val="center"/>
          </w:tcPr>
          <w:p w14:paraId="43E433EA">
            <w:pPr>
              <w:widowControl/>
              <w:jc w:val="center"/>
              <w:rPr>
                <w:rFonts w:eastAsia="等线"/>
                <w:color w:val="000000"/>
                <w:kern w:val="0"/>
                <w:sz w:val="22"/>
                <w:szCs w:val="22"/>
              </w:rPr>
            </w:pPr>
            <w:r>
              <w:rPr>
                <w:rFonts w:eastAsia="等线"/>
                <w:color w:val="000000"/>
                <w:kern w:val="0"/>
                <w:sz w:val="22"/>
                <w:szCs w:val="22"/>
              </w:rPr>
              <w:t>14.59</w:t>
            </w:r>
          </w:p>
        </w:tc>
        <w:tc>
          <w:tcPr>
            <w:tcW w:w="1111" w:type="pct"/>
            <w:vAlign w:val="center"/>
          </w:tcPr>
          <w:p w14:paraId="24A86902">
            <w:pPr>
              <w:widowControl/>
              <w:jc w:val="center"/>
              <w:rPr>
                <w:rFonts w:eastAsia="等线"/>
                <w:color w:val="000000"/>
                <w:kern w:val="0"/>
                <w:sz w:val="22"/>
                <w:szCs w:val="22"/>
              </w:rPr>
            </w:pPr>
            <w:r>
              <w:rPr>
                <w:rFonts w:hint="eastAsia" w:eastAsia="等线"/>
                <w:color w:val="000000"/>
                <w:kern w:val="0"/>
                <w:sz w:val="22"/>
                <w:szCs w:val="22"/>
              </w:rPr>
              <w:t>13.97</w:t>
            </w:r>
          </w:p>
        </w:tc>
        <w:tc>
          <w:tcPr>
            <w:tcW w:w="1109" w:type="pct"/>
            <w:vAlign w:val="center"/>
          </w:tcPr>
          <w:p w14:paraId="6BD132C3">
            <w:pPr>
              <w:widowControl/>
              <w:jc w:val="center"/>
              <w:rPr>
                <w:rFonts w:eastAsia="等线"/>
                <w:color w:val="000000"/>
                <w:kern w:val="0"/>
                <w:sz w:val="22"/>
                <w:szCs w:val="22"/>
              </w:rPr>
            </w:pPr>
            <w:r>
              <w:rPr>
                <w:rFonts w:hint="eastAsia" w:eastAsia="等线"/>
                <w:color w:val="000000"/>
                <w:kern w:val="0"/>
                <w:sz w:val="22"/>
                <w:szCs w:val="22"/>
              </w:rPr>
              <w:t>12.73</w:t>
            </w:r>
          </w:p>
        </w:tc>
      </w:tr>
      <w:tr w14:paraId="71CA9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14" w:type="pct"/>
            <w:vAlign w:val="center"/>
          </w:tcPr>
          <w:p w14:paraId="231704FD">
            <w:pPr>
              <w:widowControl/>
              <w:jc w:val="center"/>
              <w:rPr>
                <w:color w:val="000000"/>
                <w:kern w:val="0"/>
                <w:sz w:val="22"/>
                <w:szCs w:val="22"/>
              </w:rPr>
            </w:pPr>
            <w:r>
              <w:rPr>
                <w:color w:val="000000"/>
                <w:kern w:val="0"/>
                <w:sz w:val="22"/>
                <w:szCs w:val="22"/>
              </w:rPr>
              <w:t>总人口</w:t>
            </w:r>
          </w:p>
        </w:tc>
        <w:tc>
          <w:tcPr>
            <w:tcW w:w="1066" w:type="pct"/>
            <w:vAlign w:val="center"/>
          </w:tcPr>
          <w:p w14:paraId="45272A30">
            <w:pPr>
              <w:widowControl/>
              <w:jc w:val="center"/>
              <w:rPr>
                <w:rFonts w:eastAsia="等线"/>
                <w:color w:val="000000"/>
                <w:kern w:val="0"/>
                <w:sz w:val="22"/>
                <w:szCs w:val="22"/>
              </w:rPr>
            </w:pPr>
            <w:r>
              <w:rPr>
                <w:rFonts w:hint="eastAsia" w:eastAsia="等线"/>
                <w:color w:val="000000"/>
                <w:kern w:val="0"/>
                <w:sz w:val="22"/>
                <w:szCs w:val="22"/>
              </w:rPr>
              <w:t>33.04</w:t>
            </w:r>
          </w:p>
        </w:tc>
        <w:tc>
          <w:tcPr>
            <w:tcW w:w="1111" w:type="pct"/>
            <w:vAlign w:val="center"/>
          </w:tcPr>
          <w:p w14:paraId="0A8A49D5">
            <w:pPr>
              <w:widowControl/>
              <w:jc w:val="center"/>
              <w:rPr>
                <w:rFonts w:eastAsia="等线"/>
                <w:color w:val="000000"/>
                <w:kern w:val="0"/>
                <w:sz w:val="22"/>
                <w:szCs w:val="22"/>
              </w:rPr>
            </w:pPr>
            <w:r>
              <w:rPr>
                <w:rFonts w:hint="eastAsia" w:eastAsia="等线"/>
                <w:color w:val="000000"/>
                <w:kern w:val="0"/>
                <w:sz w:val="22"/>
                <w:szCs w:val="22"/>
              </w:rPr>
              <w:t>34.93</w:t>
            </w:r>
          </w:p>
        </w:tc>
        <w:tc>
          <w:tcPr>
            <w:tcW w:w="1109" w:type="pct"/>
            <w:vAlign w:val="center"/>
          </w:tcPr>
          <w:p w14:paraId="763F3469">
            <w:pPr>
              <w:widowControl/>
              <w:jc w:val="center"/>
              <w:rPr>
                <w:rFonts w:eastAsia="等线"/>
                <w:color w:val="000000"/>
                <w:kern w:val="0"/>
                <w:sz w:val="22"/>
                <w:szCs w:val="22"/>
              </w:rPr>
            </w:pPr>
            <w:r>
              <w:rPr>
                <w:rFonts w:hint="eastAsia" w:eastAsia="等线"/>
                <w:color w:val="000000"/>
                <w:kern w:val="0"/>
                <w:sz w:val="22"/>
                <w:szCs w:val="22"/>
              </w:rPr>
              <w:t>36.36</w:t>
            </w:r>
          </w:p>
        </w:tc>
      </w:tr>
      <w:tr w14:paraId="74BD8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14" w:type="pct"/>
            <w:vAlign w:val="center"/>
          </w:tcPr>
          <w:p w14:paraId="050ECCBD">
            <w:pPr>
              <w:widowControl/>
              <w:jc w:val="center"/>
              <w:rPr>
                <w:color w:val="000000"/>
                <w:kern w:val="0"/>
                <w:sz w:val="22"/>
                <w:szCs w:val="22"/>
              </w:rPr>
            </w:pPr>
            <w:r>
              <w:rPr>
                <w:color w:val="000000"/>
                <w:kern w:val="0"/>
                <w:sz w:val="22"/>
                <w:szCs w:val="22"/>
              </w:rPr>
              <w:t>城镇化率</w:t>
            </w:r>
            <w:r>
              <w:rPr>
                <w:rFonts w:hint="eastAsia"/>
                <w:color w:val="000000"/>
                <w:kern w:val="0"/>
                <w:sz w:val="22"/>
                <w:szCs w:val="22"/>
                <w:lang w:eastAsia="zh-CN"/>
              </w:rPr>
              <w:t>（</w:t>
            </w:r>
            <w:r>
              <w:rPr>
                <w:color w:val="000000"/>
                <w:kern w:val="0"/>
                <w:sz w:val="22"/>
                <w:szCs w:val="22"/>
              </w:rPr>
              <w:t>%</w:t>
            </w:r>
            <w:r>
              <w:rPr>
                <w:rFonts w:hint="eastAsia"/>
                <w:color w:val="000000"/>
                <w:kern w:val="0"/>
                <w:sz w:val="22"/>
                <w:szCs w:val="22"/>
                <w:lang w:eastAsia="zh-CN"/>
              </w:rPr>
              <w:t>）</w:t>
            </w:r>
          </w:p>
        </w:tc>
        <w:tc>
          <w:tcPr>
            <w:tcW w:w="1066" w:type="pct"/>
            <w:vAlign w:val="center"/>
          </w:tcPr>
          <w:p w14:paraId="23D123A3">
            <w:pPr>
              <w:widowControl/>
              <w:jc w:val="center"/>
              <w:rPr>
                <w:rFonts w:eastAsia="等线"/>
                <w:color w:val="000000"/>
                <w:kern w:val="0"/>
                <w:sz w:val="22"/>
                <w:szCs w:val="22"/>
              </w:rPr>
            </w:pPr>
            <w:r>
              <w:rPr>
                <w:rFonts w:hint="eastAsia" w:eastAsia="等线"/>
                <w:color w:val="000000"/>
                <w:kern w:val="0"/>
                <w:sz w:val="22"/>
                <w:szCs w:val="22"/>
              </w:rPr>
              <w:t>55.84</w:t>
            </w:r>
            <w:r>
              <w:rPr>
                <w:rFonts w:eastAsia="等线"/>
                <w:color w:val="000000"/>
                <w:kern w:val="0"/>
                <w:sz w:val="22"/>
                <w:szCs w:val="22"/>
              </w:rPr>
              <w:t>%</w:t>
            </w:r>
          </w:p>
        </w:tc>
        <w:tc>
          <w:tcPr>
            <w:tcW w:w="1111" w:type="pct"/>
            <w:vAlign w:val="center"/>
          </w:tcPr>
          <w:p w14:paraId="2950E7CD">
            <w:pPr>
              <w:widowControl/>
              <w:jc w:val="center"/>
              <w:rPr>
                <w:rFonts w:eastAsia="等线"/>
                <w:color w:val="000000"/>
                <w:kern w:val="0"/>
                <w:sz w:val="22"/>
                <w:szCs w:val="22"/>
              </w:rPr>
            </w:pPr>
            <w:r>
              <w:rPr>
                <w:rFonts w:hint="eastAsia" w:eastAsia="等线"/>
                <w:color w:val="000000"/>
                <w:kern w:val="0"/>
                <w:sz w:val="22"/>
                <w:szCs w:val="22"/>
              </w:rPr>
              <w:t>60</w:t>
            </w:r>
            <w:r>
              <w:rPr>
                <w:rFonts w:eastAsia="等线"/>
                <w:color w:val="000000"/>
                <w:kern w:val="0"/>
                <w:sz w:val="22"/>
                <w:szCs w:val="22"/>
              </w:rPr>
              <w:t>.00%</w:t>
            </w:r>
          </w:p>
        </w:tc>
        <w:tc>
          <w:tcPr>
            <w:tcW w:w="1109" w:type="pct"/>
            <w:vAlign w:val="center"/>
          </w:tcPr>
          <w:p w14:paraId="1FD9772B">
            <w:pPr>
              <w:widowControl/>
              <w:jc w:val="center"/>
              <w:rPr>
                <w:rFonts w:eastAsia="等线"/>
                <w:color w:val="000000"/>
                <w:kern w:val="0"/>
                <w:sz w:val="22"/>
                <w:szCs w:val="22"/>
              </w:rPr>
            </w:pPr>
            <w:r>
              <w:rPr>
                <w:rFonts w:hint="eastAsia" w:eastAsia="等线"/>
                <w:color w:val="000000"/>
                <w:kern w:val="0"/>
                <w:sz w:val="22"/>
                <w:szCs w:val="22"/>
              </w:rPr>
              <w:t>6</w:t>
            </w:r>
            <w:r>
              <w:rPr>
                <w:rFonts w:eastAsia="等线"/>
                <w:color w:val="000000"/>
                <w:kern w:val="0"/>
                <w:sz w:val="22"/>
                <w:szCs w:val="22"/>
              </w:rPr>
              <w:t>5.00%</w:t>
            </w:r>
          </w:p>
        </w:tc>
      </w:tr>
    </w:tbl>
    <w:p w14:paraId="624AF10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bookmarkStart w:id="78" w:name="_Hlk184916113"/>
      <w:r>
        <w:rPr>
          <w:rFonts w:hint="eastAsia"/>
          <w:color w:val="000000" w:themeColor="text1"/>
          <w:sz w:val="28"/>
          <w:szCs w:val="28"/>
        </w:rPr>
        <w:t>农业发展指标</w:t>
      </w:r>
    </w:p>
    <w:p w14:paraId="700E80A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平阴县2</w:t>
      </w:r>
      <w:r>
        <w:rPr>
          <w:color w:val="000000" w:themeColor="text1"/>
          <w:sz w:val="28"/>
          <w:szCs w:val="28"/>
        </w:rPr>
        <w:t>0</w:t>
      </w:r>
      <w:r>
        <w:rPr>
          <w:rFonts w:hint="eastAsia"/>
          <w:color w:val="000000" w:themeColor="text1"/>
          <w:sz w:val="28"/>
          <w:szCs w:val="28"/>
        </w:rPr>
        <w:t>23年总耕地面积为</w:t>
      </w:r>
      <w:r>
        <w:rPr>
          <w:color w:val="000000" w:themeColor="text1"/>
          <w:sz w:val="28"/>
          <w:szCs w:val="28"/>
        </w:rPr>
        <w:t>4</w:t>
      </w:r>
      <w:r>
        <w:rPr>
          <w:rFonts w:hint="eastAsia"/>
          <w:color w:val="000000" w:themeColor="text1"/>
          <w:sz w:val="28"/>
          <w:szCs w:val="28"/>
        </w:rPr>
        <w:t>0.986万亩，按照国家有关土地政策，平阴县今后一段时期的耕地总量将保持动态平衡，本次规划按照基准年的耕地面积进行测算。</w:t>
      </w:r>
    </w:p>
    <w:p w14:paraId="55596BF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0</w:t>
      </w:r>
      <w:r>
        <w:rPr>
          <w:rFonts w:hint="eastAsia"/>
          <w:color w:val="000000" w:themeColor="text1"/>
          <w:sz w:val="28"/>
          <w:szCs w:val="28"/>
        </w:rPr>
        <w:t>23年，全县农田总有效灌溉面积为</w:t>
      </w:r>
      <w:r>
        <w:rPr>
          <w:color w:val="000000" w:themeColor="text1"/>
          <w:sz w:val="28"/>
          <w:szCs w:val="28"/>
        </w:rPr>
        <w:t>28.</w:t>
      </w:r>
      <w:r>
        <w:rPr>
          <w:rFonts w:hint="eastAsia"/>
          <w:color w:val="000000" w:themeColor="text1"/>
          <w:sz w:val="28"/>
          <w:szCs w:val="28"/>
        </w:rPr>
        <w:t>095万亩，农田实际灌溉面积为</w:t>
      </w:r>
      <w:r>
        <w:rPr>
          <w:color w:val="000000" w:themeColor="text1"/>
          <w:sz w:val="28"/>
          <w:szCs w:val="28"/>
        </w:rPr>
        <w:t>2</w:t>
      </w:r>
      <w:r>
        <w:rPr>
          <w:rFonts w:hint="eastAsia"/>
          <w:color w:val="000000" w:themeColor="text1"/>
          <w:sz w:val="28"/>
          <w:szCs w:val="28"/>
        </w:rPr>
        <w:t>6.0万亩，其中水浇地面积为12.68万亩，菜田面积为13.32万亩。</w:t>
      </w:r>
      <w:r>
        <w:rPr>
          <w:color w:val="000000" w:themeColor="text1"/>
          <w:sz w:val="28"/>
          <w:szCs w:val="28"/>
        </w:rPr>
        <w:t>在规划期内，随着</w:t>
      </w:r>
      <w:r>
        <w:rPr>
          <w:rFonts w:hint="eastAsia"/>
          <w:color w:val="000000" w:themeColor="text1"/>
          <w:sz w:val="28"/>
          <w:szCs w:val="28"/>
        </w:rPr>
        <w:t>平阴县内</w:t>
      </w:r>
      <w:r>
        <w:rPr>
          <w:color w:val="000000" w:themeColor="text1"/>
          <w:sz w:val="28"/>
          <w:szCs w:val="28"/>
        </w:rPr>
        <w:t>灌区续建配套与节水改造工程的实施，中低产田改造和水利灌溉系统的完善，积极推进种植结构调整，提高复种指数和作物单产，实现粮食稳产高产和经济作物增收。按照当前</w:t>
      </w:r>
      <w:r>
        <w:rPr>
          <w:rFonts w:hint="eastAsia"/>
          <w:color w:val="000000" w:themeColor="text1"/>
          <w:sz w:val="28"/>
          <w:szCs w:val="28"/>
        </w:rPr>
        <w:t>平阴县农田</w:t>
      </w:r>
      <w:r>
        <w:rPr>
          <w:color w:val="000000" w:themeColor="text1"/>
          <w:sz w:val="28"/>
          <w:szCs w:val="28"/>
        </w:rPr>
        <w:t>水利发展</w:t>
      </w:r>
      <w:r>
        <w:rPr>
          <w:rFonts w:hint="eastAsia"/>
          <w:color w:val="000000" w:themeColor="text1"/>
          <w:sz w:val="28"/>
          <w:szCs w:val="28"/>
        </w:rPr>
        <w:t>形势</w:t>
      </w:r>
      <w:r>
        <w:rPr>
          <w:color w:val="000000" w:themeColor="text1"/>
          <w:sz w:val="28"/>
          <w:szCs w:val="28"/>
        </w:rPr>
        <w:t>，预测</w:t>
      </w:r>
      <w:r>
        <w:rPr>
          <w:rFonts w:hint="eastAsia"/>
          <w:color w:val="000000" w:themeColor="text1"/>
          <w:sz w:val="28"/>
          <w:szCs w:val="28"/>
        </w:rPr>
        <w:t>到</w:t>
      </w:r>
      <w:r>
        <w:rPr>
          <w:color w:val="000000" w:themeColor="text1"/>
          <w:sz w:val="28"/>
          <w:szCs w:val="28"/>
        </w:rPr>
        <w:t>20</w:t>
      </w:r>
      <w:r>
        <w:rPr>
          <w:rFonts w:hint="eastAsia"/>
          <w:color w:val="000000" w:themeColor="text1"/>
          <w:sz w:val="28"/>
          <w:szCs w:val="28"/>
        </w:rPr>
        <w:t>30年全县灌溉面积为</w:t>
      </w:r>
      <w:r>
        <w:rPr>
          <w:color w:val="000000" w:themeColor="text1"/>
          <w:sz w:val="28"/>
          <w:szCs w:val="28"/>
        </w:rPr>
        <w:t>29.</w:t>
      </w:r>
      <w:r>
        <w:rPr>
          <w:rFonts w:hint="eastAsia"/>
          <w:color w:val="000000" w:themeColor="text1"/>
          <w:sz w:val="28"/>
          <w:szCs w:val="28"/>
        </w:rPr>
        <w:t>50万亩，其中水浇地面积为</w:t>
      </w:r>
      <w:r>
        <w:rPr>
          <w:color w:val="000000" w:themeColor="text1"/>
          <w:sz w:val="28"/>
          <w:szCs w:val="28"/>
        </w:rPr>
        <w:t>1</w:t>
      </w:r>
      <w:r>
        <w:rPr>
          <w:rFonts w:hint="eastAsia"/>
          <w:color w:val="000000" w:themeColor="text1"/>
          <w:sz w:val="28"/>
          <w:szCs w:val="28"/>
        </w:rPr>
        <w:t>5.5万亩，菜田面积为</w:t>
      </w:r>
      <w:r>
        <w:rPr>
          <w:color w:val="000000" w:themeColor="text1"/>
          <w:sz w:val="28"/>
          <w:szCs w:val="28"/>
        </w:rPr>
        <w:t>1</w:t>
      </w:r>
      <w:r>
        <w:rPr>
          <w:rFonts w:hint="eastAsia"/>
          <w:color w:val="000000" w:themeColor="text1"/>
          <w:sz w:val="28"/>
          <w:szCs w:val="28"/>
        </w:rPr>
        <w:t>4.0万亩；</w:t>
      </w:r>
      <w:r>
        <w:rPr>
          <w:color w:val="000000" w:themeColor="text1"/>
          <w:sz w:val="28"/>
          <w:szCs w:val="28"/>
        </w:rPr>
        <w:t>预测</w:t>
      </w:r>
      <w:r>
        <w:rPr>
          <w:rFonts w:hint="eastAsia"/>
          <w:color w:val="000000" w:themeColor="text1"/>
          <w:sz w:val="28"/>
          <w:szCs w:val="28"/>
        </w:rPr>
        <w:t>到</w:t>
      </w:r>
      <w:r>
        <w:rPr>
          <w:color w:val="000000" w:themeColor="text1"/>
          <w:sz w:val="28"/>
          <w:szCs w:val="28"/>
        </w:rPr>
        <w:t>2035</w:t>
      </w:r>
      <w:r>
        <w:rPr>
          <w:rFonts w:hint="eastAsia"/>
          <w:color w:val="000000" w:themeColor="text1"/>
          <w:sz w:val="28"/>
          <w:szCs w:val="28"/>
        </w:rPr>
        <w:t>年全县灌溉面积为</w:t>
      </w:r>
      <w:r>
        <w:rPr>
          <w:color w:val="000000" w:themeColor="text1"/>
          <w:sz w:val="28"/>
          <w:szCs w:val="28"/>
        </w:rPr>
        <w:t>3</w:t>
      </w:r>
      <w:r>
        <w:rPr>
          <w:rFonts w:hint="eastAsia"/>
          <w:color w:val="000000" w:themeColor="text1"/>
          <w:sz w:val="28"/>
          <w:szCs w:val="28"/>
        </w:rPr>
        <w:t>2.0万亩，其中水浇地面积为17.0万亩，菜田面积为</w:t>
      </w:r>
      <w:r>
        <w:rPr>
          <w:color w:val="000000" w:themeColor="text1"/>
          <w:sz w:val="28"/>
          <w:szCs w:val="28"/>
        </w:rPr>
        <w:t>15</w:t>
      </w:r>
      <w:r>
        <w:rPr>
          <w:rFonts w:hint="eastAsia"/>
          <w:color w:val="000000" w:themeColor="text1"/>
          <w:sz w:val="28"/>
          <w:szCs w:val="28"/>
        </w:rPr>
        <w:t>.0万亩。</w:t>
      </w:r>
    </w:p>
    <w:p w14:paraId="7B8979CD">
      <w:pPr>
        <w:tabs>
          <w:tab w:val="left" w:pos="5400"/>
        </w:tabs>
        <w:spacing w:line="600" w:lineRule="exact"/>
        <w:ind w:firstLine="560" w:firstLineChars="200"/>
        <w:rPr>
          <w:sz w:val="28"/>
          <w:szCs w:val="28"/>
          <w:lang w:val="zh-CN"/>
        </w:rPr>
      </w:pPr>
      <w:r>
        <w:rPr>
          <w:rFonts w:hint="eastAsia"/>
          <w:kern w:val="0"/>
          <w:sz w:val="28"/>
          <w:szCs w:val="28"/>
        </w:rPr>
        <w:t>2</w:t>
      </w:r>
      <w:r>
        <w:rPr>
          <w:kern w:val="0"/>
          <w:sz w:val="28"/>
          <w:szCs w:val="28"/>
        </w:rPr>
        <w:t>0</w:t>
      </w:r>
      <w:r>
        <w:rPr>
          <w:rFonts w:hint="eastAsia"/>
          <w:kern w:val="0"/>
          <w:sz w:val="28"/>
          <w:szCs w:val="28"/>
        </w:rPr>
        <w:t>23年，平阴县</w:t>
      </w:r>
      <w:r>
        <w:rPr>
          <w:kern w:val="0"/>
          <w:sz w:val="28"/>
          <w:szCs w:val="28"/>
        </w:rPr>
        <w:t>灌溉林果地</w:t>
      </w:r>
      <w:r>
        <w:rPr>
          <w:rFonts w:hint="eastAsia"/>
          <w:kern w:val="0"/>
          <w:sz w:val="28"/>
          <w:szCs w:val="28"/>
        </w:rPr>
        <w:t>面积</w:t>
      </w:r>
      <w:r>
        <w:rPr>
          <w:kern w:val="0"/>
          <w:sz w:val="28"/>
          <w:szCs w:val="28"/>
        </w:rPr>
        <w:t>为1</w:t>
      </w:r>
      <w:r>
        <w:rPr>
          <w:rFonts w:hint="eastAsia"/>
          <w:kern w:val="0"/>
          <w:sz w:val="28"/>
          <w:szCs w:val="28"/>
        </w:rPr>
        <w:t>6.5</w:t>
      </w:r>
      <w:r>
        <w:rPr>
          <w:kern w:val="0"/>
          <w:sz w:val="28"/>
          <w:szCs w:val="28"/>
        </w:rPr>
        <w:t>5万亩</w:t>
      </w:r>
      <w:r>
        <w:rPr>
          <w:rFonts w:hint="eastAsia"/>
          <w:kern w:val="0"/>
          <w:sz w:val="28"/>
          <w:szCs w:val="28"/>
        </w:rPr>
        <w:t>，园地面积为0.5</w:t>
      </w:r>
      <w:r>
        <w:rPr>
          <w:kern w:val="0"/>
          <w:sz w:val="28"/>
          <w:szCs w:val="28"/>
        </w:rPr>
        <w:t>万亩</w:t>
      </w:r>
      <w:r>
        <w:rPr>
          <w:rFonts w:hint="eastAsia"/>
          <w:kern w:val="0"/>
          <w:sz w:val="28"/>
          <w:szCs w:val="28"/>
        </w:rPr>
        <w:t>，鱼塘面积为0</w:t>
      </w:r>
      <w:r>
        <w:rPr>
          <w:kern w:val="0"/>
          <w:sz w:val="28"/>
          <w:szCs w:val="28"/>
        </w:rPr>
        <w:t>.</w:t>
      </w:r>
      <w:r>
        <w:rPr>
          <w:rFonts w:hint="eastAsia"/>
          <w:kern w:val="0"/>
          <w:sz w:val="28"/>
          <w:szCs w:val="28"/>
        </w:rPr>
        <w:t>129</w:t>
      </w:r>
      <w:r>
        <w:rPr>
          <w:kern w:val="0"/>
          <w:sz w:val="28"/>
          <w:szCs w:val="28"/>
        </w:rPr>
        <w:t>万亩</w:t>
      </w:r>
      <w:r>
        <w:rPr>
          <w:rFonts w:hint="eastAsia"/>
          <w:kern w:val="0"/>
          <w:sz w:val="28"/>
          <w:szCs w:val="28"/>
        </w:rPr>
        <w:t>。预测2</w:t>
      </w:r>
      <w:r>
        <w:rPr>
          <w:kern w:val="0"/>
          <w:sz w:val="28"/>
          <w:szCs w:val="28"/>
        </w:rPr>
        <w:t>0</w:t>
      </w:r>
      <w:r>
        <w:rPr>
          <w:rFonts w:hint="eastAsia"/>
          <w:kern w:val="0"/>
          <w:sz w:val="28"/>
          <w:szCs w:val="28"/>
        </w:rPr>
        <w:t>30年全县灌溉林果地面积为</w:t>
      </w:r>
      <w:r>
        <w:rPr>
          <w:kern w:val="0"/>
          <w:sz w:val="28"/>
          <w:szCs w:val="28"/>
        </w:rPr>
        <w:t>1</w:t>
      </w:r>
      <w:r>
        <w:rPr>
          <w:rFonts w:hint="eastAsia"/>
          <w:kern w:val="0"/>
          <w:sz w:val="28"/>
          <w:szCs w:val="28"/>
        </w:rPr>
        <w:t>7</w:t>
      </w:r>
      <w:r>
        <w:rPr>
          <w:kern w:val="0"/>
          <w:sz w:val="28"/>
          <w:szCs w:val="28"/>
        </w:rPr>
        <w:t>.0万亩</w:t>
      </w:r>
      <w:r>
        <w:rPr>
          <w:rFonts w:hint="eastAsia"/>
          <w:kern w:val="0"/>
          <w:sz w:val="28"/>
          <w:szCs w:val="28"/>
        </w:rPr>
        <w:t>，园地面积为0.6</w:t>
      </w:r>
      <w:r>
        <w:rPr>
          <w:kern w:val="0"/>
          <w:sz w:val="28"/>
          <w:szCs w:val="28"/>
        </w:rPr>
        <w:t>万亩</w:t>
      </w:r>
      <w:r>
        <w:rPr>
          <w:rFonts w:hint="eastAsia"/>
          <w:kern w:val="0"/>
          <w:sz w:val="28"/>
          <w:szCs w:val="28"/>
        </w:rPr>
        <w:t>，鱼塘面积为0</w:t>
      </w:r>
      <w:r>
        <w:rPr>
          <w:kern w:val="0"/>
          <w:sz w:val="28"/>
          <w:szCs w:val="28"/>
        </w:rPr>
        <w:t>.</w:t>
      </w:r>
      <w:r>
        <w:rPr>
          <w:rFonts w:hint="eastAsia"/>
          <w:kern w:val="0"/>
          <w:sz w:val="28"/>
          <w:szCs w:val="28"/>
        </w:rPr>
        <w:t>13</w:t>
      </w:r>
      <w:r>
        <w:rPr>
          <w:kern w:val="0"/>
          <w:sz w:val="28"/>
          <w:szCs w:val="28"/>
        </w:rPr>
        <w:t>万亩</w:t>
      </w:r>
      <w:r>
        <w:rPr>
          <w:rFonts w:hint="eastAsia"/>
          <w:kern w:val="0"/>
          <w:sz w:val="28"/>
          <w:szCs w:val="28"/>
        </w:rPr>
        <w:t>；</w:t>
      </w:r>
      <w:r>
        <w:rPr>
          <w:kern w:val="0"/>
          <w:sz w:val="28"/>
          <w:szCs w:val="28"/>
        </w:rPr>
        <w:t>2035</w:t>
      </w:r>
      <w:r>
        <w:rPr>
          <w:rFonts w:hint="eastAsia"/>
          <w:kern w:val="0"/>
          <w:sz w:val="28"/>
          <w:szCs w:val="28"/>
        </w:rPr>
        <w:t>年全县灌溉林果地面积为</w:t>
      </w:r>
      <w:r>
        <w:rPr>
          <w:kern w:val="0"/>
          <w:sz w:val="28"/>
          <w:szCs w:val="28"/>
        </w:rPr>
        <w:t>1</w:t>
      </w:r>
      <w:r>
        <w:rPr>
          <w:rFonts w:hint="eastAsia"/>
          <w:kern w:val="0"/>
          <w:sz w:val="28"/>
          <w:szCs w:val="28"/>
        </w:rPr>
        <w:t>7.5</w:t>
      </w:r>
      <w:r>
        <w:rPr>
          <w:kern w:val="0"/>
          <w:sz w:val="28"/>
          <w:szCs w:val="28"/>
        </w:rPr>
        <w:t>万亩</w:t>
      </w:r>
      <w:r>
        <w:rPr>
          <w:rFonts w:hint="eastAsia"/>
          <w:kern w:val="0"/>
          <w:sz w:val="28"/>
          <w:szCs w:val="28"/>
        </w:rPr>
        <w:t>，园地面积为0.65</w:t>
      </w:r>
      <w:r>
        <w:rPr>
          <w:kern w:val="0"/>
          <w:sz w:val="28"/>
          <w:szCs w:val="28"/>
        </w:rPr>
        <w:t>万亩</w:t>
      </w:r>
      <w:r>
        <w:rPr>
          <w:rFonts w:hint="eastAsia"/>
          <w:kern w:val="0"/>
          <w:sz w:val="28"/>
          <w:szCs w:val="28"/>
        </w:rPr>
        <w:t>，鱼塘面积为0</w:t>
      </w:r>
      <w:r>
        <w:rPr>
          <w:kern w:val="0"/>
          <w:sz w:val="28"/>
          <w:szCs w:val="28"/>
        </w:rPr>
        <w:t>.</w:t>
      </w:r>
      <w:r>
        <w:rPr>
          <w:rFonts w:hint="eastAsia"/>
          <w:kern w:val="0"/>
          <w:sz w:val="28"/>
          <w:szCs w:val="28"/>
        </w:rPr>
        <w:t>14</w:t>
      </w:r>
      <w:r>
        <w:rPr>
          <w:kern w:val="0"/>
          <w:sz w:val="28"/>
          <w:szCs w:val="28"/>
        </w:rPr>
        <w:t>万亩</w:t>
      </w:r>
      <w:r>
        <w:rPr>
          <w:rFonts w:hint="eastAsia"/>
          <w:kern w:val="0"/>
          <w:sz w:val="28"/>
          <w:szCs w:val="28"/>
        </w:rPr>
        <w:t>。</w:t>
      </w:r>
    </w:p>
    <w:p w14:paraId="064F4E53">
      <w:pPr>
        <w:tabs>
          <w:tab w:val="left" w:pos="5400"/>
        </w:tabs>
        <w:spacing w:line="600" w:lineRule="exact"/>
        <w:ind w:firstLine="560" w:firstLineChars="200"/>
        <w:rPr>
          <w:kern w:val="0"/>
          <w:sz w:val="28"/>
          <w:szCs w:val="28"/>
        </w:rPr>
      </w:pPr>
      <w:r>
        <w:rPr>
          <w:rFonts w:hint="eastAsia"/>
          <w:kern w:val="0"/>
          <w:sz w:val="28"/>
          <w:szCs w:val="28"/>
        </w:rPr>
        <w:t>2</w:t>
      </w:r>
      <w:r>
        <w:rPr>
          <w:kern w:val="0"/>
          <w:sz w:val="28"/>
          <w:szCs w:val="28"/>
        </w:rPr>
        <w:t>0</w:t>
      </w:r>
      <w:r>
        <w:rPr>
          <w:rFonts w:hint="eastAsia"/>
          <w:kern w:val="0"/>
          <w:sz w:val="28"/>
          <w:szCs w:val="28"/>
        </w:rPr>
        <w:t>23年，平阴县共有大牲畜</w:t>
      </w:r>
      <w:r>
        <w:rPr>
          <w:kern w:val="0"/>
          <w:sz w:val="28"/>
          <w:szCs w:val="28"/>
        </w:rPr>
        <w:t>2.</w:t>
      </w:r>
      <w:r>
        <w:rPr>
          <w:rFonts w:hint="eastAsia"/>
          <w:kern w:val="0"/>
          <w:sz w:val="28"/>
          <w:szCs w:val="28"/>
        </w:rPr>
        <w:t>86万头，小牲畜20.86万头，家禽275.57万头。预测到2</w:t>
      </w:r>
      <w:r>
        <w:rPr>
          <w:kern w:val="0"/>
          <w:sz w:val="28"/>
          <w:szCs w:val="28"/>
        </w:rPr>
        <w:t>0</w:t>
      </w:r>
      <w:r>
        <w:rPr>
          <w:rFonts w:hint="eastAsia"/>
          <w:kern w:val="0"/>
          <w:sz w:val="28"/>
          <w:szCs w:val="28"/>
        </w:rPr>
        <w:t>30年全县存栏大牲畜3.0万头，小牲畜21万头，家禽280万头；预测到2</w:t>
      </w:r>
      <w:r>
        <w:rPr>
          <w:kern w:val="0"/>
          <w:sz w:val="28"/>
          <w:szCs w:val="28"/>
        </w:rPr>
        <w:t>035</w:t>
      </w:r>
      <w:r>
        <w:rPr>
          <w:rFonts w:hint="eastAsia"/>
          <w:kern w:val="0"/>
          <w:sz w:val="28"/>
          <w:szCs w:val="28"/>
        </w:rPr>
        <w:t>年全县存栏大牲畜</w:t>
      </w:r>
      <w:r>
        <w:rPr>
          <w:kern w:val="0"/>
          <w:sz w:val="28"/>
          <w:szCs w:val="28"/>
        </w:rPr>
        <w:t>3.</w:t>
      </w:r>
      <w:r>
        <w:rPr>
          <w:rFonts w:hint="eastAsia"/>
          <w:kern w:val="0"/>
          <w:sz w:val="28"/>
          <w:szCs w:val="28"/>
        </w:rPr>
        <w:t>1万头，小牲畜22万头，家禽285万头。</w:t>
      </w:r>
    </w:p>
    <w:bookmarkEnd w:id="78"/>
    <w:p w14:paraId="2FF5F6B5">
      <w:pPr>
        <w:tabs>
          <w:tab w:val="left" w:pos="5400"/>
        </w:tabs>
        <w:spacing w:line="600" w:lineRule="exact"/>
        <w:ind w:firstLine="560" w:firstLineChars="200"/>
        <w:rPr>
          <w:sz w:val="28"/>
          <w:szCs w:val="28"/>
          <w:lang w:val="zh-CN"/>
        </w:rPr>
      </w:pPr>
      <w:bookmarkStart w:id="79" w:name="_Hlk184916234"/>
      <w:r>
        <w:rPr>
          <w:rFonts w:hint="eastAsia"/>
          <w:sz w:val="28"/>
          <w:szCs w:val="28"/>
          <w:lang w:val="zh-CN"/>
        </w:rPr>
        <w:t>3、工业发展指标</w:t>
      </w:r>
    </w:p>
    <w:p w14:paraId="0A06489C">
      <w:pPr>
        <w:tabs>
          <w:tab w:val="left" w:pos="5400"/>
        </w:tabs>
        <w:spacing w:line="600" w:lineRule="exact"/>
        <w:ind w:firstLine="560" w:firstLineChars="200"/>
        <w:rPr>
          <w:sz w:val="28"/>
          <w:szCs w:val="28"/>
          <w:lang w:val="zh-CN"/>
        </w:rPr>
      </w:pPr>
      <w:r>
        <w:rPr>
          <w:rFonts w:hint="eastAsia"/>
          <w:sz w:val="28"/>
          <w:szCs w:val="28"/>
          <w:lang w:val="zh-CN"/>
        </w:rPr>
        <w:t>2</w:t>
      </w:r>
      <w:r>
        <w:rPr>
          <w:sz w:val="28"/>
          <w:szCs w:val="28"/>
          <w:lang w:val="zh-CN"/>
        </w:rPr>
        <w:t>0</w:t>
      </w:r>
      <w:r>
        <w:rPr>
          <w:rFonts w:hint="eastAsia"/>
          <w:sz w:val="28"/>
          <w:szCs w:val="28"/>
          <w:lang w:val="zh-CN"/>
        </w:rPr>
        <w:t>23年，平阴县工业增加值为</w:t>
      </w:r>
      <w:r>
        <w:rPr>
          <w:sz w:val="28"/>
          <w:szCs w:val="28"/>
          <w:lang w:val="zh-CN"/>
        </w:rPr>
        <w:t>1</w:t>
      </w:r>
      <w:r>
        <w:rPr>
          <w:rFonts w:hint="eastAsia"/>
          <w:sz w:val="28"/>
          <w:szCs w:val="28"/>
          <w:lang w:val="zh-CN"/>
        </w:rPr>
        <w:t>32.2亿元。根据</w:t>
      </w:r>
      <w:r>
        <w:rPr>
          <w:sz w:val="28"/>
          <w:szCs w:val="28"/>
        </w:rPr>
        <w:t>《</w:t>
      </w:r>
      <w:r>
        <w:rPr>
          <w:rFonts w:hint="eastAsia"/>
          <w:sz w:val="28"/>
          <w:szCs w:val="28"/>
        </w:rPr>
        <w:t>平阴县国民经济和社会发展第十四个五年规划和二〇三五年远景目标纲要</w:t>
      </w:r>
      <w:r>
        <w:rPr>
          <w:sz w:val="28"/>
          <w:szCs w:val="28"/>
        </w:rPr>
        <w:t>》</w:t>
      </w:r>
      <w:r>
        <w:rPr>
          <w:rFonts w:hint="eastAsia"/>
          <w:sz w:val="28"/>
          <w:szCs w:val="28"/>
          <w:lang w:val="zh-CN"/>
        </w:rPr>
        <w:t>和《平阴县水资源综合利用中长期规划（2016~2030）》及相关的远景规划，确定2</w:t>
      </w:r>
      <w:r>
        <w:rPr>
          <w:sz w:val="28"/>
          <w:szCs w:val="28"/>
          <w:lang w:val="zh-CN"/>
        </w:rPr>
        <w:t>0</w:t>
      </w:r>
      <w:r>
        <w:rPr>
          <w:rFonts w:hint="eastAsia"/>
          <w:sz w:val="28"/>
          <w:szCs w:val="28"/>
          <w:lang w:val="zh-CN"/>
        </w:rPr>
        <w:t>24—</w:t>
      </w:r>
      <w:r>
        <w:rPr>
          <w:sz w:val="28"/>
          <w:szCs w:val="28"/>
          <w:lang w:val="zh-CN"/>
        </w:rPr>
        <w:t>20</w:t>
      </w:r>
      <w:r>
        <w:rPr>
          <w:rFonts w:hint="eastAsia"/>
          <w:sz w:val="28"/>
          <w:szCs w:val="28"/>
          <w:lang w:val="zh-CN"/>
        </w:rPr>
        <w:t>30年平阴县工业年均增长率为8</w:t>
      </w:r>
      <w:r>
        <w:rPr>
          <w:sz w:val="28"/>
          <w:szCs w:val="28"/>
          <w:lang w:val="zh-CN"/>
        </w:rPr>
        <w:t>.0</w:t>
      </w:r>
      <w:r>
        <w:rPr>
          <w:rFonts w:hint="eastAsia"/>
          <w:sz w:val="28"/>
          <w:szCs w:val="28"/>
          <w:lang w:val="zh-CN"/>
        </w:rPr>
        <w:t>%，2</w:t>
      </w:r>
      <w:r>
        <w:rPr>
          <w:sz w:val="28"/>
          <w:szCs w:val="28"/>
          <w:lang w:val="zh-CN"/>
        </w:rPr>
        <w:t>0</w:t>
      </w:r>
      <w:r>
        <w:rPr>
          <w:rFonts w:hint="eastAsia"/>
          <w:sz w:val="28"/>
          <w:szCs w:val="28"/>
          <w:lang w:val="zh-CN"/>
        </w:rPr>
        <w:t>31—</w:t>
      </w:r>
      <w:r>
        <w:rPr>
          <w:sz w:val="28"/>
          <w:szCs w:val="28"/>
          <w:lang w:val="zh-CN"/>
        </w:rPr>
        <w:t>20</w:t>
      </w:r>
      <w:r>
        <w:rPr>
          <w:rFonts w:hint="eastAsia"/>
          <w:sz w:val="28"/>
          <w:szCs w:val="28"/>
          <w:lang w:val="zh-CN"/>
        </w:rPr>
        <w:t>35年平阴县工业年均增长率为6</w:t>
      </w:r>
      <w:r>
        <w:rPr>
          <w:sz w:val="28"/>
          <w:szCs w:val="28"/>
          <w:lang w:val="zh-CN"/>
        </w:rPr>
        <w:t>.0</w:t>
      </w:r>
      <w:r>
        <w:rPr>
          <w:rFonts w:hint="eastAsia"/>
          <w:sz w:val="28"/>
          <w:szCs w:val="28"/>
          <w:lang w:val="zh-CN"/>
        </w:rPr>
        <w:t>%。由此预测，2</w:t>
      </w:r>
      <w:r>
        <w:rPr>
          <w:sz w:val="28"/>
          <w:szCs w:val="28"/>
          <w:lang w:val="zh-CN"/>
        </w:rPr>
        <w:t>0</w:t>
      </w:r>
      <w:r>
        <w:rPr>
          <w:rFonts w:hint="eastAsia"/>
          <w:sz w:val="28"/>
          <w:szCs w:val="28"/>
          <w:lang w:val="zh-CN"/>
        </w:rPr>
        <w:t>30年全县工业增加值为226.6亿元，2</w:t>
      </w:r>
      <w:r>
        <w:rPr>
          <w:sz w:val="28"/>
          <w:szCs w:val="28"/>
          <w:lang w:val="zh-CN"/>
        </w:rPr>
        <w:t>035</w:t>
      </w:r>
      <w:r>
        <w:rPr>
          <w:rFonts w:hint="eastAsia"/>
          <w:sz w:val="28"/>
          <w:szCs w:val="28"/>
          <w:lang w:val="zh-CN"/>
        </w:rPr>
        <w:t>年工业增加值为303.2亿元。</w:t>
      </w:r>
    </w:p>
    <w:bookmarkEnd w:id="79"/>
    <w:p w14:paraId="1D286CF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二、需水预测</w:t>
      </w:r>
    </w:p>
    <w:p w14:paraId="09C0FC1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1、需水预测原则、内容和方法</w:t>
      </w:r>
    </w:p>
    <w:p w14:paraId="4B94B0A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（1）需水预测原则</w:t>
      </w:r>
    </w:p>
    <w:p w14:paraId="224A323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需水预测的原则是因地制宜，以社会经济发展需要为依据，以现状用水水平为基础，微观与宏观相结合，注意整体的合理性；实行科学用水，厉行节约用水，以“节流”为主，“开源”为辅。</w:t>
      </w:r>
    </w:p>
    <w:p w14:paraId="1375344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（2）需水预测内容</w:t>
      </w:r>
    </w:p>
    <w:p w14:paraId="12629E5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本次预测以2023年为现状基准年，近期、远期规划水平年分别为2030年、2035年。根据研究目的和需水量预测精度要求，结合平阴县实际用水水平，以及将来加大各行业节水投入力度，强化需水管理，落实最严格水资源管理相关要求，进一步提高各行业的用水效率和节水水平等，分别按城镇生活、农村生活、工业、农业、生态环境需水等进行分类预测需水量。</w:t>
      </w:r>
    </w:p>
    <w:p w14:paraId="6C62668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由于农田灌溉需水受降水直接影响较大，根据国家有关需水预测技术规范要求，农田灌溉需水量按照平水年、枯水年、特枯水年三种情况进行分析；居民生活、工业、农业、林牧渔畜、河道外生态环境需水等，受降水直接影响较小，需水量基本稳定，按相应技术规范要求按不同保证率（三种情况）进行预测。</w:t>
      </w:r>
    </w:p>
    <w:p w14:paraId="19FF2EA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本次需水预测是在现状年节水水平和相应的节水措施基础上，参照《山东省水资源综合利用中长期规划》和《平阴县水资源综合利用中长期规划（2016~2030）》等规划成果中确定的各类用水效率和节水目标等，确定规划水平年的用水定额，预测其需水量。</w:t>
      </w:r>
    </w:p>
    <w:p w14:paraId="38F4AAF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（3）需</w:t>
      </w:r>
      <w:bookmarkStart w:id="80" w:name="_Hlk184978015"/>
      <w:r>
        <w:rPr>
          <w:rFonts w:hint="eastAsia"/>
          <w:color w:val="000000" w:themeColor="text1"/>
          <w:sz w:val="28"/>
          <w:szCs w:val="28"/>
        </w:rPr>
        <w:t>水预测方法</w:t>
      </w:r>
    </w:p>
    <w:p w14:paraId="7E0E622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本次规划的需水预测在总结分析已有相关规划需水预测的基础上，按照《水资源供需预测分析技术规范》（SL429-2008），运用分类定额法分别进行各规划水平年内的需水预测。以</w:t>
      </w:r>
      <w:r>
        <w:rPr>
          <w:sz w:val="28"/>
          <w:szCs w:val="28"/>
        </w:rPr>
        <w:t>《</w:t>
      </w:r>
      <w:r>
        <w:rPr>
          <w:rFonts w:hint="eastAsia"/>
          <w:sz w:val="28"/>
          <w:szCs w:val="28"/>
        </w:rPr>
        <w:t>平阴县国民经济和社会发展第十四个五年规划和二〇三五年远景目标纲要</w:t>
      </w:r>
      <w:r>
        <w:rPr>
          <w:sz w:val="28"/>
          <w:szCs w:val="28"/>
        </w:rPr>
        <w:t>》</w:t>
      </w:r>
      <w:r>
        <w:rPr>
          <w:rFonts w:hint="eastAsia"/>
          <w:color w:val="000000" w:themeColor="text1"/>
          <w:sz w:val="28"/>
          <w:szCs w:val="28"/>
        </w:rPr>
        <w:t>《平阴县城市总体规划》《平阴县现代水网建设规划》《平阴县水资源综合利用中长期规划（2016—2030）》等专项规划为基础，预测人口（城镇人口和农村人口）、国民经济及土地利用指标发展情况，结合用水指标，进行定额分析计算，得出平阴县规划水平年内各分区的需水量。在水资源需求方面，按满足经济增长、社会发展和城市生态环境保护要求计算。生活用水考虑人口的增长、人民生活水平提高等；工业用水考虑经济发展，经济、社会发展所导致的产业结构调整和各部门经济量的相对变化；农业用水考虑高效节水灌溉技术推广等。</w:t>
      </w:r>
    </w:p>
    <w:bookmarkEnd w:id="80"/>
    <w:p w14:paraId="75FB3A34">
      <w:pPr>
        <w:tabs>
          <w:tab w:val="left" w:pos="5400"/>
        </w:tabs>
        <w:spacing w:line="600" w:lineRule="exact"/>
        <w:ind w:firstLine="560" w:firstLineChars="200"/>
        <w:rPr>
          <w:sz w:val="28"/>
          <w:szCs w:val="28"/>
        </w:rPr>
      </w:pPr>
      <w:r>
        <w:rPr>
          <w:rFonts w:hint="eastAsia"/>
          <w:sz w:val="28"/>
          <w:szCs w:val="28"/>
        </w:rPr>
        <w:t>2、</w:t>
      </w:r>
      <w:bookmarkStart w:id="81" w:name="_Hlk184978224"/>
      <w:r>
        <w:rPr>
          <w:sz w:val="28"/>
          <w:szCs w:val="28"/>
        </w:rPr>
        <w:t>生活需水预测</w:t>
      </w:r>
    </w:p>
    <w:bookmarkEnd w:id="81"/>
    <w:p w14:paraId="41F4CEC8">
      <w:pPr>
        <w:autoSpaceDE w:val="0"/>
        <w:autoSpaceDN w:val="0"/>
        <w:spacing w:line="600" w:lineRule="exact"/>
        <w:ind w:firstLine="560" w:firstLineChars="200"/>
        <w:textAlignment w:val="baseline"/>
        <w:rPr>
          <w:kern w:val="0"/>
          <w:sz w:val="28"/>
          <w:szCs w:val="28"/>
          <w:lang w:val="zh-CN"/>
        </w:rPr>
      </w:pPr>
      <w:bookmarkStart w:id="82" w:name="_Hlk184978236"/>
      <w:r>
        <w:rPr>
          <w:kern w:val="0"/>
          <w:sz w:val="28"/>
          <w:szCs w:val="28"/>
          <w:lang w:val="zh-CN"/>
        </w:rPr>
        <w:t>生活需水包括城镇居民和农村居民两类，需水量采用人均日用水量法进行预测。20</w:t>
      </w:r>
      <w:r>
        <w:rPr>
          <w:rFonts w:hint="eastAsia"/>
          <w:kern w:val="0"/>
          <w:sz w:val="28"/>
          <w:szCs w:val="28"/>
          <w:lang w:val="zh-CN"/>
        </w:rPr>
        <w:t>23</w:t>
      </w:r>
      <w:r>
        <w:rPr>
          <w:kern w:val="0"/>
          <w:sz w:val="28"/>
          <w:szCs w:val="28"/>
          <w:lang w:val="zh-CN"/>
        </w:rPr>
        <w:t>年平阴县</w:t>
      </w:r>
      <w:r>
        <w:rPr>
          <w:rFonts w:hint="eastAsia"/>
          <w:color w:val="000000" w:themeColor="text1"/>
          <w:sz w:val="28"/>
          <w:szCs w:val="28"/>
        </w:rPr>
        <w:t>常住</w:t>
      </w:r>
      <w:r>
        <w:rPr>
          <w:kern w:val="0"/>
          <w:sz w:val="28"/>
          <w:szCs w:val="28"/>
          <w:lang w:val="zh-CN"/>
        </w:rPr>
        <w:t>总人口为</w:t>
      </w:r>
      <w:r>
        <w:rPr>
          <w:rFonts w:hint="eastAsia"/>
          <w:kern w:val="0"/>
          <w:sz w:val="28"/>
          <w:szCs w:val="28"/>
          <w:lang w:val="zh-CN"/>
        </w:rPr>
        <w:t>33.04</w:t>
      </w:r>
      <w:r>
        <w:rPr>
          <w:kern w:val="0"/>
          <w:sz w:val="28"/>
          <w:szCs w:val="28"/>
          <w:lang w:val="zh-CN"/>
        </w:rPr>
        <w:t>万人，城镇人口为1</w:t>
      </w:r>
      <w:r>
        <w:rPr>
          <w:rFonts w:hint="eastAsia"/>
          <w:kern w:val="0"/>
          <w:sz w:val="28"/>
          <w:szCs w:val="28"/>
          <w:lang w:val="zh-CN"/>
        </w:rPr>
        <w:t>8.45</w:t>
      </w:r>
      <w:r>
        <w:rPr>
          <w:kern w:val="0"/>
          <w:sz w:val="28"/>
          <w:szCs w:val="28"/>
          <w:lang w:val="zh-CN"/>
        </w:rPr>
        <w:t>万人，农村人口数</w:t>
      </w:r>
      <w:r>
        <w:rPr>
          <w:rFonts w:hint="eastAsia"/>
          <w:kern w:val="0"/>
          <w:sz w:val="28"/>
          <w:szCs w:val="28"/>
          <w:lang w:val="zh-CN"/>
        </w:rPr>
        <w:t>14.59</w:t>
      </w:r>
      <w:r>
        <w:rPr>
          <w:kern w:val="0"/>
          <w:sz w:val="28"/>
          <w:szCs w:val="28"/>
          <w:lang w:val="zh-CN"/>
        </w:rPr>
        <w:t>万人。</w:t>
      </w:r>
    </w:p>
    <w:bookmarkEnd w:id="82"/>
    <w:p w14:paraId="24D9D41E">
      <w:pPr>
        <w:tabs>
          <w:tab w:val="left" w:pos="5400"/>
        </w:tabs>
        <w:spacing w:line="600" w:lineRule="exact"/>
        <w:ind w:firstLine="560" w:firstLineChars="200"/>
        <w:rPr>
          <w:sz w:val="28"/>
          <w:szCs w:val="28"/>
        </w:rPr>
      </w:pPr>
      <w:r>
        <w:rPr>
          <w:sz w:val="28"/>
          <w:szCs w:val="28"/>
        </w:rPr>
        <w:t>根据经济社会发展水平、人均收入水平、水价水平、节水器具推广与普及情况，结合生活用水习惯</w:t>
      </w:r>
      <w:r>
        <w:rPr>
          <w:rFonts w:hint="eastAsia"/>
          <w:sz w:val="28"/>
          <w:szCs w:val="28"/>
        </w:rPr>
        <w:t>、</w:t>
      </w:r>
      <w:r>
        <w:rPr>
          <w:sz w:val="28"/>
          <w:szCs w:val="28"/>
        </w:rPr>
        <w:t>现状用水水平</w:t>
      </w:r>
      <w:r>
        <w:rPr>
          <w:rFonts w:hint="eastAsia"/>
          <w:sz w:val="28"/>
          <w:szCs w:val="28"/>
        </w:rPr>
        <w:t>，</w:t>
      </w:r>
      <w:r>
        <w:rPr>
          <w:sz w:val="28"/>
          <w:szCs w:val="28"/>
        </w:rPr>
        <w:t>参考国内外同类地区或城市生活用水定额水平，参照建设部门制定的居民生活用水定额，</w:t>
      </w:r>
      <w:r>
        <w:rPr>
          <w:rFonts w:hint="eastAsia"/>
          <w:sz w:val="28"/>
          <w:szCs w:val="28"/>
        </w:rPr>
        <w:t>以确定平阴县</w:t>
      </w:r>
      <w:r>
        <w:rPr>
          <w:sz w:val="28"/>
          <w:szCs w:val="28"/>
        </w:rPr>
        <w:t>各水平年城镇居民生活用水定额。</w:t>
      </w:r>
    </w:p>
    <w:p w14:paraId="1085563F">
      <w:pPr>
        <w:tabs>
          <w:tab w:val="left" w:pos="5400"/>
        </w:tabs>
        <w:spacing w:line="600" w:lineRule="exact"/>
        <w:ind w:firstLine="560" w:firstLineChars="200"/>
        <w:rPr>
          <w:sz w:val="28"/>
          <w:szCs w:val="28"/>
        </w:rPr>
      </w:pPr>
      <w:bookmarkStart w:id="83" w:name="_Hlk184978381"/>
      <w:r>
        <w:rPr>
          <w:rFonts w:hint="eastAsia"/>
          <w:sz w:val="28"/>
          <w:szCs w:val="28"/>
        </w:rPr>
        <w:t>根据</w:t>
      </w:r>
      <w:r>
        <w:rPr>
          <w:sz w:val="28"/>
          <w:szCs w:val="28"/>
        </w:rPr>
        <w:t>《平阴县20</w:t>
      </w:r>
      <w:r>
        <w:rPr>
          <w:rFonts w:hint="eastAsia"/>
          <w:sz w:val="28"/>
          <w:szCs w:val="28"/>
        </w:rPr>
        <w:t>23</w:t>
      </w:r>
      <w:r>
        <w:rPr>
          <w:sz w:val="28"/>
          <w:szCs w:val="28"/>
        </w:rPr>
        <w:t>年水资源公报表》</w:t>
      </w:r>
      <w:r>
        <w:rPr>
          <w:rFonts w:hint="eastAsia"/>
          <w:sz w:val="28"/>
          <w:szCs w:val="28"/>
        </w:rPr>
        <w:t>计算</w:t>
      </w:r>
      <w:r>
        <w:rPr>
          <w:sz w:val="28"/>
          <w:szCs w:val="28"/>
        </w:rPr>
        <w:t>，平阴县20</w:t>
      </w:r>
      <w:r>
        <w:rPr>
          <w:rFonts w:hint="eastAsia"/>
          <w:sz w:val="28"/>
          <w:szCs w:val="28"/>
        </w:rPr>
        <w:t>23</w:t>
      </w:r>
      <w:r>
        <w:rPr>
          <w:sz w:val="28"/>
          <w:szCs w:val="28"/>
        </w:rPr>
        <w:t>年城镇居民生活人均日用水量</w:t>
      </w:r>
      <w:r>
        <w:rPr>
          <w:rFonts w:hint="eastAsia"/>
          <w:sz w:val="28"/>
          <w:szCs w:val="28"/>
        </w:rPr>
        <w:t>85.19</w:t>
      </w:r>
      <w:r>
        <w:rPr>
          <w:sz w:val="28"/>
          <w:szCs w:val="28"/>
        </w:rPr>
        <w:t>L/p·d</w:t>
      </w:r>
      <w:r>
        <w:rPr>
          <w:rFonts w:hint="eastAsia"/>
          <w:sz w:val="28"/>
          <w:szCs w:val="28"/>
        </w:rPr>
        <w:t>，农村居民生活人均日用水量为69.23</w:t>
      </w:r>
      <w:r>
        <w:rPr>
          <w:sz w:val="28"/>
          <w:szCs w:val="28"/>
        </w:rPr>
        <w:t xml:space="preserve"> L/p·d。根据</w:t>
      </w:r>
      <w:r>
        <w:rPr>
          <w:rFonts w:hint="eastAsia"/>
          <w:sz w:val="28"/>
          <w:szCs w:val="28"/>
        </w:rPr>
        <w:t>平阴县</w:t>
      </w:r>
      <w:r>
        <w:rPr>
          <w:sz w:val="28"/>
          <w:szCs w:val="28"/>
        </w:rPr>
        <w:t>经济社会发展水平、人均收入水平、水价水平、节水器具推广与普及情况，结合生活用水习惯</w:t>
      </w:r>
      <w:r>
        <w:rPr>
          <w:rFonts w:hint="eastAsia"/>
          <w:sz w:val="28"/>
          <w:szCs w:val="28"/>
        </w:rPr>
        <w:t>、</w:t>
      </w:r>
      <w:r>
        <w:rPr>
          <w:sz w:val="28"/>
          <w:szCs w:val="28"/>
        </w:rPr>
        <w:t>现状用水水平</w:t>
      </w:r>
      <w:r>
        <w:rPr>
          <w:rFonts w:hint="eastAsia"/>
          <w:sz w:val="28"/>
          <w:szCs w:val="28"/>
        </w:rPr>
        <w:t>，</w:t>
      </w:r>
      <w:r>
        <w:rPr>
          <w:sz w:val="28"/>
          <w:szCs w:val="28"/>
        </w:rPr>
        <w:t>参考国内外同类地区或城市生活用水定额水平，参照</w:t>
      </w:r>
      <w:r>
        <w:rPr>
          <w:rFonts w:hint="eastAsia"/>
          <w:sz w:val="28"/>
          <w:szCs w:val="28"/>
        </w:rPr>
        <w:t>国家和省市</w:t>
      </w:r>
      <w:r>
        <w:rPr>
          <w:sz w:val="28"/>
          <w:szCs w:val="28"/>
        </w:rPr>
        <w:t>制定的居民生活用水定额，</w:t>
      </w:r>
      <w:r>
        <w:rPr>
          <w:rFonts w:hint="eastAsia"/>
          <w:sz w:val="28"/>
          <w:szCs w:val="28"/>
        </w:rPr>
        <w:t>确定2030年平阴县</w:t>
      </w:r>
      <w:r>
        <w:rPr>
          <w:sz w:val="28"/>
          <w:szCs w:val="28"/>
        </w:rPr>
        <w:t>城镇居民生活用水</w:t>
      </w:r>
      <w:r>
        <w:rPr>
          <w:rFonts w:hint="eastAsia"/>
          <w:sz w:val="28"/>
          <w:szCs w:val="28"/>
        </w:rPr>
        <w:t>水平按100</w:t>
      </w:r>
      <w:r>
        <w:rPr>
          <w:sz w:val="28"/>
          <w:szCs w:val="28"/>
        </w:rPr>
        <w:t>L/p·d</w:t>
      </w:r>
      <w:r>
        <w:rPr>
          <w:rFonts w:hint="eastAsia"/>
          <w:sz w:val="28"/>
          <w:szCs w:val="28"/>
        </w:rPr>
        <w:t>计；农村居民生活用水水平按70</w:t>
      </w:r>
      <w:r>
        <w:rPr>
          <w:sz w:val="28"/>
          <w:szCs w:val="28"/>
        </w:rPr>
        <w:t>L/p·d</w:t>
      </w:r>
      <w:r>
        <w:rPr>
          <w:rFonts w:hint="eastAsia"/>
          <w:sz w:val="28"/>
          <w:szCs w:val="28"/>
        </w:rPr>
        <w:t>计；2035年平阴县</w:t>
      </w:r>
      <w:r>
        <w:rPr>
          <w:sz w:val="28"/>
          <w:szCs w:val="28"/>
        </w:rPr>
        <w:t>城镇居民生活用水</w:t>
      </w:r>
      <w:r>
        <w:rPr>
          <w:rFonts w:hint="eastAsia"/>
          <w:sz w:val="28"/>
          <w:szCs w:val="28"/>
        </w:rPr>
        <w:t>水平按120</w:t>
      </w:r>
      <w:r>
        <w:rPr>
          <w:sz w:val="28"/>
          <w:szCs w:val="28"/>
        </w:rPr>
        <w:t>L/p·d</w:t>
      </w:r>
      <w:r>
        <w:rPr>
          <w:rFonts w:hint="eastAsia"/>
          <w:sz w:val="28"/>
          <w:szCs w:val="28"/>
        </w:rPr>
        <w:t>计；农村居民生活用水水平按80</w:t>
      </w:r>
      <w:r>
        <w:rPr>
          <w:sz w:val="28"/>
          <w:szCs w:val="28"/>
        </w:rPr>
        <w:t>L/p·d</w:t>
      </w:r>
      <w:r>
        <w:rPr>
          <w:rFonts w:hint="eastAsia"/>
          <w:sz w:val="28"/>
          <w:szCs w:val="28"/>
        </w:rPr>
        <w:t>计。</w:t>
      </w:r>
    </w:p>
    <w:bookmarkEnd w:id="83"/>
    <w:p w14:paraId="16A7AA99">
      <w:pPr>
        <w:tabs>
          <w:tab w:val="left" w:pos="5400"/>
        </w:tabs>
        <w:spacing w:line="600" w:lineRule="exact"/>
        <w:ind w:firstLine="560" w:firstLineChars="200"/>
        <w:rPr>
          <w:color w:val="000000" w:themeColor="text1"/>
          <w:sz w:val="28"/>
          <w:szCs w:val="28"/>
        </w:rPr>
      </w:pPr>
      <w:bookmarkStart w:id="84" w:name="_Hlk184978662"/>
      <w:r>
        <w:rPr>
          <w:rFonts w:hint="eastAsia"/>
          <w:color w:val="000000" w:themeColor="text1"/>
          <w:sz w:val="28"/>
          <w:szCs w:val="28"/>
        </w:rPr>
        <w:t>结合规划年平阴县城镇居民和农村居民预测成果计算可知，2030年平阴县生活需水量为1122.2万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其中城镇居民生活需水量为765.0万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农村居民生活需水量为357.2万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；2035年平阴县生活需水量为1406.7万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其中城镇居民生活需水量为1035万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农村居民生活需水量为371.7万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；具体详见表2.3.4-2。</w:t>
      </w:r>
    </w:p>
    <w:bookmarkEnd w:id="84"/>
    <w:p w14:paraId="4A01989C">
      <w:pPr>
        <w:keepNext/>
        <w:tabs>
          <w:tab w:val="left" w:pos="5400"/>
        </w:tabs>
        <w:spacing w:line="600" w:lineRule="exact"/>
        <w:jc w:val="center"/>
        <w:rPr>
          <w:b/>
          <w:bCs/>
          <w:color w:val="000000" w:themeColor="text1"/>
          <w:sz w:val="24"/>
        </w:rPr>
      </w:pPr>
      <w:r>
        <w:rPr>
          <w:rFonts w:hint="eastAsia"/>
          <w:b/>
          <w:bCs/>
          <w:color w:val="000000" w:themeColor="text1"/>
          <w:sz w:val="24"/>
        </w:rPr>
        <w:t>表2.3.4-2  平阴县不同规划年生活需水量预测成果表</w:t>
      </w:r>
    </w:p>
    <w:tbl>
      <w:tblPr>
        <w:tblStyle w:val="46"/>
        <w:tblW w:w="0" w:type="auto"/>
        <w:tblInd w:w="113" w:type="dxa"/>
        <w:tblLayout w:type="autofit"/>
        <w:tblCellMar>
          <w:top w:w="0" w:type="dxa"/>
          <w:left w:w="108" w:type="dxa"/>
          <w:bottom w:w="0" w:type="dxa"/>
          <w:right w:w="108" w:type="dxa"/>
        </w:tblCellMar>
      </w:tblPr>
      <w:tblGrid>
        <w:gridCol w:w="739"/>
        <w:gridCol w:w="856"/>
        <w:gridCol w:w="856"/>
        <w:gridCol w:w="1476"/>
        <w:gridCol w:w="1092"/>
        <w:gridCol w:w="1476"/>
        <w:gridCol w:w="1092"/>
        <w:gridCol w:w="822"/>
      </w:tblGrid>
      <w:tr w14:paraId="11EF974F">
        <w:tblPrEx>
          <w:tblCellMar>
            <w:top w:w="0" w:type="dxa"/>
            <w:left w:w="108" w:type="dxa"/>
            <w:bottom w:w="0" w:type="dxa"/>
            <w:right w:w="108" w:type="dxa"/>
          </w:tblCellMar>
        </w:tblPrEx>
        <w:trPr>
          <w:trHeight w:val="510" w:hRule="atLeast"/>
        </w:trPr>
        <w:tc>
          <w:tcPr>
            <w:tcW w:w="0" w:type="auto"/>
            <w:vMerge w:val="restart"/>
            <w:tcBorders>
              <w:top w:val="single" w:color="auto" w:sz="4" w:space="0"/>
              <w:left w:val="single" w:color="auto" w:sz="4" w:space="0"/>
              <w:bottom w:val="single" w:color="auto" w:sz="4" w:space="0"/>
              <w:right w:val="single" w:color="auto" w:sz="4" w:space="0"/>
            </w:tcBorders>
            <w:vAlign w:val="center"/>
          </w:tcPr>
          <w:p w14:paraId="08556439">
            <w:pPr>
              <w:widowControl/>
              <w:jc w:val="center"/>
              <w:rPr>
                <w:color w:val="000000"/>
                <w:kern w:val="0"/>
                <w:sz w:val="22"/>
                <w:szCs w:val="22"/>
              </w:rPr>
            </w:pPr>
            <w:r>
              <w:rPr>
                <w:color w:val="000000"/>
                <w:kern w:val="0"/>
                <w:sz w:val="22"/>
                <w:szCs w:val="22"/>
              </w:rPr>
              <w:t>水平年</w:t>
            </w:r>
          </w:p>
        </w:tc>
        <w:tc>
          <w:tcPr>
            <w:tcW w:w="0" w:type="auto"/>
            <w:gridSpan w:val="2"/>
            <w:tcBorders>
              <w:top w:val="single" w:color="auto" w:sz="4" w:space="0"/>
              <w:left w:val="nil"/>
              <w:bottom w:val="single" w:color="auto" w:sz="4" w:space="0"/>
              <w:right w:val="single" w:color="auto" w:sz="4" w:space="0"/>
            </w:tcBorders>
            <w:vAlign w:val="center"/>
          </w:tcPr>
          <w:p w14:paraId="4EF2812C">
            <w:pPr>
              <w:widowControl/>
              <w:jc w:val="center"/>
              <w:rPr>
                <w:color w:val="000000"/>
                <w:kern w:val="0"/>
                <w:sz w:val="22"/>
                <w:szCs w:val="22"/>
              </w:rPr>
            </w:pPr>
            <w:r>
              <w:rPr>
                <w:color w:val="000000"/>
                <w:kern w:val="0"/>
                <w:sz w:val="22"/>
                <w:szCs w:val="22"/>
              </w:rPr>
              <w:t>人口（万人）</w:t>
            </w:r>
          </w:p>
        </w:tc>
        <w:tc>
          <w:tcPr>
            <w:tcW w:w="0" w:type="auto"/>
            <w:gridSpan w:val="2"/>
            <w:tcBorders>
              <w:top w:val="single" w:color="auto" w:sz="4" w:space="0"/>
              <w:left w:val="nil"/>
              <w:bottom w:val="single" w:color="auto" w:sz="4" w:space="0"/>
              <w:right w:val="single" w:color="auto" w:sz="4" w:space="0"/>
            </w:tcBorders>
            <w:vAlign w:val="center"/>
          </w:tcPr>
          <w:p w14:paraId="4852641A">
            <w:pPr>
              <w:widowControl/>
              <w:jc w:val="center"/>
              <w:rPr>
                <w:color w:val="000000"/>
                <w:kern w:val="0"/>
                <w:sz w:val="22"/>
                <w:szCs w:val="22"/>
              </w:rPr>
            </w:pPr>
            <w:r>
              <w:rPr>
                <w:color w:val="000000"/>
                <w:kern w:val="0"/>
                <w:sz w:val="22"/>
                <w:szCs w:val="22"/>
              </w:rPr>
              <w:t>城镇生活</w:t>
            </w:r>
          </w:p>
        </w:tc>
        <w:tc>
          <w:tcPr>
            <w:tcW w:w="0" w:type="auto"/>
            <w:gridSpan w:val="2"/>
            <w:tcBorders>
              <w:top w:val="single" w:color="auto" w:sz="4" w:space="0"/>
              <w:left w:val="nil"/>
              <w:bottom w:val="single" w:color="auto" w:sz="4" w:space="0"/>
              <w:right w:val="single" w:color="auto" w:sz="4" w:space="0"/>
            </w:tcBorders>
            <w:vAlign w:val="center"/>
          </w:tcPr>
          <w:p w14:paraId="1BD72199">
            <w:pPr>
              <w:widowControl/>
              <w:jc w:val="center"/>
              <w:rPr>
                <w:color w:val="000000"/>
                <w:kern w:val="0"/>
                <w:sz w:val="22"/>
                <w:szCs w:val="22"/>
              </w:rPr>
            </w:pPr>
            <w:r>
              <w:rPr>
                <w:color w:val="000000"/>
                <w:kern w:val="0"/>
                <w:sz w:val="22"/>
                <w:szCs w:val="22"/>
              </w:rPr>
              <w:t>农村生活</w:t>
            </w:r>
          </w:p>
        </w:tc>
        <w:tc>
          <w:tcPr>
            <w:tcW w:w="0" w:type="auto"/>
            <w:vMerge w:val="restart"/>
            <w:tcBorders>
              <w:top w:val="single" w:color="auto" w:sz="4" w:space="0"/>
              <w:left w:val="single" w:color="auto" w:sz="4" w:space="0"/>
              <w:bottom w:val="single" w:color="auto" w:sz="4" w:space="0"/>
              <w:right w:val="single" w:color="auto" w:sz="4" w:space="0"/>
            </w:tcBorders>
            <w:noWrap/>
            <w:vAlign w:val="center"/>
          </w:tcPr>
          <w:p w14:paraId="2730B07E">
            <w:pPr>
              <w:widowControl/>
              <w:jc w:val="center"/>
              <w:rPr>
                <w:color w:val="000000"/>
                <w:kern w:val="0"/>
                <w:sz w:val="22"/>
                <w:szCs w:val="22"/>
              </w:rPr>
            </w:pPr>
            <w:r>
              <w:rPr>
                <w:color w:val="000000"/>
                <w:kern w:val="0"/>
                <w:sz w:val="22"/>
                <w:szCs w:val="22"/>
              </w:rPr>
              <w:t>合计</w:t>
            </w:r>
          </w:p>
        </w:tc>
      </w:tr>
      <w:tr w14:paraId="52DBE380">
        <w:tblPrEx>
          <w:tblCellMar>
            <w:top w:w="0" w:type="dxa"/>
            <w:left w:w="108" w:type="dxa"/>
            <w:bottom w:w="0" w:type="dxa"/>
            <w:right w:w="108" w:type="dxa"/>
          </w:tblCellMar>
        </w:tblPrEx>
        <w:trPr>
          <w:trHeight w:val="715"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F8C7AC1">
            <w:pPr>
              <w:widowControl/>
              <w:jc w:val="left"/>
              <w:rPr>
                <w:color w:val="000000"/>
                <w:kern w:val="0"/>
                <w:sz w:val="22"/>
                <w:szCs w:val="22"/>
              </w:rPr>
            </w:pPr>
          </w:p>
        </w:tc>
        <w:tc>
          <w:tcPr>
            <w:tcW w:w="0" w:type="auto"/>
            <w:tcBorders>
              <w:top w:val="nil"/>
              <w:left w:val="nil"/>
              <w:bottom w:val="single" w:color="auto" w:sz="4" w:space="0"/>
              <w:right w:val="single" w:color="auto" w:sz="4" w:space="0"/>
            </w:tcBorders>
            <w:vAlign w:val="center"/>
          </w:tcPr>
          <w:p w14:paraId="3B4E1BC6">
            <w:pPr>
              <w:widowControl/>
              <w:jc w:val="center"/>
              <w:rPr>
                <w:color w:val="000000"/>
                <w:kern w:val="0"/>
                <w:sz w:val="22"/>
                <w:szCs w:val="22"/>
              </w:rPr>
            </w:pPr>
            <w:r>
              <w:rPr>
                <w:color w:val="000000"/>
                <w:kern w:val="0"/>
                <w:sz w:val="22"/>
                <w:szCs w:val="22"/>
              </w:rPr>
              <w:t>城镇居民</w:t>
            </w:r>
          </w:p>
        </w:tc>
        <w:tc>
          <w:tcPr>
            <w:tcW w:w="0" w:type="auto"/>
            <w:tcBorders>
              <w:top w:val="nil"/>
              <w:left w:val="nil"/>
              <w:bottom w:val="single" w:color="auto" w:sz="4" w:space="0"/>
              <w:right w:val="single" w:color="auto" w:sz="4" w:space="0"/>
            </w:tcBorders>
            <w:vAlign w:val="center"/>
          </w:tcPr>
          <w:p w14:paraId="3E8C56B8">
            <w:pPr>
              <w:widowControl/>
              <w:jc w:val="center"/>
              <w:rPr>
                <w:color w:val="000000"/>
                <w:kern w:val="0"/>
                <w:sz w:val="22"/>
                <w:szCs w:val="22"/>
              </w:rPr>
            </w:pPr>
            <w:r>
              <w:rPr>
                <w:color w:val="000000"/>
                <w:kern w:val="0"/>
                <w:sz w:val="22"/>
                <w:szCs w:val="22"/>
              </w:rPr>
              <w:t>农村居民</w:t>
            </w:r>
          </w:p>
        </w:tc>
        <w:tc>
          <w:tcPr>
            <w:tcW w:w="0" w:type="auto"/>
            <w:tcBorders>
              <w:top w:val="nil"/>
              <w:left w:val="nil"/>
              <w:bottom w:val="single" w:color="auto" w:sz="4" w:space="0"/>
              <w:right w:val="single" w:color="auto" w:sz="4" w:space="0"/>
            </w:tcBorders>
            <w:vAlign w:val="center"/>
          </w:tcPr>
          <w:p w14:paraId="28E797E1">
            <w:pPr>
              <w:widowControl/>
              <w:jc w:val="center"/>
              <w:rPr>
                <w:color w:val="000000"/>
                <w:kern w:val="0"/>
                <w:sz w:val="22"/>
                <w:szCs w:val="22"/>
              </w:rPr>
            </w:pPr>
            <w:r>
              <w:rPr>
                <w:color w:val="000000"/>
                <w:kern w:val="0"/>
                <w:sz w:val="22"/>
                <w:szCs w:val="22"/>
              </w:rPr>
              <w:t>用水定额（L/</w:t>
            </w:r>
            <w:r>
              <w:rPr>
                <w:rFonts w:hint="eastAsia"/>
                <w:color w:val="000000"/>
                <w:kern w:val="0"/>
                <w:sz w:val="22"/>
                <w:szCs w:val="22"/>
              </w:rPr>
              <w:t>p</w:t>
            </w:r>
            <w:r>
              <w:rPr>
                <w:color w:val="000000"/>
                <w:kern w:val="0"/>
                <w:sz w:val="22"/>
                <w:szCs w:val="22"/>
              </w:rPr>
              <w:t>·d）</w:t>
            </w:r>
          </w:p>
        </w:tc>
        <w:tc>
          <w:tcPr>
            <w:tcW w:w="0" w:type="auto"/>
            <w:tcBorders>
              <w:top w:val="nil"/>
              <w:left w:val="nil"/>
              <w:bottom w:val="single" w:color="auto" w:sz="4" w:space="0"/>
              <w:right w:val="single" w:color="auto" w:sz="4" w:space="0"/>
            </w:tcBorders>
            <w:vAlign w:val="center"/>
          </w:tcPr>
          <w:p w14:paraId="57BA4DB5">
            <w:pPr>
              <w:widowControl/>
              <w:jc w:val="center"/>
              <w:rPr>
                <w:color w:val="000000"/>
                <w:kern w:val="0"/>
                <w:sz w:val="22"/>
                <w:szCs w:val="22"/>
              </w:rPr>
            </w:pPr>
            <w:r>
              <w:rPr>
                <w:color w:val="000000"/>
                <w:kern w:val="0"/>
                <w:sz w:val="22"/>
                <w:szCs w:val="22"/>
              </w:rPr>
              <w:t>需水量</w:t>
            </w:r>
            <w:r>
              <w:rPr>
                <w:rFonts w:hint="eastAsia"/>
                <w:color w:val="000000"/>
                <w:kern w:val="0"/>
                <w:sz w:val="22"/>
                <w:szCs w:val="22"/>
                <w:lang w:eastAsia="zh-CN"/>
              </w:rPr>
              <w:t>（</w:t>
            </w:r>
            <w:r>
              <w:rPr>
                <w:color w:val="000000"/>
                <w:kern w:val="0"/>
                <w:sz w:val="22"/>
                <w:szCs w:val="22"/>
              </w:rPr>
              <w:t>万m</w:t>
            </w:r>
            <w:r>
              <w:rPr>
                <w:color w:val="000000"/>
                <w:kern w:val="0"/>
                <w:sz w:val="22"/>
                <w:szCs w:val="22"/>
                <w:vertAlign w:val="superscript"/>
              </w:rPr>
              <w:t>3</w:t>
            </w:r>
            <w:r>
              <w:rPr>
                <w:rFonts w:hint="eastAsia"/>
                <w:color w:val="000000"/>
                <w:kern w:val="0"/>
                <w:sz w:val="22"/>
                <w:szCs w:val="22"/>
                <w:vertAlign w:val="superscript"/>
                <w:lang w:eastAsia="zh-CN"/>
              </w:rPr>
              <w:t>）</w:t>
            </w:r>
          </w:p>
        </w:tc>
        <w:tc>
          <w:tcPr>
            <w:tcW w:w="0" w:type="auto"/>
            <w:tcBorders>
              <w:top w:val="nil"/>
              <w:left w:val="nil"/>
              <w:bottom w:val="single" w:color="auto" w:sz="4" w:space="0"/>
              <w:right w:val="single" w:color="auto" w:sz="4" w:space="0"/>
            </w:tcBorders>
            <w:vAlign w:val="center"/>
          </w:tcPr>
          <w:p w14:paraId="2143F0B9">
            <w:pPr>
              <w:widowControl/>
              <w:jc w:val="center"/>
              <w:rPr>
                <w:color w:val="000000"/>
                <w:kern w:val="0"/>
                <w:sz w:val="22"/>
                <w:szCs w:val="22"/>
              </w:rPr>
            </w:pPr>
            <w:r>
              <w:rPr>
                <w:color w:val="000000"/>
                <w:kern w:val="0"/>
                <w:sz w:val="22"/>
                <w:szCs w:val="22"/>
              </w:rPr>
              <w:t>用水定额（L/</w:t>
            </w:r>
            <w:r>
              <w:rPr>
                <w:rFonts w:hint="eastAsia"/>
                <w:color w:val="000000"/>
                <w:kern w:val="0"/>
                <w:sz w:val="22"/>
                <w:szCs w:val="22"/>
              </w:rPr>
              <w:t>p</w:t>
            </w:r>
            <w:r>
              <w:rPr>
                <w:color w:val="000000"/>
                <w:kern w:val="0"/>
                <w:sz w:val="22"/>
                <w:szCs w:val="22"/>
              </w:rPr>
              <w:t>·d）</w:t>
            </w:r>
          </w:p>
        </w:tc>
        <w:tc>
          <w:tcPr>
            <w:tcW w:w="0" w:type="auto"/>
            <w:tcBorders>
              <w:top w:val="nil"/>
              <w:left w:val="nil"/>
              <w:bottom w:val="single" w:color="auto" w:sz="4" w:space="0"/>
              <w:right w:val="single" w:color="auto" w:sz="4" w:space="0"/>
            </w:tcBorders>
            <w:vAlign w:val="center"/>
          </w:tcPr>
          <w:p w14:paraId="4676A620">
            <w:pPr>
              <w:widowControl/>
              <w:jc w:val="center"/>
              <w:rPr>
                <w:color w:val="000000"/>
                <w:kern w:val="0"/>
                <w:sz w:val="22"/>
                <w:szCs w:val="22"/>
              </w:rPr>
            </w:pPr>
            <w:r>
              <w:rPr>
                <w:color w:val="000000"/>
                <w:kern w:val="0"/>
                <w:sz w:val="22"/>
                <w:szCs w:val="22"/>
              </w:rPr>
              <w:t>需水量</w:t>
            </w:r>
            <w:r>
              <w:rPr>
                <w:rFonts w:hint="eastAsia"/>
                <w:color w:val="000000"/>
                <w:kern w:val="0"/>
                <w:sz w:val="22"/>
                <w:szCs w:val="22"/>
                <w:lang w:eastAsia="zh-CN"/>
              </w:rPr>
              <w:t>（</w:t>
            </w:r>
            <w:r>
              <w:rPr>
                <w:color w:val="000000"/>
                <w:kern w:val="0"/>
                <w:sz w:val="22"/>
                <w:szCs w:val="22"/>
              </w:rPr>
              <w:t>万m</w:t>
            </w:r>
            <w:r>
              <w:rPr>
                <w:color w:val="000000"/>
                <w:kern w:val="0"/>
                <w:sz w:val="22"/>
                <w:szCs w:val="22"/>
                <w:vertAlign w:val="superscript"/>
              </w:rPr>
              <w:t>3</w:t>
            </w:r>
            <w:r>
              <w:rPr>
                <w:rFonts w:hint="eastAsia"/>
                <w:color w:val="000000"/>
                <w:kern w:val="0"/>
                <w:sz w:val="22"/>
                <w:szCs w:val="22"/>
                <w:vertAlign w:val="superscript"/>
                <w:lang w:eastAsia="zh-CN"/>
              </w:rPr>
              <w:t>）</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0CFE6F3">
            <w:pPr>
              <w:widowControl/>
              <w:jc w:val="left"/>
              <w:rPr>
                <w:color w:val="000000"/>
                <w:kern w:val="0"/>
                <w:sz w:val="22"/>
                <w:szCs w:val="22"/>
              </w:rPr>
            </w:pPr>
          </w:p>
        </w:tc>
      </w:tr>
      <w:tr w14:paraId="73310B9E">
        <w:tblPrEx>
          <w:tblCellMar>
            <w:top w:w="0" w:type="dxa"/>
            <w:left w:w="108" w:type="dxa"/>
            <w:bottom w:w="0" w:type="dxa"/>
            <w:right w:w="108" w:type="dxa"/>
          </w:tblCellMar>
        </w:tblPrEx>
        <w:trPr>
          <w:trHeight w:val="510" w:hRule="atLeast"/>
        </w:trPr>
        <w:tc>
          <w:tcPr>
            <w:tcW w:w="0" w:type="auto"/>
            <w:tcBorders>
              <w:top w:val="nil"/>
              <w:left w:val="single" w:color="auto" w:sz="4" w:space="0"/>
              <w:bottom w:val="single" w:color="auto" w:sz="4" w:space="0"/>
              <w:right w:val="single" w:color="auto" w:sz="4" w:space="0"/>
            </w:tcBorders>
            <w:vAlign w:val="center"/>
          </w:tcPr>
          <w:p w14:paraId="58B37C91">
            <w:pPr>
              <w:widowControl/>
              <w:jc w:val="center"/>
              <w:rPr>
                <w:color w:val="000000"/>
                <w:kern w:val="0"/>
                <w:sz w:val="22"/>
                <w:szCs w:val="22"/>
              </w:rPr>
            </w:pPr>
            <w:r>
              <w:rPr>
                <w:rFonts w:eastAsia="等线"/>
                <w:color w:val="000000"/>
                <w:sz w:val="22"/>
                <w:szCs w:val="22"/>
              </w:rPr>
              <w:t>2023</w:t>
            </w:r>
          </w:p>
        </w:tc>
        <w:tc>
          <w:tcPr>
            <w:tcW w:w="0" w:type="auto"/>
            <w:tcBorders>
              <w:top w:val="nil"/>
              <w:left w:val="nil"/>
              <w:bottom w:val="single" w:color="auto" w:sz="4" w:space="0"/>
              <w:right w:val="single" w:color="auto" w:sz="4" w:space="0"/>
            </w:tcBorders>
            <w:vAlign w:val="center"/>
          </w:tcPr>
          <w:p w14:paraId="78BEA30F">
            <w:pPr>
              <w:widowControl/>
              <w:jc w:val="center"/>
              <w:rPr>
                <w:color w:val="000000"/>
                <w:kern w:val="0"/>
                <w:sz w:val="22"/>
                <w:szCs w:val="22"/>
              </w:rPr>
            </w:pPr>
            <w:r>
              <w:rPr>
                <w:rFonts w:eastAsia="等线"/>
                <w:color w:val="000000"/>
                <w:sz w:val="22"/>
                <w:szCs w:val="22"/>
              </w:rPr>
              <w:t>18.45</w:t>
            </w:r>
          </w:p>
        </w:tc>
        <w:tc>
          <w:tcPr>
            <w:tcW w:w="0" w:type="auto"/>
            <w:tcBorders>
              <w:top w:val="nil"/>
              <w:left w:val="nil"/>
              <w:bottom w:val="single" w:color="auto" w:sz="4" w:space="0"/>
              <w:right w:val="single" w:color="auto" w:sz="4" w:space="0"/>
            </w:tcBorders>
            <w:vAlign w:val="center"/>
          </w:tcPr>
          <w:p w14:paraId="4482753A">
            <w:pPr>
              <w:widowControl/>
              <w:jc w:val="center"/>
              <w:rPr>
                <w:color w:val="000000"/>
                <w:kern w:val="0"/>
                <w:sz w:val="22"/>
                <w:szCs w:val="22"/>
              </w:rPr>
            </w:pPr>
            <w:r>
              <w:rPr>
                <w:rFonts w:eastAsia="等线"/>
                <w:color w:val="000000"/>
                <w:sz w:val="22"/>
                <w:szCs w:val="22"/>
              </w:rPr>
              <w:t>14.59</w:t>
            </w:r>
          </w:p>
        </w:tc>
        <w:tc>
          <w:tcPr>
            <w:tcW w:w="0" w:type="auto"/>
            <w:tcBorders>
              <w:top w:val="nil"/>
              <w:left w:val="nil"/>
              <w:bottom w:val="single" w:color="auto" w:sz="4" w:space="0"/>
              <w:right w:val="single" w:color="auto" w:sz="4" w:space="0"/>
            </w:tcBorders>
            <w:vAlign w:val="center"/>
          </w:tcPr>
          <w:p w14:paraId="5BD818CC">
            <w:pPr>
              <w:widowControl/>
              <w:jc w:val="center"/>
              <w:rPr>
                <w:color w:val="000000"/>
                <w:kern w:val="0"/>
                <w:sz w:val="22"/>
                <w:szCs w:val="22"/>
              </w:rPr>
            </w:pPr>
            <w:r>
              <w:rPr>
                <w:rFonts w:eastAsia="等线"/>
                <w:color w:val="000000"/>
                <w:sz w:val="22"/>
                <w:szCs w:val="22"/>
              </w:rPr>
              <w:t>85.19</w:t>
            </w:r>
          </w:p>
        </w:tc>
        <w:tc>
          <w:tcPr>
            <w:tcW w:w="0" w:type="auto"/>
            <w:tcBorders>
              <w:top w:val="nil"/>
              <w:left w:val="nil"/>
              <w:bottom w:val="single" w:color="auto" w:sz="4" w:space="0"/>
              <w:right w:val="single" w:color="auto" w:sz="4" w:space="0"/>
            </w:tcBorders>
            <w:vAlign w:val="center"/>
          </w:tcPr>
          <w:p w14:paraId="0C3C2513">
            <w:pPr>
              <w:widowControl/>
              <w:jc w:val="center"/>
              <w:rPr>
                <w:color w:val="000000"/>
                <w:kern w:val="0"/>
                <w:sz w:val="22"/>
                <w:szCs w:val="22"/>
              </w:rPr>
            </w:pPr>
            <w:r>
              <w:rPr>
                <w:rFonts w:eastAsia="等线"/>
                <w:color w:val="000000"/>
                <w:sz w:val="22"/>
                <w:szCs w:val="22"/>
              </w:rPr>
              <w:t>573.7</w:t>
            </w:r>
          </w:p>
        </w:tc>
        <w:tc>
          <w:tcPr>
            <w:tcW w:w="0" w:type="auto"/>
            <w:tcBorders>
              <w:top w:val="nil"/>
              <w:left w:val="nil"/>
              <w:bottom w:val="single" w:color="auto" w:sz="4" w:space="0"/>
              <w:right w:val="single" w:color="auto" w:sz="4" w:space="0"/>
            </w:tcBorders>
            <w:vAlign w:val="center"/>
          </w:tcPr>
          <w:p w14:paraId="7A671102">
            <w:pPr>
              <w:widowControl/>
              <w:jc w:val="center"/>
              <w:rPr>
                <w:color w:val="000000"/>
                <w:kern w:val="0"/>
                <w:sz w:val="22"/>
                <w:szCs w:val="22"/>
              </w:rPr>
            </w:pPr>
            <w:r>
              <w:rPr>
                <w:rFonts w:eastAsia="等线"/>
                <w:color w:val="000000"/>
                <w:sz w:val="22"/>
                <w:szCs w:val="22"/>
              </w:rPr>
              <w:t>69.23</w:t>
            </w:r>
          </w:p>
        </w:tc>
        <w:tc>
          <w:tcPr>
            <w:tcW w:w="0" w:type="auto"/>
            <w:tcBorders>
              <w:top w:val="nil"/>
              <w:left w:val="nil"/>
              <w:bottom w:val="single" w:color="auto" w:sz="4" w:space="0"/>
              <w:right w:val="single" w:color="auto" w:sz="4" w:space="0"/>
            </w:tcBorders>
            <w:vAlign w:val="center"/>
          </w:tcPr>
          <w:p w14:paraId="5F046206">
            <w:pPr>
              <w:widowControl/>
              <w:jc w:val="center"/>
              <w:rPr>
                <w:color w:val="000000"/>
                <w:kern w:val="0"/>
                <w:sz w:val="22"/>
                <w:szCs w:val="22"/>
              </w:rPr>
            </w:pPr>
            <w:r>
              <w:rPr>
                <w:rFonts w:eastAsia="等线"/>
                <w:color w:val="000000"/>
                <w:sz w:val="22"/>
                <w:szCs w:val="22"/>
              </w:rPr>
              <w:t>368.7</w:t>
            </w:r>
          </w:p>
        </w:tc>
        <w:tc>
          <w:tcPr>
            <w:tcW w:w="0" w:type="auto"/>
            <w:tcBorders>
              <w:top w:val="nil"/>
              <w:left w:val="nil"/>
              <w:bottom w:val="single" w:color="auto" w:sz="4" w:space="0"/>
              <w:right w:val="single" w:color="auto" w:sz="4" w:space="0"/>
            </w:tcBorders>
            <w:noWrap/>
            <w:vAlign w:val="center"/>
          </w:tcPr>
          <w:p w14:paraId="46317A63">
            <w:pPr>
              <w:widowControl/>
              <w:jc w:val="center"/>
              <w:rPr>
                <w:color w:val="000000"/>
                <w:kern w:val="0"/>
                <w:sz w:val="22"/>
                <w:szCs w:val="22"/>
              </w:rPr>
            </w:pPr>
            <w:r>
              <w:rPr>
                <w:rFonts w:eastAsia="等线"/>
                <w:color w:val="000000"/>
                <w:sz w:val="22"/>
                <w:szCs w:val="22"/>
              </w:rPr>
              <w:t>942.4</w:t>
            </w:r>
          </w:p>
        </w:tc>
      </w:tr>
      <w:tr w14:paraId="7701D577">
        <w:tblPrEx>
          <w:tblCellMar>
            <w:top w:w="0" w:type="dxa"/>
            <w:left w:w="108" w:type="dxa"/>
            <w:bottom w:w="0" w:type="dxa"/>
            <w:right w:w="108" w:type="dxa"/>
          </w:tblCellMar>
        </w:tblPrEx>
        <w:trPr>
          <w:trHeight w:val="510" w:hRule="atLeast"/>
        </w:trPr>
        <w:tc>
          <w:tcPr>
            <w:tcW w:w="0" w:type="auto"/>
            <w:tcBorders>
              <w:top w:val="nil"/>
              <w:left w:val="single" w:color="auto" w:sz="4" w:space="0"/>
              <w:bottom w:val="single" w:color="auto" w:sz="4" w:space="0"/>
              <w:right w:val="single" w:color="auto" w:sz="4" w:space="0"/>
            </w:tcBorders>
            <w:vAlign w:val="center"/>
          </w:tcPr>
          <w:p w14:paraId="3B979C91">
            <w:pPr>
              <w:widowControl/>
              <w:jc w:val="center"/>
              <w:rPr>
                <w:color w:val="000000"/>
                <w:kern w:val="0"/>
                <w:sz w:val="22"/>
                <w:szCs w:val="22"/>
              </w:rPr>
            </w:pPr>
            <w:r>
              <w:rPr>
                <w:rFonts w:eastAsia="等线"/>
                <w:color w:val="000000"/>
                <w:sz w:val="22"/>
                <w:szCs w:val="22"/>
              </w:rPr>
              <w:t>2030</w:t>
            </w:r>
          </w:p>
        </w:tc>
        <w:tc>
          <w:tcPr>
            <w:tcW w:w="0" w:type="auto"/>
            <w:tcBorders>
              <w:top w:val="nil"/>
              <w:left w:val="nil"/>
              <w:bottom w:val="single" w:color="auto" w:sz="4" w:space="0"/>
              <w:right w:val="single" w:color="auto" w:sz="4" w:space="0"/>
            </w:tcBorders>
            <w:vAlign w:val="center"/>
          </w:tcPr>
          <w:p w14:paraId="425E3D5E">
            <w:pPr>
              <w:widowControl/>
              <w:jc w:val="center"/>
              <w:rPr>
                <w:color w:val="000000"/>
                <w:kern w:val="0"/>
                <w:sz w:val="22"/>
                <w:szCs w:val="22"/>
              </w:rPr>
            </w:pPr>
            <w:r>
              <w:rPr>
                <w:rFonts w:eastAsia="等线"/>
                <w:color w:val="000000"/>
                <w:sz w:val="22"/>
                <w:szCs w:val="22"/>
              </w:rPr>
              <w:t>20.96</w:t>
            </w:r>
          </w:p>
        </w:tc>
        <w:tc>
          <w:tcPr>
            <w:tcW w:w="0" w:type="auto"/>
            <w:tcBorders>
              <w:top w:val="nil"/>
              <w:left w:val="nil"/>
              <w:bottom w:val="single" w:color="auto" w:sz="4" w:space="0"/>
              <w:right w:val="single" w:color="auto" w:sz="4" w:space="0"/>
            </w:tcBorders>
            <w:vAlign w:val="center"/>
          </w:tcPr>
          <w:p w14:paraId="34651F0F">
            <w:pPr>
              <w:widowControl/>
              <w:jc w:val="center"/>
              <w:rPr>
                <w:color w:val="000000"/>
                <w:kern w:val="0"/>
                <w:sz w:val="22"/>
                <w:szCs w:val="22"/>
              </w:rPr>
            </w:pPr>
            <w:r>
              <w:rPr>
                <w:rFonts w:eastAsia="等线"/>
                <w:color w:val="000000"/>
                <w:sz w:val="22"/>
                <w:szCs w:val="22"/>
              </w:rPr>
              <w:t>13.98</w:t>
            </w:r>
          </w:p>
        </w:tc>
        <w:tc>
          <w:tcPr>
            <w:tcW w:w="0" w:type="auto"/>
            <w:tcBorders>
              <w:top w:val="nil"/>
              <w:left w:val="nil"/>
              <w:bottom w:val="single" w:color="auto" w:sz="4" w:space="0"/>
              <w:right w:val="single" w:color="auto" w:sz="4" w:space="0"/>
            </w:tcBorders>
            <w:vAlign w:val="center"/>
          </w:tcPr>
          <w:p w14:paraId="2665491C">
            <w:pPr>
              <w:widowControl/>
              <w:jc w:val="center"/>
              <w:rPr>
                <w:color w:val="000000"/>
                <w:kern w:val="0"/>
                <w:sz w:val="22"/>
                <w:szCs w:val="22"/>
              </w:rPr>
            </w:pPr>
            <w:r>
              <w:rPr>
                <w:rFonts w:eastAsia="等线"/>
                <w:color w:val="000000"/>
                <w:sz w:val="22"/>
                <w:szCs w:val="22"/>
              </w:rPr>
              <w:t>100</w:t>
            </w:r>
          </w:p>
        </w:tc>
        <w:tc>
          <w:tcPr>
            <w:tcW w:w="0" w:type="auto"/>
            <w:tcBorders>
              <w:top w:val="nil"/>
              <w:left w:val="nil"/>
              <w:bottom w:val="single" w:color="auto" w:sz="4" w:space="0"/>
              <w:right w:val="single" w:color="auto" w:sz="4" w:space="0"/>
            </w:tcBorders>
            <w:vAlign w:val="center"/>
          </w:tcPr>
          <w:p w14:paraId="16B275AA">
            <w:pPr>
              <w:widowControl/>
              <w:jc w:val="center"/>
              <w:rPr>
                <w:color w:val="000000"/>
                <w:kern w:val="0"/>
                <w:sz w:val="22"/>
                <w:szCs w:val="22"/>
              </w:rPr>
            </w:pPr>
            <w:r>
              <w:rPr>
                <w:rFonts w:eastAsia="等线"/>
                <w:color w:val="000000"/>
                <w:sz w:val="22"/>
                <w:szCs w:val="22"/>
              </w:rPr>
              <w:t>765</w:t>
            </w:r>
          </w:p>
        </w:tc>
        <w:tc>
          <w:tcPr>
            <w:tcW w:w="0" w:type="auto"/>
            <w:tcBorders>
              <w:top w:val="nil"/>
              <w:left w:val="nil"/>
              <w:bottom w:val="single" w:color="auto" w:sz="4" w:space="0"/>
              <w:right w:val="single" w:color="auto" w:sz="4" w:space="0"/>
            </w:tcBorders>
            <w:vAlign w:val="center"/>
          </w:tcPr>
          <w:p w14:paraId="5758C0F7">
            <w:pPr>
              <w:widowControl/>
              <w:jc w:val="center"/>
              <w:rPr>
                <w:color w:val="000000"/>
                <w:kern w:val="0"/>
                <w:sz w:val="22"/>
                <w:szCs w:val="22"/>
              </w:rPr>
            </w:pPr>
            <w:r>
              <w:rPr>
                <w:rFonts w:eastAsia="等线"/>
                <w:color w:val="000000"/>
                <w:sz w:val="22"/>
                <w:szCs w:val="22"/>
              </w:rPr>
              <w:t>70</w:t>
            </w:r>
          </w:p>
        </w:tc>
        <w:tc>
          <w:tcPr>
            <w:tcW w:w="0" w:type="auto"/>
            <w:tcBorders>
              <w:top w:val="nil"/>
              <w:left w:val="nil"/>
              <w:bottom w:val="single" w:color="auto" w:sz="4" w:space="0"/>
              <w:right w:val="single" w:color="auto" w:sz="4" w:space="0"/>
            </w:tcBorders>
            <w:vAlign w:val="center"/>
          </w:tcPr>
          <w:p w14:paraId="02EFA524">
            <w:pPr>
              <w:widowControl/>
              <w:jc w:val="center"/>
              <w:rPr>
                <w:color w:val="000000"/>
                <w:kern w:val="0"/>
                <w:sz w:val="22"/>
                <w:szCs w:val="22"/>
              </w:rPr>
            </w:pPr>
            <w:r>
              <w:rPr>
                <w:rFonts w:eastAsia="等线"/>
                <w:color w:val="000000"/>
                <w:sz w:val="22"/>
                <w:szCs w:val="22"/>
              </w:rPr>
              <w:t>357.2</w:t>
            </w:r>
          </w:p>
        </w:tc>
        <w:tc>
          <w:tcPr>
            <w:tcW w:w="0" w:type="auto"/>
            <w:tcBorders>
              <w:top w:val="nil"/>
              <w:left w:val="nil"/>
              <w:bottom w:val="single" w:color="auto" w:sz="4" w:space="0"/>
              <w:right w:val="single" w:color="auto" w:sz="4" w:space="0"/>
            </w:tcBorders>
            <w:noWrap/>
            <w:vAlign w:val="center"/>
          </w:tcPr>
          <w:p w14:paraId="3E9F0EA6">
            <w:pPr>
              <w:widowControl/>
              <w:jc w:val="center"/>
              <w:rPr>
                <w:color w:val="000000"/>
                <w:kern w:val="0"/>
                <w:sz w:val="22"/>
                <w:szCs w:val="22"/>
              </w:rPr>
            </w:pPr>
            <w:r>
              <w:rPr>
                <w:rFonts w:eastAsia="等线"/>
                <w:color w:val="000000"/>
                <w:sz w:val="22"/>
                <w:szCs w:val="22"/>
              </w:rPr>
              <w:t>1122.2</w:t>
            </w:r>
          </w:p>
        </w:tc>
      </w:tr>
      <w:tr w14:paraId="514B386E">
        <w:tblPrEx>
          <w:tblCellMar>
            <w:top w:w="0" w:type="dxa"/>
            <w:left w:w="108" w:type="dxa"/>
            <w:bottom w:w="0" w:type="dxa"/>
            <w:right w:w="108" w:type="dxa"/>
          </w:tblCellMar>
        </w:tblPrEx>
        <w:trPr>
          <w:trHeight w:val="510" w:hRule="atLeast"/>
        </w:trPr>
        <w:tc>
          <w:tcPr>
            <w:tcW w:w="0" w:type="auto"/>
            <w:tcBorders>
              <w:top w:val="nil"/>
              <w:left w:val="single" w:color="auto" w:sz="4" w:space="0"/>
              <w:bottom w:val="single" w:color="auto" w:sz="4" w:space="0"/>
              <w:right w:val="single" w:color="auto" w:sz="4" w:space="0"/>
            </w:tcBorders>
            <w:vAlign w:val="center"/>
          </w:tcPr>
          <w:p w14:paraId="1C671AF0">
            <w:pPr>
              <w:widowControl/>
              <w:jc w:val="center"/>
              <w:rPr>
                <w:color w:val="000000"/>
                <w:kern w:val="0"/>
                <w:sz w:val="22"/>
                <w:szCs w:val="22"/>
              </w:rPr>
            </w:pPr>
            <w:r>
              <w:rPr>
                <w:rFonts w:eastAsia="等线"/>
                <w:color w:val="000000"/>
                <w:sz w:val="22"/>
                <w:szCs w:val="22"/>
              </w:rPr>
              <w:t>2035</w:t>
            </w:r>
          </w:p>
        </w:tc>
        <w:tc>
          <w:tcPr>
            <w:tcW w:w="0" w:type="auto"/>
            <w:tcBorders>
              <w:top w:val="nil"/>
              <w:left w:val="nil"/>
              <w:bottom w:val="single" w:color="auto" w:sz="4" w:space="0"/>
              <w:right w:val="single" w:color="auto" w:sz="4" w:space="0"/>
            </w:tcBorders>
            <w:vAlign w:val="center"/>
          </w:tcPr>
          <w:p w14:paraId="3A812176">
            <w:pPr>
              <w:widowControl/>
              <w:jc w:val="center"/>
              <w:rPr>
                <w:color w:val="000000"/>
                <w:kern w:val="0"/>
                <w:sz w:val="22"/>
                <w:szCs w:val="22"/>
              </w:rPr>
            </w:pPr>
            <w:r>
              <w:rPr>
                <w:rFonts w:eastAsia="等线"/>
                <w:color w:val="000000"/>
                <w:sz w:val="22"/>
                <w:szCs w:val="22"/>
              </w:rPr>
              <w:t>23.63</w:t>
            </w:r>
          </w:p>
        </w:tc>
        <w:tc>
          <w:tcPr>
            <w:tcW w:w="0" w:type="auto"/>
            <w:tcBorders>
              <w:top w:val="nil"/>
              <w:left w:val="nil"/>
              <w:bottom w:val="single" w:color="auto" w:sz="4" w:space="0"/>
              <w:right w:val="single" w:color="auto" w:sz="4" w:space="0"/>
            </w:tcBorders>
            <w:vAlign w:val="center"/>
          </w:tcPr>
          <w:p w14:paraId="06ED6F28">
            <w:pPr>
              <w:widowControl/>
              <w:jc w:val="center"/>
              <w:rPr>
                <w:color w:val="000000"/>
                <w:kern w:val="0"/>
                <w:sz w:val="22"/>
                <w:szCs w:val="22"/>
              </w:rPr>
            </w:pPr>
            <w:r>
              <w:rPr>
                <w:rFonts w:eastAsia="等线"/>
                <w:color w:val="000000"/>
                <w:sz w:val="22"/>
                <w:szCs w:val="22"/>
              </w:rPr>
              <w:t>12.73</w:t>
            </w:r>
          </w:p>
        </w:tc>
        <w:tc>
          <w:tcPr>
            <w:tcW w:w="0" w:type="auto"/>
            <w:tcBorders>
              <w:top w:val="nil"/>
              <w:left w:val="nil"/>
              <w:bottom w:val="single" w:color="auto" w:sz="4" w:space="0"/>
              <w:right w:val="single" w:color="auto" w:sz="4" w:space="0"/>
            </w:tcBorders>
            <w:vAlign w:val="center"/>
          </w:tcPr>
          <w:p w14:paraId="5DCE095A">
            <w:pPr>
              <w:widowControl/>
              <w:jc w:val="center"/>
              <w:rPr>
                <w:color w:val="000000"/>
                <w:kern w:val="0"/>
                <w:sz w:val="22"/>
                <w:szCs w:val="22"/>
              </w:rPr>
            </w:pPr>
            <w:r>
              <w:rPr>
                <w:rFonts w:eastAsia="等线"/>
                <w:color w:val="000000"/>
                <w:sz w:val="22"/>
                <w:szCs w:val="22"/>
              </w:rPr>
              <w:t>120</w:t>
            </w:r>
          </w:p>
        </w:tc>
        <w:tc>
          <w:tcPr>
            <w:tcW w:w="0" w:type="auto"/>
            <w:tcBorders>
              <w:top w:val="nil"/>
              <w:left w:val="nil"/>
              <w:bottom w:val="single" w:color="auto" w:sz="4" w:space="0"/>
              <w:right w:val="single" w:color="auto" w:sz="4" w:space="0"/>
            </w:tcBorders>
            <w:vAlign w:val="center"/>
          </w:tcPr>
          <w:p w14:paraId="4449A7E6">
            <w:pPr>
              <w:widowControl/>
              <w:jc w:val="center"/>
              <w:rPr>
                <w:color w:val="000000"/>
                <w:kern w:val="0"/>
                <w:sz w:val="22"/>
                <w:szCs w:val="22"/>
              </w:rPr>
            </w:pPr>
            <w:r>
              <w:rPr>
                <w:rFonts w:eastAsia="等线"/>
                <w:color w:val="000000"/>
                <w:sz w:val="22"/>
                <w:szCs w:val="22"/>
              </w:rPr>
              <w:t>1035</w:t>
            </w:r>
          </w:p>
        </w:tc>
        <w:tc>
          <w:tcPr>
            <w:tcW w:w="0" w:type="auto"/>
            <w:tcBorders>
              <w:top w:val="nil"/>
              <w:left w:val="nil"/>
              <w:bottom w:val="single" w:color="auto" w:sz="4" w:space="0"/>
              <w:right w:val="single" w:color="auto" w:sz="4" w:space="0"/>
            </w:tcBorders>
            <w:vAlign w:val="center"/>
          </w:tcPr>
          <w:p w14:paraId="58BAF31A">
            <w:pPr>
              <w:widowControl/>
              <w:jc w:val="center"/>
              <w:rPr>
                <w:color w:val="000000"/>
                <w:kern w:val="0"/>
                <w:sz w:val="22"/>
                <w:szCs w:val="22"/>
              </w:rPr>
            </w:pPr>
            <w:r>
              <w:rPr>
                <w:rFonts w:eastAsia="等线"/>
                <w:color w:val="000000"/>
                <w:sz w:val="22"/>
                <w:szCs w:val="22"/>
              </w:rPr>
              <w:t>80</w:t>
            </w:r>
          </w:p>
        </w:tc>
        <w:tc>
          <w:tcPr>
            <w:tcW w:w="0" w:type="auto"/>
            <w:tcBorders>
              <w:top w:val="nil"/>
              <w:left w:val="nil"/>
              <w:bottom w:val="single" w:color="auto" w:sz="4" w:space="0"/>
              <w:right w:val="single" w:color="auto" w:sz="4" w:space="0"/>
            </w:tcBorders>
            <w:vAlign w:val="center"/>
          </w:tcPr>
          <w:p w14:paraId="170D1067">
            <w:pPr>
              <w:widowControl/>
              <w:jc w:val="center"/>
              <w:rPr>
                <w:color w:val="000000"/>
                <w:kern w:val="0"/>
                <w:sz w:val="22"/>
                <w:szCs w:val="22"/>
              </w:rPr>
            </w:pPr>
            <w:r>
              <w:rPr>
                <w:rFonts w:eastAsia="等线"/>
                <w:color w:val="000000"/>
                <w:sz w:val="22"/>
                <w:szCs w:val="22"/>
              </w:rPr>
              <w:t>371.7</w:t>
            </w:r>
          </w:p>
        </w:tc>
        <w:tc>
          <w:tcPr>
            <w:tcW w:w="0" w:type="auto"/>
            <w:tcBorders>
              <w:top w:val="nil"/>
              <w:left w:val="nil"/>
              <w:bottom w:val="single" w:color="auto" w:sz="4" w:space="0"/>
              <w:right w:val="single" w:color="auto" w:sz="4" w:space="0"/>
            </w:tcBorders>
            <w:noWrap/>
            <w:vAlign w:val="center"/>
          </w:tcPr>
          <w:p w14:paraId="6B3AFEBB">
            <w:pPr>
              <w:widowControl/>
              <w:jc w:val="center"/>
              <w:rPr>
                <w:color w:val="000000"/>
                <w:kern w:val="0"/>
                <w:sz w:val="22"/>
                <w:szCs w:val="22"/>
              </w:rPr>
            </w:pPr>
            <w:r>
              <w:rPr>
                <w:rFonts w:eastAsia="等线"/>
                <w:color w:val="000000"/>
                <w:sz w:val="22"/>
                <w:szCs w:val="22"/>
              </w:rPr>
              <w:t>1406.7</w:t>
            </w:r>
          </w:p>
        </w:tc>
      </w:tr>
    </w:tbl>
    <w:p w14:paraId="5A7BDD86">
      <w:pPr>
        <w:tabs>
          <w:tab w:val="left" w:pos="5400"/>
        </w:tabs>
        <w:spacing w:line="600" w:lineRule="exact"/>
        <w:ind w:firstLine="560" w:firstLineChars="200"/>
        <w:rPr>
          <w:kern w:val="0"/>
          <w:sz w:val="28"/>
          <w:szCs w:val="28"/>
          <w:lang w:val="zh-CN"/>
        </w:rPr>
      </w:pPr>
      <w:r>
        <w:rPr>
          <w:rFonts w:hint="eastAsia"/>
          <w:kern w:val="0"/>
          <w:sz w:val="28"/>
          <w:szCs w:val="28"/>
          <w:lang w:val="zh-CN"/>
        </w:rPr>
        <w:t>3、城镇公共需水预测</w:t>
      </w:r>
    </w:p>
    <w:p w14:paraId="3BB7A543">
      <w:pPr>
        <w:tabs>
          <w:tab w:val="left" w:pos="5400"/>
        </w:tabs>
        <w:spacing w:line="600" w:lineRule="exact"/>
        <w:ind w:firstLine="560" w:firstLineChars="200"/>
        <w:rPr>
          <w:kern w:val="0"/>
          <w:sz w:val="28"/>
          <w:szCs w:val="28"/>
          <w:lang w:val="zh-CN"/>
        </w:rPr>
      </w:pPr>
      <w:r>
        <w:rPr>
          <w:rFonts w:hint="eastAsia"/>
          <w:kern w:val="0"/>
          <w:sz w:val="28"/>
          <w:szCs w:val="28"/>
          <w:lang w:val="zh-CN"/>
        </w:rPr>
        <w:t>城镇公共需水预测按照城镇居民生活用水量的比例进行预测，2023年平阴县城镇公共用水占城镇居民生活用水量的42.8%。因此，结合平阴县第三产业现状和规划发展情况，确定2030年城镇公共用水占城镇居民生活用水量的45%，2035年占比为40%，则2030年平阴县城镇公共用水量为344.3</w:t>
      </w:r>
      <w:r>
        <w:rPr>
          <w:rFonts w:hint="eastAsia"/>
          <w:color w:val="000000" w:themeColor="text1"/>
          <w:sz w:val="28"/>
          <w:szCs w:val="28"/>
        </w:rPr>
        <w:t>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2035年为414.0万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6E0BADF4">
      <w:pPr>
        <w:tabs>
          <w:tab w:val="left" w:pos="5400"/>
        </w:tabs>
        <w:spacing w:line="600" w:lineRule="exact"/>
        <w:ind w:firstLine="560" w:firstLineChars="200"/>
        <w:rPr>
          <w:kern w:val="0"/>
          <w:sz w:val="28"/>
          <w:szCs w:val="28"/>
          <w:lang w:val="zh-CN"/>
        </w:rPr>
      </w:pPr>
      <w:bookmarkStart w:id="85" w:name="_Hlk184981080"/>
      <w:r>
        <w:rPr>
          <w:rFonts w:hint="eastAsia"/>
          <w:kern w:val="0"/>
          <w:sz w:val="28"/>
          <w:szCs w:val="28"/>
          <w:lang w:val="zh-CN"/>
        </w:rPr>
        <w:t>4、农业需水预测</w:t>
      </w:r>
    </w:p>
    <w:p w14:paraId="511D6ABE">
      <w:pPr>
        <w:tabs>
          <w:tab w:val="left" w:pos="5400"/>
        </w:tabs>
        <w:spacing w:line="600" w:lineRule="exact"/>
        <w:ind w:firstLine="560" w:firstLineChars="200"/>
        <w:rPr>
          <w:kern w:val="0"/>
          <w:sz w:val="28"/>
          <w:szCs w:val="28"/>
        </w:rPr>
      </w:pPr>
      <w:r>
        <w:rPr>
          <w:kern w:val="0"/>
          <w:sz w:val="28"/>
          <w:szCs w:val="28"/>
          <w:lang w:val="zh-CN"/>
        </w:rPr>
        <w:t>农业需水包括农田灌溉需水和林牧渔畜需水两部分，其中农田灌溉需水分为水田、水浇地和菜田需水；林牧渔畜</w:t>
      </w:r>
      <w:r>
        <w:rPr>
          <w:rFonts w:hint="eastAsia"/>
          <w:kern w:val="0"/>
          <w:sz w:val="28"/>
          <w:szCs w:val="28"/>
          <w:lang w:val="zh-CN"/>
        </w:rPr>
        <w:t>由</w:t>
      </w:r>
      <w:r>
        <w:rPr>
          <w:kern w:val="0"/>
          <w:sz w:val="28"/>
          <w:szCs w:val="28"/>
          <w:lang w:val="zh-CN"/>
        </w:rPr>
        <w:t>林果地灌溉、鱼塘补水和牲畜用水等</w:t>
      </w:r>
      <w:r>
        <w:rPr>
          <w:rFonts w:hint="eastAsia"/>
          <w:kern w:val="0"/>
          <w:sz w:val="28"/>
          <w:szCs w:val="28"/>
          <w:lang w:val="zh-CN"/>
        </w:rPr>
        <w:t>组成</w:t>
      </w:r>
      <w:r>
        <w:rPr>
          <w:kern w:val="0"/>
          <w:sz w:val="28"/>
          <w:szCs w:val="28"/>
          <w:lang w:val="zh-CN"/>
        </w:rPr>
        <w:t>。</w:t>
      </w:r>
    </w:p>
    <w:bookmarkEnd w:id="85"/>
    <w:p w14:paraId="2F222979">
      <w:pPr>
        <w:tabs>
          <w:tab w:val="left" w:pos="5400"/>
        </w:tabs>
        <w:spacing w:line="600" w:lineRule="exact"/>
        <w:ind w:firstLine="560" w:firstLineChars="200"/>
        <w:rPr>
          <w:color w:val="000000" w:themeColor="text1"/>
          <w:sz w:val="28"/>
          <w:szCs w:val="28"/>
        </w:rPr>
      </w:pPr>
      <w:bookmarkStart w:id="86" w:name="_Hlk184981090"/>
      <w:r>
        <w:rPr>
          <w:rFonts w:hint="eastAsia"/>
          <w:color w:val="000000" w:themeColor="text1"/>
          <w:sz w:val="28"/>
          <w:szCs w:val="28"/>
        </w:rPr>
        <w:t>（1）农业发展与土地利用指标预测</w:t>
      </w:r>
    </w:p>
    <w:p w14:paraId="7AFD584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随着平阴县灌区续建配套与节水改造工程的实施，中低产田改造和水利灌溉系统的完善，积极推进农业种植结构调整，提高复种指数和作物单产，加大畜牧业的养殖规模；分别预测了2030年和2035年农业发展与土地利用指标，具体详见表2.3.4-3。</w:t>
      </w:r>
    </w:p>
    <w:p w14:paraId="0C61ABB9">
      <w:pPr>
        <w:tabs>
          <w:tab w:val="left" w:pos="5400"/>
        </w:tabs>
        <w:spacing w:line="600" w:lineRule="exact"/>
        <w:ind w:firstLine="560" w:firstLineChars="200"/>
        <w:rPr>
          <w:color w:val="000000" w:themeColor="text1"/>
          <w:sz w:val="28"/>
          <w:szCs w:val="28"/>
        </w:rPr>
      </w:pPr>
    </w:p>
    <w:bookmarkEnd w:id="86"/>
    <w:p w14:paraId="24FA344A">
      <w:pPr>
        <w:keepNext/>
        <w:tabs>
          <w:tab w:val="left" w:pos="5400"/>
        </w:tabs>
        <w:spacing w:line="600" w:lineRule="exact"/>
        <w:jc w:val="center"/>
        <w:rPr>
          <w:b/>
          <w:bCs/>
          <w:color w:val="000000" w:themeColor="text1"/>
          <w:sz w:val="24"/>
        </w:rPr>
      </w:pPr>
      <w:bookmarkStart w:id="87" w:name="_Hlk184981130"/>
      <w:r>
        <w:rPr>
          <w:rFonts w:hint="eastAsia"/>
          <w:b/>
          <w:bCs/>
          <w:color w:val="000000" w:themeColor="text1"/>
          <w:sz w:val="24"/>
        </w:rPr>
        <w:t>表2.3.4-3  平阴县农业发展与土地利用指标预测成果表</w:t>
      </w:r>
    </w:p>
    <w:tbl>
      <w:tblPr>
        <w:tblStyle w:val="46"/>
        <w:tblW w:w="0" w:type="auto"/>
        <w:tblInd w:w="113" w:type="dxa"/>
        <w:tblLayout w:type="autofit"/>
        <w:tblCellMar>
          <w:top w:w="0" w:type="dxa"/>
          <w:left w:w="108" w:type="dxa"/>
          <w:bottom w:w="0" w:type="dxa"/>
          <w:right w:w="108" w:type="dxa"/>
        </w:tblCellMar>
      </w:tblPr>
      <w:tblGrid>
        <w:gridCol w:w="656"/>
        <w:gridCol w:w="810"/>
        <w:gridCol w:w="759"/>
        <w:gridCol w:w="658"/>
        <w:gridCol w:w="1181"/>
        <w:gridCol w:w="1176"/>
        <w:gridCol w:w="929"/>
        <w:gridCol w:w="668"/>
        <w:gridCol w:w="751"/>
        <w:gridCol w:w="821"/>
      </w:tblGrid>
      <w:tr w14:paraId="201230DA">
        <w:tblPrEx>
          <w:tblCellMar>
            <w:top w:w="0" w:type="dxa"/>
            <w:left w:w="108" w:type="dxa"/>
            <w:bottom w:w="0" w:type="dxa"/>
            <w:right w:w="108" w:type="dxa"/>
          </w:tblCellMar>
        </w:tblPrEx>
        <w:trPr>
          <w:trHeight w:val="454" w:hRule="atLeast"/>
        </w:trPr>
        <w:tc>
          <w:tcPr>
            <w:tcW w:w="0" w:type="auto"/>
            <w:vMerge w:val="restart"/>
            <w:tcBorders>
              <w:top w:val="single" w:color="auto" w:sz="4" w:space="0"/>
              <w:left w:val="single" w:color="auto" w:sz="4" w:space="0"/>
              <w:bottom w:val="single" w:color="auto" w:sz="4" w:space="0"/>
              <w:right w:val="single" w:color="auto" w:sz="4" w:space="0"/>
            </w:tcBorders>
            <w:vAlign w:val="center"/>
          </w:tcPr>
          <w:p w14:paraId="54A27B84">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年份</w:t>
            </w:r>
          </w:p>
        </w:tc>
        <w:tc>
          <w:tcPr>
            <w:tcW w:w="0" w:type="auto"/>
            <w:gridSpan w:val="3"/>
            <w:tcBorders>
              <w:top w:val="single" w:color="auto" w:sz="4" w:space="0"/>
              <w:left w:val="nil"/>
              <w:bottom w:val="single" w:color="auto" w:sz="4" w:space="0"/>
              <w:right w:val="single" w:color="auto" w:sz="4" w:space="0"/>
            </w:tcBorders>
            <w:vAlign w:val="center"/>
          </w:tcPr>
          <w:p w14:paraId="78694C4B">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农田有效灌溉面积（万亩）</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7AA0D52D">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林果地灌溉面积（万亩）</w:t>
            </w:r>
          </w:p>
        </w:tc>
        <w:tc>
          <w:tcPr>
            <w:tcW w:w="1177" w:type="dxa"/>
            <w:vMerge w:val="restart"/>
            <w:tcBorders>
              <w:top w:val="single" w:color="auto" w:sz="4" w:space="0"/>
              <w:left w:val="single" w:color="auto" w:sz="4" w:space="0"/>
              <w:bottom w:val="single" w:color="auto" w:sz="4" w:space="0"/>
              <w:right w:val="single" w:color="auto" w:sz="4" w:space="0"/>
            </w:tcBorders>
            <w:vAlign w:val="center"/>
          </w:tcPr>
          <w:p w14:paraId="071F09F9">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园地灌溉面积（万亩）</w:t>
            </w:r>
          </w:p>
        </w:tc>
        <w:tc>
          <w:tcPr>
            <w:tcW w:w="929" w:type="dxa"/>
            <w:vMerge w:val="restart"/>
            <w:tcBorders>
              <w:top w:val="single" w:color="auto" w:sz="4" w:space="0"/>
              <w:left w:val="single" w:color="auto" w:sz="4" w:space="0"/>
              <w:bottom w:val="single" w:color="auto" w:sz="4" w:space="0"/>
              <w:right w:val="single" w:color="auto" w:sz="4" w:space="0"/>
            </w:tcBorders>
            <w:vAlign w:val="center"/>
          </w:tcPr>
          <w:p w14:paraId="4CCE5B37">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鱼塘面积（万亩）</w:t>
            </w:r>
          </w:p>
        </w:tc>
        <w:tc>
          <w:tcPr>
            <w:tcW w:w="0" w:type="auto"/>
            <w:gridSpan w:val="3"/>
            <w:tcBorders>
              <w:top w:val="single" w:color="auto" w:sz="4" w:space="0"/>
              <w:left w:val="nil"/>
              <w:bottom w:val="single" w:color="auto" w:sz="4" w:space="0"/>
              <w:right w:val="single" w:color="auto" w:sz="4" w:space="0"/>
            </w:tcBorders>
            <w:vAlign w:val="center"/>
          </w:tcPr>
          <w:p w14:paraId="238E2AF1">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牲畜（万头）</w:t>
            </w:r>
          </w:p>
        </w:tc>
      </w:tr>
      <w:tr w14:paraId="0CB02762">
        <w:tblPrEx>
          <w:tblCellMar>
            <w:top w:w="0" w:type="dxa"/>
            <w:left w:w="108" w:type="dxa"/>
            <w:bottom w:w="0" w:type="dxa"/>
            <w:right w:w="108" w:type="dxa"/>
          </w:tblCellMar>
        </w:tblPrEx>
        <w:trPr>
          <w:trHeight w:val="454"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4E8D1BD">
            <w:pPr>
              <w:widowControl/>
              <w:adjustRightInd w:val="0"/>
              <w:snapToGrid w:val="0"/>
              <w:jc w:val="center"/>
              <w:rPr>
                <w:rFonts w:hint="eastAsia" w:ascii="宋体" w:hAnsi="宋体" w:cs="宋体"/>
                <w:color w:val="000000"/>
                <w:kern w:val="0"/>
                <w:sz w:val="22"/>
                <w:szCs w:val="22"/>
              </w:rPr>
            </w:pPr>
          </w:p>
        </w:tc>
        <w:tc>
          <w:tcPr>
            <w:tcW w:w="0" w:type="auto"/>
            <w:tcBorders>
              <w:top w:val="nil"/>
              <w:left w:val="nil"/>
              <w:bottom w:val="single" w:color="auto" w:sz="4" w:space="0"/>
              <w:right w:val="single" w:color="auto" w:sz="4" w:space="0"/>
            </w:tcBorders>
            <w:vAlign w:val="center"/>
          </w:tcPr>
          <w:p w14:paraId="22C348DB">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水浇地</w:t>
            </w:r>
          </w:p>
        </w:tc>
        <w:tc>
          <w:tcPr>
            <w:tcW w:w="0" w:type="auto"/>
            <w:tcBorders>
              <w:top w:val="nil"/>
              <w:left w:val="nil"/>
              <w:bottom w:val="single" w:color="auto" w:sz="4" w:space="0"/>
              <w:right w:val="single" w:color="auto" w:sz="4" w:space="0"/>
            </w:tcBorders>
            <w:vAlign w:val="center"/>
          </w:tcPr>
          <w:p w14:paraId="38CEC383">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菜地</w:t>
            </w:r>
          </w:p>
        </w:tc>
        <w:tc>
          <w:tcPr>
            <w:tcW w:w="0" w:type="auto"/>
            <w:tcBorders>
              <w:top w:val="nil"/>
              <w:left w:val="nil"/>
              <w:bottom w:val="single" w:color="auto" w:sz="4" w:space="0"/>
              <w:right w:val="single" w:color="auto" w:sz="4" w:space="0"/>
            </w:tcBorders>
            <w:vAlign w:val="center"/>
          </w:tcPr>
          <w:p w14:paraId="6F2F5D24">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小计</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7152525">
            <w:pPr>
              <w:widowControl/>
              <w:adjustRightInd w:val="0"/>
              <w:snapToGrid w:val="0"/>
              <w:jc w:val="center"/>
              <w:rPr>
                <w:rFonts w:hint="eastAsia" w:ascii="宋体" w:hAnsi="宋体" w:cs="宋体"/>
                <w:color w:val="000000"/>
                <w:kern w:val="0"/>
                <w:sz w:val="22"/>
                <w:szCs w:val="22"/>
              </w:rPr>
            </w:pPr>
          </w:p>
        </w:tc>
        <w:tc>
          <w:tcPr>
            <w:tcW w:w="1177" w:type="dxa"/>
            <w:vMerge w:val="continue"/>
            <w:tcBorders>
              <w:top w:val="single" w:color="auto" w:sz="4" w:space="0"/>
              <w:left w:val="single" w:color="auto" w:sz="4" w:space="0"/>
              <w:bottom w:val="single" w:color="auto" w:sz="4" w:space="0"/>
              <w:right w:val="single" w:color="auto" w:sz="4" w:space="0"/>
            </w:tcBorders>
            <w:vAlign w:val="center"/>
          </w:tcPr>
          <w:p w14:paraId="513EA1AE">
            <w:pPr>
              <w:widowControl/>
              <w:adjustRightInd w:val="0"/>
              <w:snapToGrid w:val="0"/>
              <w:jc w:val="center"/>
              <w:rPr>
                <w:rFonts w:hint="eastAsia" w:ascii="宋体" w:hAnsi="宋体" w:cs="宋体"/>
                <w:color w:val="000000"/>
                <w:kern w:val="0"/>
                <w:sz w:val="22"/>
                <w:szCs w:val="22"/>
              </w:rPr>
            </w:pPr>
          </w:p>
        </w:tc>
        <w:tc>
          <w:tcPr>
            <w:tcW w:w="929" w:type="dxa"/>
            <w:vMerge w:val="continue"/>
            <w:tcBorders>
              <w:top w:val="single" w:color="auto" w:sz="4" w:space="0"/>
              <w:left w:val="single" w:color="auto" w:sz="4" w:space="0"/>
              <w:bottom w:val="single" w:color="auto" w:sz="4" w:space="0"/>
              <w:right w:val="single" w:color="auto" w:sz="4" w:space="0"/>
            </w:tcBorders>
            <w:vAlign w:val="center"/>
          </w:tcPr>
          <w:p w14:paraId="6ACD749D">
            <w:pPr>
              <w:widowControl/>
              <w:adjustRightInd w:val="0"/>
              <w:snapToGrid w:val="0"/>
              <w:jc w:val="center"/>
              <w:rPr>
                <w:rFonts w:hint="eastAsia" w:ascii="宋体" w:hAnsi="宋体" w:cs="宋体"/>
                <w:color w:val="000000"/>
                <w:kern w:val="0"/>
                <w:sz w:val="22"/>
                <w:szCs w:val="22"/>
              </w:rPr>
            </w:pPr>
          </w:p>
        </w:tc>
        <w:tc>
          <w:tcPr>
            <w:tcW w:w="0" w:type="auto"/>
            <w:tcBorders>
              <w:top w:val="nil"/>
              <w:left w:val="nil"/>
              <w:bottom w:val="single" w:color="auto" w:sz="4" w:space="0"/>
              <w:right w:val="single" w:color="auto" w:sz="4" w:space="0"/>
            </w:tcBorders>
            <w:vAlign w:val="center"/>
          </w:tcPr>
          <w:p w14:paraId="66FF9428">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大牲畜</w:t>
            </w:r>
          </w:p>
        </w:tc>
        <w:tc>
          <w:tcPr>
            <w:tcW w:w="0" w:type="auto"/>
            <w:tcBorders>
              <w:top w:val="nil"/>
              <w:left w:val="nil"/>
              <w:bottom w:val="single" w:color="auto" w:sz="4" w:space="0"/>
              <w:right w:val="single" w:color="auto" w:sz="4" w:space="0"/>
            </w:tcBorders>
            <w:vAlign w:val="center"/>
          </w:tcPr>
          <w:p w14:paraId="75E3BCBC">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小牲畜</w:t>
            </w:r>
          </w:p>
        </w:tc>
        <w:tc>
          <w:tcPr>
            <w:tcW w:w="0" w:type="auto"/>
            <w:tcBorders>
              <w:top w:val="nil"/>
              <w:left w:val="nil"/>
              <w:bottom w:val="single" w:color="auto" w:sz="4" w:space="0"/>
              <w:right w:val="single" w:color="auto" w:sz="4" w:space="0"/>
            </w:tcBorders>
            <w:vAlign w:val="center"/>
          </w:tcPr>
          <w:p w14:paraId="3CCC8251">
            <w:pPr>
              <w:widowControl/>
              <w:adjustRightInd w:val="0"/>
              <w:snapToGrid w:val="0"/>
              <w:jc w:val="center"/>
              <w:rPr>
                <w:rFonts w:hint="eastAsia" w:ascii="宋体" w:hAnsi="宋体" w:cs="宋体"/>
                <w:color w:val="000000"/>
                <w:kern w:val="0"/>
                <w:sz w:val="22"/>
                <w:szCs w:val="22"/>
              </w:rPr>
            </w:pPr>
            <w:r>
              <w:rPr>
                <w:rFonts w:hint="eastAsia" w:ascii="宋体" w:hAnsi="宋体" w:cs="宋体"/>
                <w:color w:val="000000"/>
                <w:kern w:val="0"/>
                <w:sz w:val="22"/>
                <w:szCs w:val="22"/>
              </w:rPr>
              <w:t>家禽</w:t>
            </w:r>
          </w:p>
        </w:tc>
      </w:tr>
      <w:tr w14:paraId="036444EC">
        <w:tblPrEx>
          <w:tblCellMar>
            <w:top w:w="0" w:type="dxa"/>
            <w:left w:w="108" w:type="dxa"/>
            <w:bottom w:w="0" w:type="dxa"/>
            <w:right w:w="108" w:type="dxa"/>
          </w:tblCellMar>
        </w:tblPrEx>
        <w:trPr>
          <w:trHeight w:val="454" w:hRule="atLeast"/>
        </w:trPr>
        <w:tc>
          <w:tcPr>
            <w:tcW w:w="0" w:type="auto"/>
            <w:tcBorders>
              <w:top w:val="nil"/>
              <w:left w:val="single" w:color="auto" w:sz="4" w:space="0"/>
              <w:bottom w:val="single" w:color="auto" w:sz="4" w:space="0"/>
              <w:right w:val="single" w:color="auto" w:sz="4" w:space="0"/>
            </w:tcBorders>
            <w:vAlign w:val="center"/>
          </w:tcPr>
          <w:p w14:paraId="5CE398CA">
            <w:pPr>
              <w:widowControl/>
              <w:adjustRightInd w:val="0"/>
              <w:snapToGrid w:val="0"/>
              <w:jc w:val="center"/>
              <w:rPr>
                <w:rFonts w:eastAsia="等线"/>
                <w:color w:val="000000"/>
                <w:kern w:val="0"/>
                <w:sz w:val="22"/>
                <w:szCs w:val="22"/>
              </w:rPr>
            </w:pPr>
            <w:r>
              <w:rPr>
                <w:rFonts w:eastAsia="等线"/>
                <w:color w:val="000000"/>
                <w:kern w:val="0"/>
                <w:sz w:val="22"/>
                <w:szCs w:val="22"/>
              </w:rPr>
              <w:t>2023</w:t>
            </w:r>
          </w:p>
        </w:tc>
        <w:tc>
          <w:tcPr>
            <w:tcW w:w="0" w:type="auto"/>
            <w:tcBorders>
              <w:top w:val="nil"/>
              <w:left w:val="nil"/>
              <w:bottom w:val="single" w:color="auto" w:sz="4" w:space="0"/>
              <w:right w:val="single" w:color="auto" w:sz="4" w:space="0"/>
            </w:tcBorders>
            <w:vAlign w:val="center"/>
          </w:tcPr>
          <w:p w14:paraId="22697472">
            <w:pPr>
              <w:widowControl/>
              <w:adjustRightInd w:val="0"/>
              <w:snapToGrid w:val="0"/>
              <w:jc w:val="center"/>
              <w:rPr>
                <w:rFonts w:eastAsia="等线"/>
                <w:color w:val="000000"/>
                <w:kern w:val="0"/>
                <w:sz w:val="22"/>
                <w:szCs w:val="22"/>
              </w:rPr>
            </w:pPr>
            <w:r>
              <w:rPr>
                <w:rFonts w:eastAsia="等线"/>
                <w:color w:val="000000"/>
                <w:kern w:val="0"/>
                <w:sz w:val="22"/>
                <w:szCs w:val="22"/>
              </w:rPr>
              <w:t>12.68</w:t>
            </w:r>
          </w:p>
        </w:tc>
        <w:tc>
          <w:tcPr>
            <w:tcW w:w="0" w:type="auto"/>
            <w:tcBorders>
              <w:top w:val="nil"/>
              <w:left w:val="nil"/>
              <w:bottom w:val="single" w:color="auto" w:sz="4" w:space="0"/>
              <w:right w:val="single" w:color="auto" w:sz="4" w:space="0"/>
            </w:tcBorders>
            <w:vAlign w:val="center"/>
          </w:tcPr>
          <w:p w14:paraId="42A504F1">
            <w:pPr>
              <w:widowControl/>
              <w:adjustRightInd w:val="0"/>
              <w:snapToGrid w:val="0"/>
              <w:jc w:val="center"/>
              <w:rPr>
                <w:rFonts w:eastAsia="等线"/>
                <w:color w:val="000000"/>
                <w:kern w:val="0"/>
                <w:sz w:val="22"/>
                <w:szCs w:val="22"/>
              </w:rPr>
            </w:pPr>
            <w:r>
              <w:rPr>
                <w:rFonts w:eastAsia="等线"/>
                <w:color w:val="000000"/>
                <w:kern w:val="0"/>
                <w:sz w:val="22"/>
                <w:szCs w:val="22"/>
              </w:rPr>
              <w:t>13.32</w:t>
            </w:r>
          </w:p>
        </w:tc>
        <w:tc>
          <w:tcPr>
            <w:tcW w:w="0" w:type="auto"/>
            <w:tcBorders>
              <w:top w:val="nil"/>
              <w:left w:val="nil"/>
              <w:bottom w:val="single" w:color="auto" w:sz="4" w:space="0"/>
              <w:right w:val="single" w:color="auto" w:sz="4" w:space="0"/>
            </w:tcBorders>
            <w:vAlign w:val="center"/>
          </w:tcPr>
          <w:p w14:paraId="4FBB6EFC">
            <w:pPr>
              <w:widowControl/>
              <w:adjustRightInd w:val="0"/>
              <w:snapToGrid w:val="0"/>
              <w:jc w:val="center"/>
              <w:rPr>
                <w:rFonts w:eastAsia="等线"/>
                <w:color w:val="000000"/>
                <w:kern w:val="0"/>
                <w:sz w:val="22"/>
                <w:szCs w:val="22"/>
              </w:rPr>
            </w:pPr>
            <w:r>
              <w:rPr>
                <w:rFonts w:eastAsia="等线"/>
                <w:color w:val="000000"/>
                <w:kern w:val="0"/>
                <w:sz w:val="22"/>
                <w:szCs w:val="22"/>
              </w:rPr>
              <w:t>26</w:t>
            </w:r>
          </w:p>
        </w:tc>
        <w:tc>
          <w:tcPr>
            <w:tcW w:w="0" w:type="auto"/>
            <w:tcBorders>
              <w:top w:val="nil"/>
              <w:left w:val="nil"/>
              <w:bottom w:val="single" w:color="auto" w:sz="4" w:space="0"/>
              <w:right w:val="single" w:color="auto" w:sz="4" w:space="0"/>
            </w:tcBorders>
            <w:vAlign w:val="center"/>
          </w:tcPr>
          <w:p w14:paraId="649DA6CA">
            <w:pPr>
              <w:widowControl/>
              <w:adjustRightInd w:val="0"/>
              <w:snapToGrid w:val="0"/>
              <w:jc w:val="center"/>
              <w:rPr>
                <w:rFonts w:eastAsia="等线"/>
                <w:color w:val="000000"/>
                <w:kern w:val="0"/>
                <w:sz w:val="22"/>
                <w:szCs w:val="22"/>
              </w:rPr>
            </w:pPr>
            <w:r>
              <w:rPr>
                <w:rFonts w:eastAsia="等线"/>
                <w:color w:val="000000"/>
                <w:kern w:val="0"/>
                <w:sz w:val="22"/>
                <w:szCs w:val="22"/>
              </w:rPr>
              <w:t>16.55</w:t>
            </w:r>
          </w:p>
        </w:tc>
        <w:tc>
          <w:tcPr>
            <w:tcW w:w="1177" w:type="dxa"/>
            <w:tcBorders>
              <w:top w:val="nil"/>
              <w:left w:val="nil"/>
              <w:bottom w:val="single" w:color="auto" w:sz="4" w:space="0"/>
              <w:right w:val="single" w:color="auto" w:sz="4" w:space="0"/>
            </w:tcBorders>
            <w:vAlign w:val="center"/>
          </w:tcPr>
          <w:p w14:paraId="0F148D25">
            <w:pPr>
              <w:widowControl/>
              <w:adjustRightInd w:val="0"/>
              <w:snapToGrid w:val="0"/>
              <w:jc w:val="center"/>
              <w:rPr>
                <w:rFonts w:eastAsia="等线"/>
                <w:color w:val="000000"/>
                <w:kern w:val="0"/>
                <w:sz w:val="22"/>
                <w:szCs w:val="22"/>
              </w:rPr>
            </w:pPr>
            <w:r>
              <w:rPr>
                <w:rFonts w:eastAsia="等线"/>
                <w:color w:val="000000"/>
                <w:kern w:val="0"/>
                <w:sz w:val="22"/>
                <w:szCs w:val="22"/>
              </w:rPr>
              <w:t>0.5</w:t>
            </w:r>
          </w:p>
        </w:tc>
        <w:tc>
          <w:tcPr>
            <w:tcW w:w="929" w:type="dxa"/>
            <w:tcBorders>
              <w:top w:val="nil"/>
              <w:left w:val="nil"/>
              <w:bottom w:val="single" w:color="auto" w:sz="4" w:space="0"/>
              <w:right w:val="single" w:color="auto" w:sz="4" w:space="0"/>
            </w:tcBorders>
            <w:vAlign w:val="center"/>
          </w:tcPr>
          <w:p w14:paraId="22777E4A">
            <w:pPr>
              <w:widowControl/>
              <w:adjustRightInd w:val="0"/>
              <w:snapToGrid w:val="0"/>
              <w:jc w:val="center"/>
              <w:rPr>
                <w:rFonts w:eastAsia="等线"/>
                <w:color w:val="000000"/>
                <w:kern w:val="0"/>
                <w:sz w:val="22"/>
                <w:szCs w:val="22"/>
              </w:rPr>
            </w:pPr>
            <w:r>
              <w:rPr>
                <w:rFonts w:eastAsia="等线"/>
                <w:color w:val="000000"/>
                <w:kern w:val="0"/>
                <w:sz w:val="22"/>
                <w:szCs w:val="22"/>
              </w:rPr>
              <w:t>0.129</w:t>
            </w:r>
          </w:p>
        </w:tc>
        <w:tc>
          <w:tcPr>
            <w:tcW w:w="0" w:type="auto"/>
            <w:tcBorders>
              <w:top w:val="nil"/>
              <w:left w:val="nil"/>
              <w:bottom w:val="single" w:color="auto" w:sz="4" w:space="0"/>
              <w:right w:val="single" w:color="auto" w:sz="4" w:space="0"/>
            </w:tcBorders>
            <w:vAlign w:val="center"/>
          </w:tcPr>
          <w:p w14:paraId="5D34990C">
            <w:pPr>
              <w:widowControl/>
              <w:adjustRightInd w:val="0"/>
              <w:snapToGrid w:val="0"/>
              <w:jc w:val="center"/>
              <w:rPr>
                <w:rFonts w:eastAsia="等线"/>
                <w:color w:val="000000"/>
                <w:kern w:val="0"/>
                <w:sz w:val="22"/>
                <w:szCs w:val="22"/>
              </w:rPr>
            </w:pPr>
            <w:r>
              <w:rPr>
                <w:rFonts w:eastAsia="等线"/>
                <w:color w:val="000000"/>
                <w:kern w:val="0"/>
                <w:sz w:val="22"/>
                <w:szCs w:val="22"/>
              </w:rPr>
              <w:t>2.86</w:t>
            </w:r>
          </w:p>
        </w:tc>
        <w:tc>
          <w:tcPr>
            <w:tcW w:w="0" w:type="auto"/>
            <w:tcBorders>
              <w:top w:val="nil"/>
              <w:left w:val="nil"/>
              <w:bottom w:val="single" w:color="auto" w:sz="4" w:space="0"/>
              <w:right w:val="single" w:color="auto" w:sz="4" w:space="0"/>
            </w:tcBorders>
            <w:vAlign w:val="center"/>
          </w:tcPr>
          <w:p w14:paraId="45E05C18">
            <w:pPr>
              <w:widowControl/>
              <w:adjustRightInd w:val="0"/>
              <w:snapToGrid w:val="0"/>
              <w:jc w:val="center"/>
              <w:rPr>
                <w:rFonts w:eastAsia="等线"/>
                <w:color w:val="000000"/>
                <w:kern w:val="0"/>
                <w:sz w:val="22"/>
                <w:szCs w:val="22"/>
              </w:rPr>
            </w:pPr>
            <w:r>
              <w:rPr>
                <w:rFonts w:eastAsia="等线"/>
                <w:color w:val="000000"/>
                <w:kern w:val="0"/>
                <w:sz w:val="22"/>
                <w:szCs w:val="22"/>
              </w:rPr>
              <w:t>20.86</w:t>
            </w:r>
          </w:p>
        </w:tc>
        <w:tc>
          <w:tcPr>
            <w:tcW w:w="0" w:type="auto"/>
            <w:tcBorders>
              <w:top w:val="nil"/>
              <w:left w:val="nil"/>
              <w:bottom w:val="single" w:color="auto" w:sz="4" w:space="0"/>
              <w:right w:val="single" w:color="auto" w:sz="4" w:space="0"/>
            </w:tcBorders>
            <w:vAlign w:val="center"/>
          </w:tcPr>
          <w:p w14:paraId="4B39CC6D">
            <w:pPr>
              <w:widowControl/>
              <w:adjustRightInd w:val="0"/>
              <w:snapToGrid w:val="0"/>
              <w:jc w:val="center"/>
              <w:rPr>
                <w:rFonts w:eastAsia="等线"/>
                <w:color w:val="000000"/>
                <w:kern w:val="0"/>
                <w:sz w:val="22"/>
                <w:szCs w:val="22"/>
              </w:rPr>
            </w:pPr>
            <w:r>
              <w:rPr>
                <w:rFonts w:eastAsia="等线"/>
                <w:color w:val="000000"/>
                <w:kern w:val="0"/>
                <w:sz w:val="22"/>
                <w:szCs w:val="22"/>
              </w:rPr>
              <w:t>275.57</w:t>
            </w:r>
          </w:p>
        </w:tc>
      </w:tr>
      <w:tr w14:paraId="2E6FA816">
        <w:tblPrEx>
          <w:tblCellMar>
            <w:top w:w="0" w:type="dxa"/>
            <w:left w:w="108" w:type="dxa"/>
            <w:bottom w:w="0" w:type="dxa"/>
            <w:right w:w="108" w:type="dxa"/>
          </w:tblCellMar>
        </w:tblPrEx>
        <w:trPr>
          <w:trHeight w:val="454" w:hRule="atLeast"/>
        </w:trPr>
        <w:tc>
          <w:tcPr>
            <w:tcW w:w="0" w:type="auto"/>
            <w:tcBorders>
              <w:top w:val="nil"/>
              <w:left w:val="single" w:color="auto" w:sz="4" w:space="0"/>
              <w:bottom w:val="single" w:color="auto" w:sz="4" w:space="0"/>
              <w:right w:val="single" w:color="auto" w:sz="4" w:space="0"/>
            </w:tcBorders>
            <w:vAlign w:val="center"/>
          </w:tcPr>
          <w:p w14:paraId="38B4C49D">
            <w:pPr>
              <w:widowControl/>
              <w:adjustRightInd w:val="0"/>
              <w:snapToGrid w:val="0"/>
              <w:jc w:val="center"/>
              <w:rPr>
                <w:rFonts w:eastAsia="等线"/>
                <w:color w:val="000000"/>
                <w:kern w:val="0"/>
                <w:sz w:val="22"/>
                <w:szCs w:val="22"/>
              </w:rPr>
            </w:pPr>
            <w:r>
              <w:rPr>
                <w:rFonts w:eastAsia="等线"/>
                <w:color w:val="000000"/>
                <w:kern w:val="0"/>
                <w:sz w:val="22"/>
                <w:szCs w:val="22"/>
              </w:rPr>
              <w:t>2030</w:t>
            </w:r>
          </w:p>
        </w:tc>
        <w:tc>
          <w:tcPr>
            <w:tcW w:w="0" w:type="auto"/>
            <w:tcBorders>
              <w:top w:val="nil"/>
              <w:left w:val="nil"/>
              <w:bottom w:val="single" w:color="auto" w:sz="4" w:space="0"/>
              <w:right w:val="single" w:color="auto" w:sz="4" w:space="0"/>
            </w:tcBorders>
            <w:vAlign w:val="center"/>
          </w:tcPr>
          <w:p w14:paraId="09E77B54">
            <w:pPr>
              <w:widowControl/>
              <w:adjustRightInd w:val="0"/>
              <w:snapToGrid w:val="0"/>
              <w:jc w:val="center"/>
              <w:rPr>
                <w:rFonts w:eastAsia="等线"/>
                <w:color w:val="000000"/>
                <w:kern w:val="0"/>
                <w:sz w:val="22"/>
                <w:szCs w:val="22"/>
              </w:rPr>
            </w:pPr>
            <w:r>
              <w:rPr>
                <w:rFonts w:eastAsia="等线"/>
                <w:color w:val="000000"/>
                <w:kern w:val="0"/>
                <w:sz w:val="22"/>
                <w:szCs w:val="22"/>
              </w:rPr>
              <w:t>15.5</w:t>
            </w:r>
          </w:p>
        </w:tc>
        <w:tc>
          <w:tcPr>
            <w:tcW w:w="0" w:type="auto"/>
            <w:tcBorders>
              <w:top w:val="nil"/>
              <w:left w:val="nil"/>
              <w:bottom w:val="single" w:color="auto" w:sz="4" w:space="0"/>
              <w:right w:val="single" w:color="auto" w:sz="4" w:space="0"/>
            </w:tcBorders>
            <w:vAlign w:val="center"/>
          </w:tcPr>
          <w:p w14:paraId="1072F326">
            <w:pPr>
              <w:widowControl/>
              <w:adjustRightInd w:val="0"/>
              <w:snapToGrid w:val="0"/>
              <w:jc w:val="center"/>
              <w:rPr>
                <w:rFonts w:eastAsia="等线"/>
                <w:color w:val="000000"/>
                <w:kern w:val="0"/>
                <w:sz w:val="22"/>
                <w:szCs w:val="22"/>
              </w:rPr>
            </w:pPr>
            <w:r>
              <w:rPr>
                <w:rFonts w:eastAsia="等线"/>
                <w:color w:val="000000"/>
                <w:kern w:val="0"/>
                <w:sz w:val="22"/>
                <w:szCs w:val="22"/>
              </w:rPr>
              <w:t>14</w:t>
            </w:r>
          </w:p>
        </w:tc>
        <w:tc>
          <w:tcPr>
            <w:tcW w:w="0" w:type="auto"/>
            <w:tcBorders>
              <w:top w:val="nil"/>
              <w:left w:val="nil"/>
              <w:bottom w:val="single" w:color="auto" w:sz="4" w:space="0"/>
              <w:right w:val="single" w:color="auto" w:sz="4" w:space="0"/>
            </w:tcBorders>
            <w:vAlign w:val="center"/>
          </w:tcPr>
          <w:p w14:paraId="24E6C409">
            <w:pPr>
              <w:widowControl/>
              <w:adjustRightInd w:val="0"/>
              <w:snapToGrid w:val="0"/>
              <w:jc w:val="center"/>
              <w:rPr>
                <w:rFonts w:eastAsia="等线"/>
                <w:color w:val="000000"/>
                <w:kern w:val="0"/>
                <w:sz w:val="22"/>
                <w:szCs w:val="22"/>
              </w:rPr>
            </w:pPr>
            <w:r>
              <w:rPr>
                <w:rFonts w:eastAsia="等线"/>
                <w:color w:val="000000"/>
                <w:kern w:val="0"/>
                <w:sz w:val="22"/>
                <w:szCs w:val="22"/>
              </w:rPr>
              <w:t>29.5</w:t>
            </w:r>
          </w:p>
        </w:tc>
        <w:tc>
          <w:tcPr>
            <w:tcW w:w="0" w:type="auto"/>
            <w:tcBorders>
              <w:top w:val="nil"/>
              <w:left w:val="nil"/>
              <w:bottom w:val="single" w:color="auto" w:sz="4" w:space="0"/>
              <w:right w:val="single" w:color="auto" w:sz="4" w:space="0"/>
            </w:tcBorders>
            <w:vAlign w:val="center"/>
          </w:tcPr>
          <w:p w14:paraId="43FB4ED5">
            <w:pPr>
              <w:widowControl/>
              <w:adjustRightInd w:val="0"/>
              <w:snapToGrid w:val="0"/>
              <w:jc w:val="center"/>
              <w:rPr>
                <w:rFonts w:eastAsia="等线"/>
                <w:color w:val="000000"/>
                <w:kern w:val="0"/>
                <w:sz w:val="22"/>
                <w:szCs w:val="22"/>
              </w:rPr>
            </w:pPr>
            <w:r>
              <w:rPr>
                <w:rFonts w:eastAsia="等线"/>
                <w:color w:val="000000"/>
                <w:kern w:val="0"/>
                <w:sz w:val="22"/>
                <w:szCs w:val="22"/>
              </w:rPr>
              <w:t>17</w:t>
            </w:r>
          </w:p>
        </w:tc>
        <w:tc>
          <w:tcPr>
            <w:tcW w:w="1177" w:type="dxa"/>
            <w:tcBorders>
              <w:top w:val="nil"/>
              <w:left w:val="nil"/>
              <w:bottom w:val="single" w:color="auto" w:sz="4" w:space="0"/>
              <w:right w:val="single" w:color="auto" w:sz="4" w:space="0"/>
            </w:tcBorders>
            <w:vAlign w:val="center"/>
          </w:tcPr>
          <w:p w14:paraId="1B0C18BF">
            <w:pPr>
              <w:widowControl/>
              <w:adjustRightInd w:val="0"/>
              <w:snapToGrid w:val="0"/>
              <w:jc w:val="center"/>
              <w:rPr>
                <w:rFonts w:eastAsia="等线"/>
                <w:color w:val="000000"/>
                <w:kern w:val="0"/>
                <w:sz w:val="22"/>
                <w:szCs w:val="22"/>
              </w:rPr>
            </w:pPr>
            <w:r>
              <w:rPr>
                <w:rFonts w:eastAsia="等线"/>
                <w:color w:val="000000"/>
                <w:kern w:val="0"/>
                <w:sz w:val="22"/>
                <w:szCs w:val="22"/>
              </w:rPr>
              <w:t>0.6</w:t>
            </w:r>
          </w:p>
        </w:tc>
        <w:tc>
          <w:tcPr>
            <w:tcW w:w="929" w:type="dxa"/>
            <w:tcBorders>
              <w:top w:val="nil"/>
              <w:left w:val="nil"/>
              <w:bottom w:val="single" w:color="auto" w:sz="4" w:space="0"/>
              <w:right w:val="single" w:color="auto" w:sz="4" w:space="0"/>
            </w:tcBorders>
            <w:vAlign w:val="center"/>
          </w:tcPr>
          <w:p w14:paraId="3A1E2949">
            <w:pPr>
              <w:widowControl/>
              <w:adjustRightInd w:val="0"/>
              <w:snapToGrid w:val="0"/>
              <w:jc w:val="center"/>
              <w:rPr>
                <w:rFonts w:eastAsia="等线"/>
                <w:color w:val="000000"/>
                <w:kern w:val="0"/>
                <w:sz w:val="22"/>
                <w:szCs w:val="22"/>
              </w:rPr>
            </w:pPr>
            <w:r>
              <w:rPr>
                <w:rFonts w:eastAsia="等线"/>
                <w:color w:val="000000"/>
                <w:kern w:val="0"/>
                <w:sz w:val="22"/>
                <w:szCs w:val="22"/>
              </w:rPr>
              <w:t>0.13</w:t>
            </w:r>
          </w:p>
        </w:tc>
        <w:tc>
          <w:tcPr>
            <w:tcW w:w="0" w:type="auto"/>
            <w:tcBorders>
              <w:top w:val="nil"/>
              <w:left w:val="nil"/>
              <w:bottom w:val="single" w:color="auto" w:sz="4" w:space="0"/>
              <w:right w:val="single" w:color="auto" w:sz="4" w:space="0"/>
            </w:tcBorders>
            <w:vAlign w:val="center"/>
          </w:tcPr>
          <w:p w14:paraId="32229D74">
            <w:pPr>
              <w:widowControl/>
              <w:adjustRightInd w:val="0"/>
              <w:snapToGrid w:val="0"/>
              <w:jc w:val="center"/>
              <w:rPr>
                <w:rFonts w:eastAsia="等线"/>
                <w:color w:val="000000"/>
                <w:kern w:val="0"/>
                <w:sz w:val="22"/>
                <w:szCs w:val="22"/>
              </w:rPr>
            </w:pPr>
            <w:r>
              <w:rPr>
                <w:rFonts w:eastAsia="等线"/>
                <w:color w:val="000000"/>
                <w:kern w:val="0"/>
                <w:sz w:val="22"/>
                <w:szCs w:val="22"/>
              </w:rPr>
              <w:t>3</w:t>
            </w:r>
          </w:p>
        </w:tc>
        <w:tc>
          <w:tcPr>
            <w:tcW w:w="0" w:type="auto"/>
            <w:tcBorders>
              <w:top w:val="nil"/>
              <w:left w:val="nil"/>
              <w:bottom w:val="single" w:color="auto" w:sz="4" w:space="0"/>
              <w:right w:val="single" w:color="auto" w:sz="4" w:space="0"/>
            </w:tcBorders>
            <w:vAlign w:val="center"/>
          </w:tcPr>
          <w:p w14:paraId="74FF2D00">
            <w:pPr>
              <w:widowControl/>
              <w:adjustRightInd w:val="0"/>
              <w:snapToGrid w:val="0"/>
              <w:jc w:val="center"/>
              <w:rPr>
                <w:rFonts w:eastAsia="等线"/>
                <w:color w:val="000000"/>
                <w:kern w:val="0"/>
                <w:sz w:val="22"/>
                <w:szCs w:val="22"/>
              </w:rPr>
            </w:pPr>
            <w:r>
              <w:rPr>
                <w:rFonts w:eastAsia="等线"/>
                <w:color w:val="000000"/>
                <w:kern w:val="0"/>
                <w:sz w:val="22"/>
                <w:szCs w:val="22"/>
              </w:rPr>
              <w:t>21</w:t>
            </w:r>
          </w:p>
        </w:tc>
        <w:tc>
          <w:tcPr>
            <w:tcW w:w="0" w:type="auto"/>
            <w:tcBorders>
              <w:top w:val="nil"/>
              <w:left w:val="nil"/>
              <w:bottom w:val="single" w:color="auto" w:sz="4" w:space="0"/>
              <w:right w:val="single" w:color="auto" w:sz="4" w:space="0"/>
            </w:tcBorders>
            <w:vAlign w:val="center"/>
          </w:tcPr>
          <w:p w14:paraId="7C6E4C3D">
            <w:pPr>
              <w:widowControl/>
              <w:adjustRightInd w:val="0"/>
              <w:snapToGrid w:val="0"/>
              <w:jc w:val="center"/>
              <w:rPr>
                <w:rFonts w:eastAsia="等线"/>
                <w:color w:val="000000"/>
                <w:kern w:val="0"/>
                <w:sz w:val="22"/>
                <w:szCs w:val="22"/>
              </w:rPr>
            </w:pPr>
            <w:r>
              <w:rPr>
                <w:rFonts w:eastAsia="等线"/>
                <w:color w:val="000000"/>
                <w:kern w:val="0"/>
                <w:sz w:val="22"/>
                <w:szCs w:val="22"/>
              </w:rPr>
              <w:t>280</w:t>
            </w:r>
          </w:p>
        </w:tc>
      </w:tr>
      <w:tr w14:paraId="72542600">
        <w:tblPrEx>
          <w:tblCellMar>
            <w:top w:w="0" w:type="dxa"/>
            <w:left w:w="108" w:type="dxa"/>
            <w:bottom w:w="0" w:type="dxa"/>
            <w:right w:w="108" w:type="dxa"/>
          </w:tblCellMar>
        </w:tblPrEx>
        <w:trPr>
          <w:trHeight w:val="454" w:hRule="atLeast"/>
        </w:trPr>
        <w:tc>
          <w:tcPr>
            <w:tcW w:w="0" w:type="auto"/>
            <w:tcBorders>
              <w:top w:val="nil"/>
              <w:left w:val="single" w:color="auto" w:sz="4" w:space="0"/>
              <w:bottom w:val="single" w:color="auto" w:sz="4" w:space="0"/>
              <w:right w:val="single" w:color="auto" w:sz="4" w:space="0"/>
            </w:tcBorders>
            <w:vAlign w:val="center"/>
          </w:tcPr>
          <w:p w14:paraId="0C902B70">
            <w:pPr>
              <w:widowControl/>
              <w:adjustRightInd w:val="0"/>
              <w:snapToGrid w:val="0"/>
              <w:jc w:val="center"/>
              <w:rPr>
                <w:rFonts w:eastAsia="等线"/>
                <w:color w:val="000000"/>
                <w:kern w:val="0"/>
                <w:sz w:val="22"/>
                <w:szCs w:val="22"/>
              </w:rPr>
            </w:pPr>
            <w:r>
              <w:rPr>
                <w:rFonts w:eastAsia="等线"/>
                <w:color w:val="000000"/>
                <w:kern w:val="0"/>
                <w:sz w:val="22"/>
                <w:szCs w:val="22"/>
              </w:rPr>
              <w:t>2035</w:t>
            </w:r>
          </w:p>
        </w:tc>
        <w:tc>
          <w:tcPr>
            <w:tcW w:w="0" w:type="auto"/>
            <w:tcBorders>
              <w:top w:val="nil"/>
              <w:left w:val="nil"/>
              <w:bottom w:val="single" w:color="auto" w:sz="4" w:space="0"/>
              <w:right w:val="single" w:color="auto" w:sz="4" w:space="0"/>
            </w:tcBorders>
            <w:vAlign w:val="center"/>
          </w:tcPr>
          <w:p w14:paraId="11DF1A31">
            <w:pPr>
              <w:widowControl/>
              <w:adjustRightInd w:val="0"/>
              <w:snapToGrid w:val="0"/>
              <w:jc w:val="center"/>
              <w:rPr>
                <w:rFonts w:eastAsia="等线"/>
                <w:color w:val="000000"/>
                <w:kern w:val="0"/>
                <w:sz w:val="22"/>
                <w:szCs w:val="22"/>
              </w:rPr>
            </w:pPr>
            <w:r>
              <w:rPr>
                <w:rFonts w:eastAsia="等线"/>
                <w:color w:val="000000"/>
                <w:kern w:val="0"/>
                <w:sz w:val="22"/>
                <w:szCs w:val="22"/>
              </w:rPr>
              <w:t>17</w:t>
            </w:r>
          </w:p>
        </w:tc>
        <w:tc>
          <w:tcPr>
            <w:tcW w:w="0" w:type="auto"/>
            <w:tcBorders>
              <w:top w:val="nil"/>
              <w:left w:val="nil"/>
              <w:bottom w:val="single" w:color="auto" w:sz="4" w:space="0"/>
              <w:right w:val="single" w:color="auto" w:sz="4" w:space="0"/>
            </w:tcBorders>
            <w:vAlign w:val="center"/>
          </w:tcPr>
          <w:p w14:paraId="36FC8D9D">
            <w:pPr>
              <w:widowControl/>
              <w:adjustRightInd w:val="0"/>
              <w:snapToGrid w:val="0"/>
              <w:jc w:val="center"/>
              <w:rPr>
                <w:rFonts w:eastAsia="等线"/>
                <w:color w:val="000000"/>
                <w:kern w:val="0"/>
                <w:sz w:val="22"/>
                <w:szCs w:val="22"/>
              </w:rPr>
            </w:pPr>
            <w:r>
              <w:rPr>
                <w:rFonts w:eastAsia="等线"/>
                <w:color w:val="000000"/>
                <w:kern w:val="0"/>
                <w:sz w:val="22"/>
                <w:szCs w:val="22"/>
              </w:rPr>
              <w:t>15</w:t>
            </w:r>
          </w:p>
        </w:tc>
        <w:tc>
          <w:tcPr>
            <w:tcW w:w="0" w:type="auto"/>
            <w:tcBorders>
              <w:top w:val="nil"/>
              <w:left w:val="nil"/>
              <w:bottom w:val="single" w:color="auto" w:sz="4" w:space="0"/>
              <w:right w:val="single" w:color="auto" w:sz="4" w:space="0"/>
            </w:tcBorders>
            <w:vAlign w:val="center"/>
          </w:tcPr>
          <w:p w14:paraId="11D18246">
            <w:pPr>
              <w:widowControl/>
              <w:adjustRightInd w:val="0"/>
              <w:snapToGrid w:val="0"/>
              <w:jc w:val="center"/>
              <w:rPr>
                <w:rFonts w:eastAsia="等线"/>
                <w:color w:val="000000"/>
                <w:kern w:val="0"/>
                <w:sz w:val="22"/>
                <w:szCs w:val="22"/>
              </w:rPr>
            </w:pPr>
            <w:r>
              <w:rPr>
                <w:rFonts w:eastAsia="等线"/>
                <w:color w:val="000000"/>
                <w:kern w:val="0"/>
                <w:sz w:val="22"/>
                <w:szCs w:val="22"/>
              </w:rPr>
              <w:t>32</w:t>
            </w:r>
          </w:p>
        </w:tc>
        <w:tc>
          <w:tcPr>
            <w:tcW w:w="0" w:type="auto"/>
            <w:tcBorders>
              <w:top w:val="nil"/>
              <w:left w:val="nil"/>
              <w:bottom w:val="single" w:color="auto" w:sz="4" w:space="0"/>
              <w:right w:val="single" w:color="auto" w:sz="4" w:space="0"/>
            </w:tcBorders>
            <w:vAlign w:val="center"/>
          </w:tcPr>
          <w:p w14:paraId="2D7F80C9">
            <w:pPr>
              <w:widowControl/>
              <w:adjustRightInd w:val="0"/>
              <w:snapToGrid w:val="0"/>
              <w:jc w:val="center"/>
              <w:rPr>
                <w:rFonts w:eastAsia="等线"/>
                <w:color w:val="000000"/>
                <w:kern w:val="0"/>
                <w:sz w:val="22"/>
                <w:szCs w:val="22"/>
              </w:rPr>
            </w:pPr>
            <w:r>
              <w:rPr>
                <w:rFonts w:eastAsia="等线"/>
                <w:color w:val="000000"/>
                <w:kern w:val="0"/>
                <w:sz w:val="22"/>
                <w:szCs w:val="22"/>
              </w:rPr>
              <w:t>17.5</w:t>
            </w:r>
          </w:p>
        </w:tc>
        <w:tc>
          <w:tcPr>
            <w:tcW w:w="1177" w:type="dxa"/>
            <w:tcBorders>
              <w:top w:val="nil"/>
              <w:left w:val="nil"/>
              <w:bottom w:val="single" w:color="auto" w:sz="4" w:space="0"/>
              <w:right w:val="single" w:color="auto" w:sz="4" w:space="0"/>
            </w:tcBorders>
            <w:vAlign w:val="center"/>
          </w:tcPr>
          <w:p w14:paraId="0F7C7231">
            <w:pPr>
              <w:widowControl/>
              <w:adjustRightInd w:val="0"/>
              <w:snapToGrid w:val="0"/>
              <w:jc w:val="center"/>
              <w:rPr>
                <w:rFonts w:eastAsia="等线"/>
                <w:color w:val="000000"/>
                <w:kern w:val="0"/>
                <w:sz w:val="22"/>
                <w:szCs w:val="22"/>
              </w:rPr>
            </w:pPr>
            <w:r>
              <w:rPr>
                <w:rFonts w:eastAsia="等线"/>
                <w:color w:val="000000"/>
                <w:kern w:val="0"/>
                <w:sz w:val="22"/>
                <w:szCs w:val="22"/>
              </w:rPr>
              <w:t>0.65</w:t>
            </w:r>
          </w:p>
        </w:tc>
        <w:tc>
          <w:tcPr>
            <w:tcW w:w="929" w:type="dxa"/>
            <w:tcBorders>
              <w:top w:val="nil"/>
              <w:left w:val="nil"/>
              <w:bottom w:val="single" w:color="auto" w:sz="4" w:space="0"/>
              <w:right w:val="single" w:color="auto" w:sz="4" w:space="0"/>
            </w:tcBorders>
            <w:vAlign w:val="center"/>
          </w:tcPr>
          <w:p w14:paraId="34358D1B">
            <w:pPr>
              <w:widowControl/>
              <w:adjustRightInd w:val="0"/>
              <w:snapToGrid w:val="0"/>
              <w:jc w:val="center"/>
              <w:rPr>
                <w:rFonts w:eastAsia="等线"/>
                <w:color w:val="000000"/>
                <w:kern w:val="0"/>
                <w:sz w:val="22"/>
                <w:szCs w:val="22"/>
              </w:rPr>
            </w:pPr>
            <w:r>
              <w:rPr>
                <w:rFonts w:eastAsia="等线"/>
                <w:color w:val="000000"/>
                <w:kern w:val="0"/>
                <w:sz w:val="22"/>
                <w:szCs w:val="22"/>
              </w:rPr>
              <w:t>0.14</w:t>
            </w:r>
          </w:p>
        </w:tc>
        <w:tc>
          <w:tcPr>
            <w:tcW w:w="0" w:type="auto"/>
            <w:tcBorders>
              <w:top w:val="nil"/>
              <w:left w:val="nil"/>
              <w:bottom w:val="single" w:color="auto" w:sz="4" w:space="0"/>
              <w:right w:val="single" w:color="auto" w:sz="4" w:space="0"/>
            </w:tcBorders>
            <w:vAlign w:val="center"/>
          </w:tcPr>
          <w:p w14:paraId="05730D58">
            <w:pPr>
              <w:widowControl/>
              <w:adjustRightInd w:val="0"/>
              <w:snapToGrid w:val="0"/>
              <w:jc w:val="center"/>
              <w:rPr>
                <w:rFonts w:eastAsia="等线"/>
                <w:color w:val="000000"/>
                <w:kern w:val="0"/>
                <w:sz w:val="22"/>
                <w:szCs w:val="22"/>
              </w:rPr>
            </w:pPr>
            <w:r>
              <w:rPr>
                <w:rFonts w:eastAsia="等线"/>
                <w:color w:val="000000"/>
                <w:kern w:val="0"/>
                <w:sz w:val="22"/>
                <w:szCs w:val="22"/>
              </w:rPr>
              <w:t>3.1</w:t>
            </w:r>
          </w:p>
        </w:tc>
        <w:tc>
          <w:tcPr>
            <w:tcW w:w="0" w:type="auto"/>
            <w:tcBorders>
              <w:top w:val="nil"/>
              <w:left w:val="nil"/>
              <w:bottom w:val="single" w:color="auto" w:sz="4" w:space="0"/>
              <w:right w:val="single" w:color="auto" w:sz="4" w:space="0"/>
            </w:tcBorders>
            <w:vAlign w:val="center"/>
          </w:tcPr>
          <w:p w14:paraId="29D395DA">
            <w:pPr>
              <w:widowControl/>
              <w:adjustRightInd w:val="0"/>
              <w:snapToGrid w:val="0"/>
              <w:jc w:val="center"/>
              <w:rPr>
                <w:rFonts w:eastAsia="等线"/>
                <w:color w:val="000000"/>
                <w:kern w:val="0"/>
                <w:sz w:val="22"/>
                <w:szCs w:val="22"/>
              </w:rPr>
            </w:pPr>
            <w:r>
              <w:rPr>
                <w:rFonts w:eastAsia="等线"/>
                <w:color w:val="000000"/>
                <w:kern w:val="0"/>
                <w:sz w:val="22"/>
                <w:szCs w:val="22"/>
              </w:rPr>
              <w:t>22</w:t>
            </w:r>
          </w:p>
        </w:tc>
        <w:tc>
          <w:tcPr>
            <w:tcW w:w="0" w:type="auto"/>
            <w:tcBorders>
              <w:top w:val="nil"/>
              <w:left w:val="nil"/>
              <w:bottom w:val="single" w:color="auto" w:sz="4" w:space="0"/>
              <w:right w:val="single" w:color="auto" w:sz="4" w:space="0"/>
            </w:tcBorders>
            <w:vAlign w:val="center"/>
          </w:tcPr>
          <w:p w14:paraId="35289E78">
            <w:pPr>
              <w:widowControl/>
              <w:adjustRightInd w:val="0"/>
              <w:snapToGrid w:val="0"/>
              <w:jc w:val="center"/>
              <w:rPr>
                <w:rFonts w:eastAsia="等线"/>
                <w:color w:val="000000"/>
                <w:kern w:val="0"/>
                <w:sz w:val="22"/>
                <w:szCs w:val="22"/>
              </w:rPr>
            </w:pPr>
            <w:r>
              <w:rPr>
                <w:rFonts w:eastAsia="等线"/>
                <w:color w:val="000000"/>
                <w:kern w:val="0"/>
                <w:sz w:val="22"/>
                <w:szCs w:val="22"/>
              </w:rPr>
              <w:t>285</w:t>
            </w:r>
          </w:p>
        </w:tc>
      </w:tr>
      <w:bookmarkEnd w:id="87"/>
    </w:tbl>
    <w:p w14:paraId="07B4770C">
      <w:pPr>
        <w:autoSpaceDE w:val="0"/>
        <w:autoSpaceDN w:val="0"/>
        <w:spacing w:line="600" w:lineRule="exact"/>
        <w:ind w:firstLine="560" w:firstLineChars="200"/>
        <w:textAlignment w:val="baseline"/>
        <w:rPr>
          <w:kern w:val="0"/>
          <w:sz w:val="28"/>
          <w:szCs w:val="28"/>
        </w:rPr>
      </w:pPr>
      <w:bookmarkStart w:id="88" w:name="_Hlk184992710"/>
      <w:r>
        <w:rPr>
          <w:rFonts w:hint="eastAsia"/>
          <w:kern w:val="0"/>
          <w:sz w:val="28"/>
          <w:szCs w:val="28"/>
        </w:rPr>
        <w:t>（2）</w:t>
      </w:r>
      <w:r>
        <w:rPr>
          <w:kern w:val="0"/>
          <w:sz w:val="28"/>
          <w:szCs w:val="28"/>
        </w:rPr>
        <w:t>农田灌溉需水预测</w:t>
      </w:r>
    </w:p>
    <w:p w14:paraId="3147AB40">
      <w:pPr>
        <w:autoSpaceDE w:val="0"/>
        <w:autoSpaceDN w:val="0"/>
        <w:spacing w:line="600" w:lineRule="exact"/>
        <w:ind w:firstLine="560" w:firstLineChars="200"/>
        <w:textAlignment w:val="baseline"/>
        <w:rPr>
          <w:kern w:val="0"/>
          <w:sz w:val="28"/>
          <w:szCs w:val="28"/>
        </w:rPr>
      </w:pPr>
      <w:r>
        <w:rPr>
          <w:kern w:val="0"/>
          <w:sz w:val="28"/>
          <w:szCs w:val="28"/>
        </w:rPr>
        <w:t>农田灌溉需水量采用灌溉定额与灌溉水</w:t>
      </w:r>
      <w:r>
        <w:rPr>
          <w:rFonts w:hint="eastAsia"/>
          <w:kern w:val="0"/>
          <w:sz w:val="28"/>
          <w:szCs w:val="28"/>
        </w:rPr>
        <w:t>有效</w:t>
      </w:r>
      <w:r>
        <w:rPr>
          <w:kern w:val="0"/>
          <w:sz w:val="28"/>
          <w:szCs w:val="28"/>
        </w:rPr>
        <w:t>利用系数</w:t>
      </w:r>
      <w:r>
        <w:rPr>
          <w:rFonts w:hint="eastAsia"/>
          <w:kern w:val="0"/>
          <w:sz w:val="28"/>
          <w:szCs w:val="28"/>
        </w:rPr>
        <w:t>法</w:t>
      </w:r>
      <w:r>
        <w:rPr>
          <w:kern w:val="0"/>
          <w:sz w:val="28"/>
          <w:szCs w:val="28"/>
        </w:rPr>
        <w:t>进行预测。计算公式如下：</w:t>
      </w:r>
    </w:p>
    <w:bookmarkEnd w:id="88"/>
    <w:p w14:paraId="25819051">
      <w:pPr>
        <w:autoSpaceDE w:val="0"/>
        <w:autoSpaceDN w:val="0"/>
        <w:spacing w:line="600" w:lineRule="exact"/>
        <w:ind w:firstLine="560" w:firstLineChars="200"/>
        <w:jc w:val="right"/>
        <w:textAlignment w:val="baseline"/>
        <w:rPr>
          <w:kern w:val="0"/>
          <w:sz w:val="28"/>
          <w:szCs w:val="28"/>
        </w:rPr>
      </w:pPr>
      <w:bookmarkStart w:id="89" w:name="_Hlk184992714"/>
      <w:r>
        <w:rPr>
          <w:i/>
          <w:kern w:val="0"/>
          <w:sz w:val="28"/>
          <w:szCs w:val="28"/>
        </w:rPr>
        <w:t>W</w:t>
      </w:r>
      <w:r>
        <w:rPr>
          <w:i/>
          <w:kern w:val="0"/>
          <w:sz w:val="28"/>
          <w:szCs w:val="28"/>
          <w:vertAlign w:val="subscript"/>
        </w:rPr>
        <w:t>g</w:t>
      </w:r>
      <w:r>
        <w:rPr>
          <w:i/>
          <w:kern w:val="0"/>
          <w:sz w:val="28"/>
          <w:szCs w:val="28"/>
        </w:rPr>
        <w:t>=A×Q</w:t>
      </w:r>
      <w:r>
        <w:rPr>
          <w:i/>
          <w:kern w:val="0"/>
          <w:sz w:val="28"/>
          <w:szCs w:val="28"/>
          <w:vertAlign w:val="subscript"/>
        </w:rPr>
        <w:t>g</w:t>
      </w:r>
      <w:r>
        <w:rPr>
          <w:i/>
          <w:kern w:val="0"/>
          <w:sz w:val="28"/>
          <w:szCs w:val="28"/>
        </w:rPr>
        <w:t xml:space="preserve">/γ                                            </w:t>
      </w:r>
      <w:r>
        <w:rPr>
          <w:rFonts w:hint="eastAsia"/>
          <w:i/>
          <w:kern w:val="0"/>
          <w:sz w:val="28"/>
          <w:szCs w:val="28"/>
          <w:lang w:eastAsia="zh-CN"/>
        </w:rPr>
        <w:t>(</w:t>
      </w:r>
      <w:r>
        <w:rPr>
          <w:rFonts w:hint="eastAsia"/>
          <w:kern w:val="0"/>
          <w:sz w:val="28"/>
          <w:szCs w:val="28"/>
        </w:rPr>
        <w:t>2</w:t>
      </w:r>
      <w:r>
        <w:rPr>
          <w:kern w:val="0"/>
          <w:sz w:val="28"/>
          <w:szCs w:val="28"/>
        </w:rPr>
        <w:t>-1</w:t>
      </w:r>
      <w:r>
        <w:rPr>
          <w:rFonts w:hint="eastAsia"/>
          <w:kern w:val="0"/>
          <w:sz w:val="28"/>
          <w:szCs w:val="28"/>
          <w:lang w:eastAsia="zh-CN"/>
        </w:rPr>
        <w:t>)</w:t>
      </w:r>
    </w:p>
    <w:bookmarkEnd w:id="89"/>
    <w:p w14:paraId="768A33A3">
      <w:pPr>
        <w:autoSpaceDE w:val="0"/>
        <w:autoSpaceDN w:val="0"/>
        <w:spacing w:line="600" w:lineRule="exact"/>
        <w:ind w:firstLine="560" w:firstLineChars="200"/>
        <w:textAlignment w:val="baseline"/>
        <w:rPr>
          <w:kern w:val="0"/>
          <w:sz w:val="28"/>
          <w:szCs w:val="28"/>
        </w:rPr>
      </w:pPr>
      <w:bookmarkStart w:id="90" w:name="_Hlk184992723"/>
      <w:r>
        <w:rPr>
          <w:kern w:val="0"/>
          <w:sz w:val="28"/>
          <w:szCs w:val="28"/>
        </w:rPr>
        <w:t>式中：</w:t>
      </w:r>
      <w:r>
        <w:rPr>
          <w:i/>
          <w:kern w:val="0"/>
          <w:sz w:val="28"/>
          <w:szCs w:val="28"/>
        </w:rPr>
        <w:t>W</w:t>
      </w:r>
      <w:r>
        <w:rPr>
          <w:i/>
          <w:kern w:val="0"/>
          <w:sz w:val="28"/>
          <w:szCs w:val="28"/>
          <w:vertAlign w:val="subscript"/>
        </w:rPr>
        <w:t>g</w:t>
      </w:r>
      <w:r>
        <w:rPr>
          <w:kern w:val="0"/>
          <w:sz w:val="28"/>
          <w:szCs w:val="28"/>
        </w:rPr>
        <w:t>为农田灌溉需水量，万m</w:t>
      </w:r>
      <w:r>
        <w:rPr>
          <w:kern w:val="0"/>
          <w:sz w:val="28"/>
          <w:szCs w:val="28"/>
          <w:vertAlign w:val="superscript"/>
        </w:rPr>
        <w:t>3</w:t>
      </w:r>
      <w:r>
        <w:rPr>
          <w:kern w:val="0"/>
          <w:sz w:val="28"/>
          <w:szCs w:val="28"/>
        </w:rPr>
        <w:t>；</w:t>
      </w:r>
      <w:r>
        <w:rPr>
          <w:i/>
          <w:kern w:val="0"/>
          <w:sz w:val="28"/>
          <w:szCs w:val="28"/>
        </w:rPr>
        <w:t>A</w:t>
      </w:r>
      <w:r>
        <w:rPr>
          <w:kern w:val="0"/>
          <w:sz w:val="28"/>
          <w:szCs w:val="28"/>
        </w:rPr>
        <w:t>为灌溉面积，万亩；</w:t>
      </w:r>
      <w:r>
        <w:rPr>
          <w:i/>
          <w:kern w:val="0"/>
          <w:sz w:val="28"/>
          <w:szCs w:val="28"/>
        </w:rPr>
        <w:t>Q</w:t>
      </w:r>
      <w:r>
        <w:rPr>
          <w:i/>
          <w:kern w:val="0"/>
          <w:sz w:val="28"/>
          <w:szCs w:val="28"/>
          <w:vertAlign w:val="subscript"/>
        </w:rPr>
        <w:t>g</w:t>
      </w:r>
      <w:r>
        <w:rPr>
          <w:kern w:val="0"/>
          <w:sz w:val="28"/>
          <w:szCs w:val="28"/>
        </w:rPr>
        <w:t>为农田灌溉综合净定额，m</w:t>
      </w:r>
      <w:r>
        <w:rPr>
          <w:kern w:val="0"/>
          <w:sz w:val="28"/>
          <w:szCs w:val="28"/>
          <w:vertAlign w:val="superscript"/>
        </w:rPr>
        <w:t>3</w:t>
      </w:r>
      <w:r>
        <w:rPr>
          <w:kern w:val="0"/>
          <w:sz w:val="28"/>
          <w:szCs w:val="28"/>
        </w:rPr>
        <w:t>/亩；</w:t>
      </w:r>
      <w:r>
        <w:rPr>
          <w:i/>
          <w:kern w:val="0"/>
          <w:sz w:val="28"/>
          <w:szCs w:val="28"/>
        </w:rPr>
        <w:t>γ</w:t>
      </w:r>
      <w:r>
        <w:rPr>
          <w:kern w:val="0"/>
          <w:sz w:val="28"/>
          <w:szCs w:val="28"/>
        </w:rPr>
        <w:t>为农田灌溉水有效利用系数。</w:t>
      </w:r>
    </w:p>
    <w:bookmarkEnd w:id="90"/>
    <w:p w14:paraId="1C5D0318">
      <w:pPr>
        <w:wordWrap w:val="0"/>
        <w:snapToGrid w:val="0"/>
        <w:spacing w:before="120" w:beforeLines="50"/>
        <w:jc w:val="right"/>
        <w:rPr>
          <w:b/>
          <w:sz w:val="24"/>
        </w:rPr>
      </w:pPr>
      <w:bookmarkStart w:id="91" w:name="_Hlk184994141"/>
      <w:r>
        <w:rPr>
          <w:b/>
          <w:sz w:val="24"/>
        </w:rPr>
        <w:t>表</w:t>
      </w:r>
      <w:r>
        <w:rPr>
          <w:rFonts w:hint="eastAsia"/>
          <w:b/>
          <w:sz w:val="24"/>
        </w:rPr>
        <w:t>2.3.4-4</w:t>
      </w:r>
      <w:r>
        <w:rPr>
          <w:b/>
          <w:sz w:val="24"/>
        </w:rPr>
        <w:t xml:space="preserve">  不同保证率农田灌溉综合净定额成果表  </w:t>
      </w:r>
      <w:r>
        <w:rPr>
          <w:rFonts w:hint="eastAsia"/>
          <w:b/>
          <w:sz w:val="24"/>
        </w:rPr>
        <w:t xml:space="preserve">  </w:t>
      </w:r>
      <w:r>
        <w:rPr>
          <w:b/>
          <w:sz w:val="24"/>
        </w:rPr>
        <w:t xml:space="preserve">   单位：m</w:t>
      </w:r>
      <w:r>
        <w:rPr>
          <w:b/>
          <w:sz w:val="24"/>
          <w:vertAlign w:val="superscript"/>
        </w:rPr>
        <w:t>3</w:t>
      </w:r>
      <w:r>
        <w:rPr>
          <w:b/>
          <w:sz w:val="24"/>
        </w:rPr>
        <w:t>/亩</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5"/>
        <w:gridCol w:w="1895"/>
        <w:gridCol w:w="1418"/>
        <w:gridCol w:w="1897"/>
        <w:gridCol w:w="1417"/>
      </w:tblGrid>
      <w:tr w14:paraId="56077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vMerge w:val="restart"/>
            <w:vAlign w:val="center"/>
          </w:tcPr>
          <w:p w14:paraId="374C6119">
            <w:pPr>
              <w:widowControl/>
              <w:jc w:val="center"/>
              <w:rPr>
                <w:color w:val="000000"/>
                <w:sz w:val="22"/>
                <w:szCs w:val="22"/>
              </w:rPr>
            </w:pPr>
            <w:r>
              <w:rPr>
                <w:color w:val="000000"/>
                <w:sz w:val="22"/>
                <w:szCs w:val="22"/>
              </w:rPr>
              <w:t>水平年</w:t>
            </w:r>
          </w:p>
        </w:tc>
        <w:tc>
          <w:tcPr>
            <w:tcW w:w="1944" w:type="pct"/>
            <w:gridSpan w:val="2"/>
            <w:vAlign w:val="center"/>
          </w:tcPr>
          <w:p w14:paraId="0835CA76">
            <w:pPr>
              <w:widowControl/>
              <w:jc w:val="center"/>
              <w:rPr>
                <w:color w:val="000000"/>
                <w:sz w:val="22"/>
                <w:szCs w:val="22"/>
              </w:rPr>
            </w:pPr>
            <w:r>
              <w:rPr>
                <w:color w:val="000000"/>
                <w:sz w:val="22"/>
                <w:szCs w:val="22"/>
              </w:rPr>
              <w:t>50%</w:t>
            </w:r>
          </w:p>
        </w:tc>
        <w:tc>
          <w:tcPr>
            <w:tcW w:w="1944" w:type="pct"/>
            <w:gridSpan w:val="2"/>
            <w:vAlign w:val="center"/>
          </w:tcPr>
          <w:p w14:paraId="12A4C432">
            <w:pPr>
              <w:widowControl/>
              <w:jc w:val="center"/>
              <w:rPr>
                <w:color w:val="000000"/>
                <w:sz w:val="22"/>
                <w:szCs w:val="22"/>
              </w:rPr>
            </w:pPr>
            <w:r>
              <w:rPr>
                <w:color w:val="000000"/>
                <w:sz w:val="22"/>
                <w:szCs w:val="22"/>
              </w:rPr>
              <w:t>75%</w:t>
            </w:r>
            <w:r>
              <w:rPr>
                <w:rFonts w:hint="eastAsia"/>
                <w:color w:val="000000"/>
                <w:sz w:val="22"/>
                <w:szCs w:val="22"/>
                <w:lang w:eastAsia="zh-CN"/>
              </w:rPr>
              <w:t>(</w:t>
            </w:r>
            <w:r>
              <w:rPr>
                <w:color w:val="000000"/>
                <w:sz w:val="22"/>
                <w:szCs w:val="22"/>
              </w:rPr>
              <w:t>95%</w:t>
            </w:r>
            <w:r>
              <w:rPr>
                <w:rFonts w:hint="eastAsia"/>
                <w:color w:val="000000"/>
                <w:sz w:val="22"/>
                <w:szCs w:val="22"/>
                <w:lang w:eastAsia="zh-CN"/>
              </w:rPr>
              <w:t>)</w:t>
            </w:r>
          </w:p>
        </w:tc>
      </w:tr>
      <w:tr w14:paraId="6E84B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vMerge w:val="continue"/>
            <w:vAlign w:val="center"/>
          </w:tcPr>
          <w:p w14:paraId="7742DA2F">
            <w:pPr>
              <w:widowControl/>
              <w:jc w:val="left"/>
              <w:rPr>
                <w:color w:val="000000"/>
                <w:sz w:val="22"/>
                <w:szCs w:val="22"/>
              </w:rPr>
            </w:pPr>
          </w:p>
        </w:tc>
        <w:tc>
          <w:tcPr>
            <w:tcW w:w="1112" w:type="pct"/>
            <w:vAlign w:val="center"/>
          </w:tcPr>
          <w:p w14:paraId="5AB930E9">
            <w:pPr>
              <w:widowControl/>
              <w:jc w:val="center"/>
              <w:rPr>
                <w:color w:val="000000"/>
                <w:sz w:val="22"/>
                <w:szCs w:val="22"/>
              </w:rPr>
            </w:pPr>
            <w:r>
              <w:rPr>
                <w:color w:val="000000"/>
                <w:sz w:val="22"/>
                <w:szCs w:val="22"/>
              </w:rPr>
              <w:t>水浇地</w:t>
            </w:r>
          </w:p>
        </w:tc>
        <w:tc>
          <w:tcPr>
            <w:tcW w:w="832" w:type="pct"/>
            <w:vAlign w:val="center"/>
          </w:tcPr>
          <w:p w14:paraId="0D9653F5">
            <w:pPr>
              <w:widowControl/>
              <w:jc w:val="center"/>
              <w:rPr>
                <w:color w:val="000000"/>
                <w:sz w:val="22"/>
                <w:szCs w:val="22"/>
              </w:rPr>
            </w:pPr>
            <w:r>
              <w:rPr>
                <w:color w:val="000000"/>
                <w:sz w:val="22"/>
                <w:szCs w:val="22"/>
              </w:rPr>
              <w:t>菜</w:t>
            </w:r>
            <w:r>
              <w:rPr>
                <w:rFonts w:hint="eastAsia"/>
                <w:color w:val="000000"/>
                <w:sz w:val="22"/>
                <w:szCs w:val="22"/>
              </w:rPr>
              <w:t>地</w:t>
            </w:r>
          </w:p>
        </w:tc>
        <w:tc>
          <w:tcPr>
            <w:tcW w:w="1113" w:type="pct"/>
            <w:vAlign w:val="center"/>
          </w:tcPr>
          <w:p w14:paraId="5B1F9467">
            <w:pPr>
              <w:widowControl/>
              <w:jc w:val="center"/>
              <w:rPr>
                <w:color w:val="000000"/>
                <w:sz w:val="22"/>
                <w:szCs w:val="22"/>
              </w:rPr>
            </w:pPr>
            <w:r>
              <w:rPr>
                <w:color w:val="000000"/>
                <w:sz w:val="22"/>
                <w:szCs w:val="22"/>
              </w:rPr>
              <w:t>水浇地</w:t>
            </w:r>
          </w:p>
        </w:tc>
        <w:tc>
          <w:tcPr>
            <w:tcW w:w="831" w:type="pct"/>
            <w:vAlign w:val="center"/>
          </w:tcPr>
          <w:p w14:paraId="658D084F">
            <w:pPr>
              <w:widowControl/>
              <w:jc w:val="center"/>
              <w:rPr>
                <w:color w:val="000000"/>
                <w:sz w:val="22"/>
                <w:szCs w:val="22"/>
              </w:rPr>
            </w:pPr>
            <w:r>
              <w:rPr>
                <w:color w:val="000000"/>
                <w:sz w:val="22"/>
                <w:szCs w:val="22"/>
              </w:rPr>
              <w:t>菜</w:t>
            </w:r>
            <w:r>
              <w:rPr>
                <w:rFonts w:hint="eastAsia"/>
                <w:color w:val="000000"/>
                <w:sz w:val="22"/>
                <w:szCs w:val="22"/>
              </w:rPr>
              <w:t>地</w:t>
            </w:r>
          </w:p>
        </w:tc>
      </w:tr>
      <w:tr w14:paraId="187C3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vAlign w:val="center"/>
          </w:tcPr>
          <w:p w14:paraId="747462E8">
            <w:pPr>
              <w:widowControl/>
              <w:jc w:val="center"/>
              <w:rPr>
                <w:color w:val="000000"/>
                <w:sz w:val="22"/>
                <w:szCs w:val="22"/>
              </w:rPr>
            </w:pPr>
            <w:r>
              <w:rPr>
                <w:color w:val="000000"/>
                <w:sz w:val="22"/>
                <w:szCs w:val="22"/>
              </w:rPr>
              <w:t>20</w:t>
            </w:r>
            <w:r>
              <w:rPr>
                <w:rFonts w:hint="eastAsia"/>
                <w:color w:val="000000"/>
                <w:sz w:val="22"/>
                <w:szCs w:val="22"/>
              </w:rPr>
              <w:t>23</w:t>
            </w:r>
          </w:p>
        </w:tc>
        <w:tc>
          <w:tcPr>
            <w:tcW w:w="1112" w:type="pct"/>
            <w:vAlign w:val="center"/>
          </w:tcPr>
          <w:p w14:paraId="30036095">
            <w:pPr>
              <w:widowControl/>
              <w:jc w:val="center"/>
              <w:rPr>
                <w:color w:val="000000"/>
                <w:sz w:val="22"/>
                <w:szCs w:val="22"/>
              </w:rPr>
            </w:pPr>
            <w:r>
              <w:rPr>
                <w:rFonts w:eastAsia="等线"/>
                <w:color w:val="000000"/>
                <w:sz w:val="22"/>
                <w:szCs w:val="22"/>
              </w:rPr>
              <w:t>106</w:t>
            </w:r>
          </w:p>
        </w:tc>
        <w:tc>
          <w:tcPr>
            <w:tcW w:w="832" w:type="pct"/>
            <w:vAlign w:val="center"/>
          </w:tcPr>
          <w:p w14:paraId="0C9D092D">
            <w:pPr>
              <w:widowControl/>
              <w:jc w:val="center"/>
              <w:rPr>
                <w:color w:val="000000"/>
                <w:sz w:val="22"/>
                <w:szCs w:val="22"/>
              </w:rPr>
            </w:pPr>
            <w:r>
              <w:rPr>
                <w:rFonts w:eastAsia="等线"/>
                <w:color w:val="000000"/>
                <w:sz w:val="22"/>
                <w:szCs w:val="22"/>
              </w:rPr>
              <w:t>120</w:t>
            </w:r>
          </w:p>
        </w:tc>
        <w:tc>
          <w:tcPr>
            <w:tcW w:w="1113" w:type="pct"/>
            <w:vAlign w:val="center"/>
          </w:tcPr>
          <w:p w14:paraId="7F75BD0A">
            <w:pPr>
              <w:widowControl/>
              <w:jc w:val="center"/>
              <w:rPr>
                <w:color w:val="000000"/>
                <w:sz w:val="22"/>
                <w:szCs w:val="22"/>
              </w:rPr>
            </w:pPr>
            <w:r>
              <w:rPr>
                <w:rFonts w:eastAsia="等线"/>
                <w:color w:val="000000"/>
                <w:sz w:val="22"/>
                <w:szCs w:val="22"/>
              </w:rPr>
              <w:t>136</w:t>
            </w:r>
          </w:p>
        </w:tc>
        <w:tc>
          <w:tcPr>
            <w:tcW w:w="831" w:type="pct"/>
            <w:vAlign w:val="center"/>
          </w:tcPr>
          <w:p w14:paraId="62E22397">
            <w:pPr>
              <w:widowControl/>
              <w:jc w:val="center"/>
              <w:rPr>
                <w:color w:val="000000"/>
                <w:sz w:val="22"/>
                <w:szCs w:val="22"/>
              </w:rPr>
            </w:pPr>
            <w:r>
              <w:rPr>
                <w:rFonts w:eastAsia="等线"/>
                <w:color w:val="000000"/>
                <w:sz w:val="22"/>
                <w:szCs w:val="22"/>
              </w:rPr>
              <w:t>160</w:t>
            </w:r>
          </w:p>
        </w:tc>
      </w:tr>
      <w:tr w14:paraId="6A2F5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vAlign w:val="center"/>
          </w:tcPr>
          <w:p w14:paraId="6FF8866B">
            <w:pPr>
              <w:widowControl/>
              <w:jc w:val="center"/>
              <w:rPr>
                <w:color w:val="000000"/>
                <w:sz w:val="22"/>
                <w:szCs w:val="22"/>
              </w:rPr>
            </w:pPr>
            <w:r>
              <w:rPr>
                <w:color w:val="000000"/>
                <w:sz w:val="22"/>
                <w:szCs w:val="22"/>
              </w:rPr>
              <w:t>20</w:t>
            </w:r>
            <w:r>
              <w:rPr>
                <w:rFonts w:hint="eastAsia"/>
                <w:color w:val="000000"/>
                <w:sz w:val="22"/>
                <w:szCs w:val="22"/>
              </w:rPr>
              <w:t>30</w:t>
            </w:r>
          </w:p>
        </w:tc>
        <w:tc>
          <w:tcPr>
            <w:tcW w:w="1112" w:type="pct"/>
            <w:vAlign w:val="center"/>
          </w:tcPr>
          <w:p w14:paraId="2C49B37A">
            <w:pPr>
              <w:widowControl/>
              <w:jc w:val="center"/>
              <w:rPr>
                <w:color w:val="000000"/>
                <w:sz w:val="22"/>
                <w:szCs w:val="22"/>
              </w:rPr>
            </w:pPr>
            <w:r>
              <w:rPr>
                <w:rFonts w:eastAsia="等线"/>
                <w:color w:val="000000"/>
                <w:sz w:val="22"/>
                <w:szCs w:val="22"/>
              </w:rPr>
              <w:t>10</w:t>
            </w:r>
            <w:r>
              <w:rPr>
                <w:rFonts w:hint="eastAsia" w:eastAsia="等线"/>
                <w:color w:val="000000"/>
                <w:sz w:val="22"/>
                <w:szCs w:val="22"/>
              </w:rPr>
              <w:t>0</w:t>
            </w:r>
          </w:p>
        </w:tc>
        <w:tc>
          <w:tcPr>
            <w:tcW w:w="832" w:type="pct"/>
            <w:vAlign w:val="center"/>
          </w:tcPr>
          <w:p w14:paraId="22772BDC">
            <w:pPr>
              <w:widowControl/>
              <w:jc w:val="center"/>
              <w:rPr>
                <w:color w:val="000000"/>
                <w:sz w:val="22"/>
                <w:szCs w:val="22"/>
              </w:rPr>
            </w:pPr>
            <w:r>
              <w:rPr>
                <w:rFonts w:eastAsia="等线"/>
                <w:color w:val="000000"/>
                <w:sz w:val="22"/>
                <w:szCs w:val="22"/>
              </w:rPr>
              <w:t>115</w:t>
            </w:r>
          </w:p>
        </w:tc>
        <w:tc>
          <w:tcPr>
            <w:tcW w:w="1113" w:type="pct"/>
            <w:vAlign w:val="center"/>
          </w:tcPr>
          <w:p w14:paraId="50DA56E9">
            <w:pPr>
              <w:widowControl/>
              <w:jc w:val="center"/>
              <w:rPr>
                <w:color w:val="000000"/>
                <w:sz w:val="22"/>
                <w:szCs w:val="22"/>
              </w:rPr>
            </w:pPr>
            <w:r>
              <w:rPr>
                <w:rFonts w:eastAsia="等线"/>
                <w:color w:val="000000"/>
                <w:sz w:val="22"/>
                <w:szCs w:val="22"/>
              </w:rPr>
              <w:t>13</w:t>
            </w:r>
            <w:r>
              <w:rPr>
                <w:rFonts w:hint="eastAsia" w:eastAsia="等线"/>
                <w:color w:val="000000"/>
                <w:sz w:val="22"/>
                <w:szCs w:val="22"/>
              </w:rPr>
              <w:t>0</w:t>
            </w:r>
          </w:p>
        </w:tc>
        <w:tc>
          <w:tcPr>
            <w:tcW w:w="831" w:type="pct"/>
            <w:vAlign w:val="center"/>
          </w:tcPr>
          <w:p w14:paraId="63450721">
            <w:pPr>
              <w:widowControl/>
              <w:jc w:val="center"/>
              <w:rPr>
                <w:color w:val="000000"/>
                <w:sz w:val="22"/>
                <w:szCs w:val="22"/>
              </w:rPr>
            </w:pPr>
            <w:r>
              <w:rPr>
                <w:rFonts w:eastAsia="等线"/>
                <w:color w:val="000000"/>
                <w:sz w:val="22"/>
                <w:szCs w:val="22"/>
              </w:rPr>
              <w:t>15</w:t>
            </w:r>
            <w:r>
              <w:rPr>
                <w:rFonts w:hint="eastAsia" w:eastAsia="等线"/>
                <w:color w:val="000000"/>
                <w:sz w:val="22"/>
                <w:szCs w:val="22"/>
              </w:rPr>
              <w:t>0</w:t>
            </w:r>
          </w:p>
        </w:tc>
      </w:tr>
      <w:tr w14:paraId="12298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vAlign w:val="center"/>
          </w:tcPr>
          <w:p w14:paraId="356AB175">
            <w:pPr>
              <w:widowControl/>
              <w:jc w:val="center"/>
              <w:rPr>
                <w:color w:val="000000"/>
                <w:sz w:val="22"/>
                <w:szCs w:val="22"/>
              </w:rPr>
            </w:pPr>
            <w:r>
              <w:rPr>
                <w:color w:val="000000"/>
                <w:sz w:val="22"/>
                <w:szCs w:val="22"/>
              </w:rPr>
              <w:t>2035</w:t>
            </w:r>
          </w:p>
        </w:tc>
        <w:tc>
          <w:tcPr>
            <w:tcW w:w="1112" w:type="pct"/>
            <w:vAlign w:val="center"/>
          </w:tcPr>
          <w:p w14:paraId="59269498">
            <w:pPr>
              <w:widowControl/>
              <w:jc w:val="center"/>
              <w:rPr>
                <w:color w:val="000000"/>
                <w:sz w:val="22"/>
                <w:szCs w:val="22"/>
              </w:rPr>
            </w:pPr>
            <w:r>
              <w:rPr>
                <w:rFonts w:hint="eastAsia"/>
                <w:color w:val="000000"/>
                <w:sz w:val="22"/>
                <w:szCs w:val="22"/>
              </w:rPr>
              <w:t>98</w:t>
            </w:r>
          </w:p>
        </w:tc>
        <w:tc>
          <w:tcPr>
            <w:tcW w:w="832" w:type="pct"/>
            <w:vAlign w:val="center"/>
          </w:tcPr>
          <w:p w14:paraId="381F62D0">
            <w:pPr>
              <w:widowControl/>
              <w:jc w:val="center"/>
              <w:rPr>
                <w:color w:val="000000"/>
                <w:sz w:val="22"/>
                <w:szCs w:val="22"/>
              </w:rPr>
            </w:pPr>
            <w:r>
              <w:rPr>
                <w:rFonts w:eastAsia="等线"/>
                <w:color w:val="000000"/>
                <w:sz w:val="22"/>
                <w:szCs w:val="22"/>
              </w:rPr>
              <w:t>110</w:t>
            </w:r>
          </w:p>
        </w:tc>
        <w:tc>
          <w:tcPr>
            <w:tcW w:w="1113" w:type="pct"/>
            <w:vAlign w:val="center"/>
          </w:tcPr>
          <w:p w14:paraId="271E8601">
            <w:pPr>
              <w:widowControl/>
              <w:jc w:val="center"/>
              <w:rPr>
                <w:color w:val="000000"/>
                <w:sz w:val="22"/>
                <w:szCs w:val="22"/>
              </w:rPr>
            </w:pPr>
            <w:r>
              <w:rPr>
                <w:rFonts w:eastAsia="等线"/>
                <w:color w:val="000000"/>
                <w:sz w:val="22"/>
                <w:szCs w:val="22"/>
              </w:rPr>
              <w:t>1</w:t>
            </w:r>
            <w:r>
              <w:rPr>
                <w:rFonts w:hint="eastAsia" w:eastAsia="等线"/>
                <w:color w:val="000000"/>
                <w:sz w:val="22"/>
                <w:szCs w:val="22"/>
              </w:rPr>
              <w:t>2</w:t>
            </w:r>
            <w:r>
              <w:rPr>
                <w:rFonts w:eastAsia="等线"/>
                <w:color w:val="000000"/>
                <w:sz w:val="22"/>
                <w:szCs w:val="22"/>
              </w:rPr>
              <w:t>0</w:t>
            </w:r>
          </w:p>
        </w:tc>
        <w:tc>
          <w:tcPr>
            <w:tcW w:w="831" w:type="pct"/>
            <w:vAlign w:val="center"/>
          </w:tcPr>
          <w:p w14:paraId="59078FEE">
            <w:pPr>
              <w:widowControl/>
              <w:jc w:val="center"/>
              <w:rPr>
                <w:color w:val="000000"/>
                <w:sz w:val="22"/>
                <w:szCs w:val="22"/>
              </w:rPr>
            </w:pPr>
            <w:r>
              <w:rPr>
                <w:rFonts w:eastAsia="等线"/>
                <w:color w:val="000000"/>
                <w:sz w:val="22"/>
                <w:szCs w:val="22"/>
              </w:rPr>
              <w:t>1</w:t>
            </w:r>
            <w:r>
              <w:rPr>
                <w:rFonts w:hint="eastAsia" w:eastAsia="等线"/>
                <w:color w:val="000000"/>
                <w:sz w:val="22"/>
                <w:szCs w:val="22"/>
              </w:rPr>
              <w:t>4</w:t>
            </w:r>
            <w:r>
              <w:rPr>
                <w:rFonts w:eastAsia="等线"/>
                <w:color w:val="000000"/>
                <w:sz w:val="22"/>
                <w:szCs w:val="22"/>
              </w:rPr>
              <w:t>0</w:t>
            </w:r>
          </w:p>
        </w:tc>
      </w:tr>
      <w:bookmarkEnd w:id="91"/>
    </w:tbl>
    <w:p w14:paraId="1A31F41B">
      <w:pPr>
        <w:autoSpaceDE w:val="0"/>
        <w:autoSpaceDN w:val="0"/>
        <w:spacing w:line="600" w:lineRule="exact"/>
        <w:ind w:firstLine="560" w:firstLineChars="200"/>
        <w:textAlignment w:val="baseline"/>
        <w:rPr>
          <w:kern w:val="0"/>
          <w:sz w:val="28"/>
          <w:szCs w:val="28"/>
        </w:rPr>
      </w:pPr>
      <w:bookmarkStart w:id="92" w:name="_Hlk184994190"/>
      <w:r>
        <w:rPr>
          <w:kern w:val="0"/>
          <w:sz w:val="28"/>
          <w:szCs w:val="28"/>
        </w:rPr>
        <w:t>根据</w:t>
      </w:r>
      <w:r>
        <w:rPr>
          <w:rFonts w:hint="eastAsia"/>
          <w:sz w:val="28"/>
          <w:szCs w:val="28"/>
        </w:rPr>
        <w:t>《平阴县水资源综合利用中长期规划（2016~2030）</w:t>
      </w:r>
      <w:r>
        <w:rPr>
          <w:rFonts w:hint="eastAsia"/>
          <w:sz w:val="28"/>
          <w:szCs w:val="28"/>
          <w:lang w:eastAsia="zh-CN"/>
        </w:rPr>
        <w:t>》《</w:t>
      </w:r>
      <w:r>
        <w:rPr>
          <w:kern w:val="0"/>
          <w:sz w:val="28"/>
          <w:szCs w:val="28"/>
        </w:rPr>
        <w:t>平阴县农田水利建设规划》和《平阴县</w:t>
      </w:r>
      <w:r>
        <w:rPr>
          <w:rFonts w:hint="eastAsia"/>
          <w:kern w:val="0"/>
          <w:sz w:val="28"/>
          <w:szCs w:val="28"/>
        </w:rPr>
        <w:t>现代</w:t>
      </w:r>
      <w:r>
        <w:rPr>
          <w:kern w:val="0"/>
          <w:sz w:val="28"/>
          <w:szCs w:val="28"/>
        </w:rPr>
        <w:t>水网</w:t>
      </w:r>
      <w:r>
        <w:rPr>
          <w:rFonts w:hint="eastAsia"/>
          <w:kern w:val="0"/>
          <w:sz w:val="28"/>
          <w:szCs w:val="28"/>
        </w:rPr>
        <w:t>建设</w:t>
      </w:r>
      <w:r>
        <w:rPr>
          <w:kern w:val="0"/>
          <w:sz w:val="28"/>
          <w:szCs w:val="28"/>
        </w:rPr>
        <w:t>规划》，考虑灌区节水改造，根据各分区不同灌溉方式确定灌溉水有效利用系数，</w:t>
      </w:r>
      <w:r>
        <w:rPr>
          <w:rFonts w:hint="eastAsia"/>
          <w:kern w:val="0"/>
          <w:sz w:val="28"/>
          <w:szCs w:val="28"/>
        </w:rPr>
        <w:t>2023年农田灌溉水有效利用系数为0.6545，2030年农田灌溉水有效利用系数为0.6600，2035年农田灌溉水有效利用系数为0.6700。</w:t>
      </w:r>
    </w:p>
    <w:bookmarkEnd w:id="92"/>
    <w:p w14:paraId="6C9F47C4">
      <w:pPr>
        <w:autoSpaceDE w:val="0"/>
        <w:autoSpaceDN w:val="0"/>
        <w:spacing w:line="600" w:lineRule="exact"/>
        <w:ind w:firstLine="560" w:firstLineChars="200"/>
        <w:textAlignment w:val="baseline"/>
        <w:rPr>
          <w:kern w:val="0"/>
          <w:sz w:val="28"/>
          <w:szCs w:val="28"/>
        </w:rPr>
      </w:pPr>
      <w:bookmarkStart w:id="93" w:name="_Hlk184994437"/>
      <w:r>
        <w:rPr>
          <w:kern w:val="0"/>
          <w:sz w:val="28"/>
          <w:szCs w:val="28"/>
        </w:rPr>
        <w:t>根据以上预测</w:t>
      </w:r>
      <w:r>
        <w:rPr>
          <w:rFonts w:hint="eastAsia"/>
          <w:kern w:val="0"/>
          <w:sz w:val="28"/>
          <w:szCs w:val="28"/>
        </w:rPr>
        <w:t>平阴县各规划年的</w:t>
      </w:r>
      <w:r>
        <w:rPr>
          <w:kern w:val="0"/>
          <w:sz w:val="28"/>
          <w:szCs w:val="28"/>
        </w:rPr>
        <w:t>灌溉面积、</w:t>
      </w:r>
      <w:r>
        <w:rPr>
          <w:rFonts w:hint="eastAsia"/>
          <w:kern w:val="0"/>
          <w:sz w:val="28"/>
          <w:szCs w:val="28"/>
        </w:rPr>
        <w:t>农田</w:t>
      </w:r>
      <w:r>
        <w:rPr>
          <w:kern w:val="0"/>
          <w:sz w:val="28"/>
          <w:szCs w:val="28"/>
        </w:rPr>
        <w:t>灌溉</w:t>
      </w:r>
      <w:r>
        <w:rPr>
          <w:rFonts w:hint="eastAsia"/>
          <w:kern w:val="0"/>
          <w:sz w:val="28"/>
          <w:szCs w:val="28"/>
        </w:rPr>
        <w:t>综合</w:t>
      </w:r>
      <w:r>
        <w:rPr>
          <w:kern w:val="0"/>
          <w:sz w:val="28"/>
          <w:szCs w:val="28"/>
        </w:rPr>
        <w:t>净定额及灌溉水有效利用系数，按照</w:t>
      </w:r>
      <w:r>
        <w:rPr>
          <w:rFonts w:hint="eastAsia"/>
          <w:kern w:val="0"/>
          <w:sz w:val="28"/>
          <w:szCs w:val="28"/>
        </w:rPr>
        <w:t>公</w:t>
      </w:r>
      <w:r>
        <w:rPr>
          <w:kern w:val="0"/>
          <w:sz w:val="28"/>
          <w:szCs w:val="28"/>
        </w:rPr>
        <w:t>式</w:t>
      </w:r>
      <w:r>
        <w:rPr>
          <w:rFonts w:hint="eastAsia"/>
          <w:kern w:val="0"/>
          <w:sz w:val="28"/>
          <w:szCs w:val="28"/>
        </w:rPr>
        <w:t>（2</w:t>
      </w:r>
      <w:r>
        <w:rPr>
          <w:kern w:val="0"/>
          <w:sz w:val="28"/>
          <w:szCs w:val="28"/>
        </w:rPr>
        <w:t>-1</w:t>
      </w:r>
      <w:r>
        <w:rPr>
          <w:rFonts w:hint="eastAsia"/>
          <w:kern w:val="0"/>
          <w:sz w:val="28"/>
          <w:szCs w:val="28"/>
        </w:rPr>
        <w:t>）</w:t>
      </w:r>
      <w:r>
        <w:rPr>
          <w:kern w:val="0"/>
          <w:sz w:val="28"/>
          <w:szCs w:val="28"/>
        </w:rPr>
        <w:t>计算</w:t>
      </w:r>
      <w:r>
        <w:rPr>
          <w:rFonts w:hint="eastAsia"/>
          <w:kern w:val="0"/>
          <w:sz w:val="28"/>
          <w:szCs w:val="28"/>
        </w:rPr>
        <w:t>可知，2023年50%保证率农田灌溉需水量为4495.8</w:t>
      </w:r>
      <w:r>
        <w:rPr>
          <w:rFonts w:hint="eastAsia"/>
          <w:color w:val="000000" w:themeColor="text1"/>
          <w:sz w:val="28"/>
          <w:szCs w:val="28"/>
        </w:rPr>
        <w:t>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75%（95%）需水量为5891.0万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r>
        <w:rPr>
          <w:rFonts w:hint="eastAsia"/>
          <w:kern w:val="0"/>
          <w:sz w:val="28"/>
          <w:szCs w:val="28"/>
        </w:rPr>
        <w:t>2030年50%保证率农田灌溉需水量为4787.9</w:t>
      </w:r>
      <w:r>
        <w:rPr>
          <w:rFonts w:hint="eastAsia"/>
          <w:color w:val="000000" w:themeColor="text1"/>
          <w:sz w:val="28"/>
          <w:szCs w:val="28"/>
        </w:rPr>
        <w:t>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75%（95%）需水量为6234.8万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r>
        <w:rPr>
          <w:rFonts w:hint="eastAsia"/>
          <w:kern w:val="0"/>
          <w:sz w:val="28"/>
          <w:szCs w:val="28"/>
        </w:rPr>
        <w:t>2035年50%保证率农田灌溉需水量为4949.3</w:t>
      </w:r>
      <w:r>
        <w:rPr>
          <w:rFonts w:hint="eastAsia"/>
          <w:color w:val="000000" w:themeColor="text1"/>
          <w:sz w:val="28"/>
          <w:szCs w:val="28"/>
        </w:rPr>
        <w:t>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75%（95%）需水量为6179.1万</w:t>
      </w:r>
      <w:r>
        <w:rPr>
          <w:color w:val="000000" w:themeColor="text1"/>
          <w:sz w:val="28"/>
          <w:szCs w:val="28"/>
        </w:rPr>
        <w:t>m</w:t>
      </w:r>
      <w:r>
        <w:rPr>
          <w:color w:val="000000" w:themeColor="text1"/>
          <w:sz w:val="28"/>
          <w:szCs w:val="28"/>
          <w:vertAlign w:val="superscript"/>
        </w:rPr>
        <w:t>3</w:t>
      </w:r>
      <w:r>
        <w:rPr>
          <w:kern w:val="0"/>
          <w:sz w:val="28"/>
          <w:szCs w:val="28"/>
        </w:rPr>
        <w:t>。</w:t>
      </w:r>
    </w:p>
    <w:bookmarkEnd w:id="93"/>
    <w:p w14:paraId="6DF3DFFF">
      <w:pPr>
        <w:tabs>
          <w:tab w:val="left" w:pos="5400"/>
        </w:tabs>
        <w:spacing w:line="600" w:lineRule="exact"/>
        <w:ind w:firstLine="560" w:firstLineChars="200"/>
        <w:rPr>
          <w:color w:val="000000" w:themeColor="text1"/>
          <w:sz w:val="28"/>
          <w:szCs w:val="28"/>
        </w:rPr>
      </w:pPr>
      <w:bookmarkStart w:id="94" w:name="_Hlk185001326"/>
      <w:r>
        <w:rPr>
          <w:rFonts w:hint="eastAsia"/>
          <w:color w:val="000000" w:themeColor="text1"/>
          <w:sz w:val="28"/>
          <w:szCs w:val="28"/>
        </w:rPr>
        <w:t>（3）林牧渔畜业需水预测</w:t>
      </w:r>
    </w:p>
    <w:p w14:paraId="018F028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林牧渔畜需水量包括林果地灌溉、园地灌溉、草场灌溉、鱼塘补水量和牲畜用水四个部分。平阴县没有草场，所以只计算林果地需水量、园地需水量、牲畜需水量和鱼塘补水量四个部分。其中林果地和园林灌溉需水量预测采用灌溉定额法，鱼塘补水量为维持鱼塘一定水面面积和相应水深所需要补充的水量，采用亩均补水定额法计算，具体数据采用《山东省农业用水定额》（DB37/T 3772-2019）和《平阴县水资源综合利用中长期规划（2016—2030）》等成果中的数据，平阴县林牧渔畜用水定额详见表2.4.3-5。</w:t>
      </w:r>
    </w:p>
    <w:p w14:paraId="2978BE51">
      <w:pPr>
        <w:autoSpaceDE w:val="0"/>
        <w:autoSpaceDN w:val="0"/>
        <w:spacing w:line="600" w:lineRule="exact"/>
        <w:ind w:firstLine="560" w:firstLineChars="200"/>
        <w:textAlignment w:val="baseline"/>
        <w:rPr>
          <w:kern w:val="0"/>
          <w:sz w:val="28"/>
          <w:szCs w:val="28"/>
        </w:rPr>
      </w:pPr>
      <w:bookmarkStart w:id="95" w:name="_Hlk185002215"/>
      <w:r>
        <w:rPr>
          <w:kern w:val="0"/>
          <w:sz w:val="28"/>
          <w:szCs w:val="28"/>
        </w:rPr>
        <w:t>根据</w:t>
      </w:r>
      <w:r>
        <w:rPr>
          <w:rFonts w:hint="eastAsia"/>
          <w:kern w:val="0"/>
          <w:sz w:val="28"/>
          <w:szCs w:val="28"/>
        </w:rPr>
        <w:t>平阴县不同规划年的林果地</w:t>
      </w:r>
      <w:r>
        <w:rPr>
          <w:kern w:val="0"/>
          <w:sz w:val="28"/>
          <w:szCs w:val="28"/>
        </w:rPr>
        <w:t>灌溉面积</w:t>
      </w:r>
      <w:r>
        <w:rPr>
          <w:rFonts w:hint="eastAsia"/>
          <w:kern w:val="0"/>
          <w:sz w:val="28"/>
          <w:szCs w:val="28"/>
        </w:rPr>
        <w:t>、鱼塘面积</w:t>
      </w:r>
      <w:r>
        <w:rPr>
          <w:kern w:val="0"/>
          <w:sz w:val="28"/>
          <w:szCs w:val="28"/>
        </w:rPr>
        <w:t>和牲畜头数，采用定额法对林牧渔畜需水量进行预测，</w:t>
      </w:r>
      <w:r>
        <w:rPr>
          <w:rFonts w:hint="eastAsia"/>
          <w:kern w:val="0"/>
          <w:sz w:val="28"/>
          <w:szCs w:val="28"/>
        </w:rPr>
        <w:t>2030年平阴县林牧渔畜需水量为2836.0万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2035年需水量为2929.6万</w:t>
      </w:r>
      <w:r>
        <w:rPr>
          <w:color w:val="000000" w:themeColor="text1"/>
          <w:sz w:val="28"/>
          <w:szCs w:val="28"/>
        </w:rPr>
        <w:t>m</w:t>
      </w:r>
      <w:r>
        <w:rPr>
          <w:color w:val="000000" w:themeColor="text1"/>
          <w:sz w:val="28"/>
          <w:szCs w:val="28"/>
          <w:vertAlign w:val="superscript"/>
        </w:rPr>
        <w:t>3</w:t>
      </w:r>
      <w:r>
        <w:rPr>
          <w:kern w:val="0"/>
          <w:sz w:val="28"/>
          <w:szCs w:val="28"/>
        </w:rPr>
        <w:t>。</w:t>
      </w:r>
    </w:p>
    <w:bookmarkEnd w:id="94"/>
    <w:bookmarkEnd w:id="95"/>
    <w:p w14:paraId="4DF70B3C">
      <w:pPr>
        <w:autoSpaceDE w:val="0"/>
        <w:autoSpaceDN w:val="0"/>
        <w:spacing w:line="600" w:lineRule="exact"/>
        <w:jc w:val="center"/>
        <w:textAlignment w:val="baseline"/>
        <w:rPr>
          <w:kern w:val="0"/>
          <w:sz w:val="28"/>
          <w:szCs w:val="28"/>
          <w:lang w:val="zh-CN"/>
        </w:rPr>
      </w:pPr>
      <w:bookmarkStart w:id="96" w:name="_Hlk185001403"/>
      <w:r>
        <w:rPr>
          <w:b/>
          <w:sz w:val="24"/>
        </w:rPr>
        <w:t>表</w:t>
      </w:r>
      <w:r>
        <w:rPr>
          <w:rFonts w:hint="eastAsia"/>
          <w:b/>
          <w:sz w:val="24"/>
        </w:rPr>
        <w:t>2.4.3-5</w:t>
      </w:r>
      <w:r>
        <w:rPr>
          <w:b/>
          <w:sz w:val="24"/>
        </w:rPr>
        <w:t xml:space="preserve">  平阴县</w:t>
      </w:r>
      <w:r>
        <w:rPr>
          <w:rFonts w:hint="eastAsia"/>
          <w:b/>
          <w:sz w:val="24"/>
        </w:rPr>
        <w:t>不同规划</w:t>
      </w:r>
      <w:r>
        <w:rPr>
          <w:b/>
          <w:sz w:val="24"/>
        </w:rPr>
        <w:t>林牧渔畜用水定额成果表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1219"/>
        <w:gridCol w:w="1219"/>
        <w:gridCol w:w="1217"/>
        <w:gridCol w:w="1217"/>
        <w:gridCol w:w="1217"/>
        <w:gridCol w:w="1215"/>
      </w:tblGrid>
      <w:tr w14:paraId="30E4C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5" w:type="pct"/>
            <w:vAlign w:val="center"/>
          </w:tcPr>
          <w:p w14:paraId="5B6B03DB">
            <w:pPr>
              <w:widowControl/>
              <w:adjustRightInd w:val="0"/>
              <w:snapToGrid w:val="0"/>
              <w:jc w:val="center"/>
              <w:rPr>
                <w:color w:val="000000"/>
                <w:sz w:val="22"/>
                <w:szCs w:val="22"/>
              </w:rPr>
            </w:pPr>
            <w:r>
              <w:rPr>
                <w:color w:val="000000"/>
                <w:sz w:val="22"/>
                <w:szCs w:val="22"/>
              </w:rPr>
              <w:t>水平年</w:t>
            </w:r>
          </w:p>
        </w:tc>
        <w:tc>
          <w:tcPr>
            <w:tcW w:w="715" w:type="pct"/>
            <w:vAlign w:val="center"/>
          </w:tcPr>
          <w:p w14:paraId="3EF04310">
            <w:pPr>
              <w:widowControl/>
              <w:adjustRightInd w:val="0"/>
              <w:snapToGrid w:val="0"/>
              <w:jc w:val="center"/>
              <w:rPr>
                <w:color w:val="000000"/>
                <w:sz w:val="22"/>
                <w:szCs w:val="22"/>
              </w:rPr>
            </w:pPr>
            <w:r>
              <w:rPr>
                <w:color w:val="000000"/>
                <w:sz w:val="22"/>
                <w:szCs w:val="22"/>
              </w:rPr>
              <w:t>林果地</w:t>
            </w:r>
          </w:p>
          <w:p w14:paraId="224999A7">
            <w:pPr>
              <w:widowControl/>
              <w:adjustRightInd w:val="0"/>
              <w:snapToGrid w:val="0"/>
              <w:jc w:val="center"/>
              <w:rPr>
                <w:color w:val="000000"/>
                <w:sz w:val="22"/>
                <w:szCs w:val="22"/>
              </w:rPr>
            </w:pPr>
            <w:r>
              <w:rPr>
                <w:color w:val="000000"/>
                <w:sz w:val="22"/>
                <w:szCs w:val="22"/>
              </w:rPr>
              <w:t>(m</w:t>
            </w:r>
            <w:r>
              <w:rPr>
                <w:color w:val="000000"/>
                <w:sz w:val="22"/>
                <w:szCs w:val="22"/>
                <w:vertAlign w:val="superscript"/>
              </w:rPr>
              <w:t>3</w:t>
            </w:r>
            <w:r>
              <w:rPr>
                <w:color w:val="000000"/>
                <w:sz w:val="22"/>
                <w:szCs w:val="22"/>
              </w:rPr>
              <w:t>/亩</w:t>
            </w:r>
            <w:r>
              <w:rPr>
                <w:rFonts w:hint="eastAsia"/>
                <w:color w:val="000000"/>
                <w:sz w:val="22"/>
                <w:szCs w:val="22"/>
                <w:lang w:eastAsia="zh-CN"/>
              </w:rPr>
              <w:t>）</w:t>
            </w:r>
          </w:p>
        </w:tc>
        <w:tc>
          <w:tcPr>
            <w:tcW w:w="715" w:type="pct"/>
            <w:vAlign w:val="center"/>
          </w:tcPr>
          <w:p w14:paraId="45A6028A">
            <w:pPr>
              <w:widowControl/>
              <w:adjustRightInd w:val="0"/>
              <w:snapToGrid w:val="0"/>
              <w:jc w:val="center"/>
              <w:rPr>
                <w:color w:val="000000"/>
                <w:sz w:val="22"/>
                <w:szCs w:val="22"/>
              </w:rPr>
            </w:pPr>
            <w:r>
              <w:rPr>
                <w:rFonts w:hint="eastAsia"/>
                <w:color w:val="000000"/>
                <w:sz w:val="22"/>
                <w:szCs w:val="22"/>
              </w:rPr>
              <w:t>园</w:t>
            </w:r>
            <w:r>
              <w:rPr>
                <w:color w:val="000000"/>
                <w:sz w:val="22"/>
                <w:szCs w:val="22"/>
              </w:rPr>
              <w:t>地</w:t>
            </w:r>
          </w:p>
          <w:p w14:paraId="4001CC5C">
            <w:pPr>
              <w:widowControl/>
              <w:adjustRightInd w:val="0"/>
              <w:snapToGrid w:val="0"/>
              <w:jc w:val="center"/>
              <w:rPr>
                <w:color w:val="000000"/>
                <w:sz w:val="22"/>
                <w:szCs w:val="22"/>
              </w:rPr>
            </w:pPr>
            <w:r>
              <w:rPr>
                <w:color w:val="000000"/>
                <w:sz w:val="22"/>
                <w:szCs w:val="22"/>
              </w:rPr>
              <w:t>(m</w:t>
            </w:r>
            <w:r>
              <w:rPr>
                <w:color w:val="000000"/>
                <w:sz w:val="22"/>
                <w:szCs w:val="22"/>
                <w:vertAlign w:val="superscript"/>
              </w:rPr>
              <w:t>3</w:t>
            </w:r>
            <w:r>
              <w:rPr>
                <w:color w:val="000000"/>
                <w:sz w:val="22"/>
                <w:szCs w:val="22"/>
              </w:rPr>
              <w:t>/亩</w:t>
            </w:r>
            <w:r>
              <w:rPr>
                <w:rFonts w:hint="eastAsia"/>
                <w:color w:val="000000"/>
                <w:sz w:val="22"/>
                <w:szCs w:val="22"/>
                <w:lang w:eastAsia="zh-CN"/>
              </w:rPr>
              <w:t>）</w:t>
            </w:r>
          </w:p>
        </w:tc>
        <w:tc>
          <w:tcPr>
            <w:tcW w:w="714" w:type="pct"/>
            <w:vAlign w:val="center"/>
          </w:tcPr>
          <w:p w14:paraId="7C98512A">
            <w:pPr>
              <w:widowControl/>
              <w:adjustRightInd w:val="0"/>
              <w:snapToGrid w:val="0"/>
              <w:jc w:val="center"/>
              <w:rPr>
                <w:color w:val="000000"/>
                <w:sz w:val="22"/>
                <w:szCs w:val="22"/>
              </w:rPr>
            </w:pPr>
            <w:r>
              <w:rPr>
                <w:color w:val="000000"/>
                <w:sz w:val="22"/>
                <w:szCs w:val="22"/>
              </w:rPr>
              <w:t>鱼塘</w:t>
            </w:r>
          </w:p>
          <w:p w14:paraId="7A6EAC9E">
            <w:pPr>
              <w:widowControl/>
              <w:adjustRightInd w:val="0"/>
              <w:snapToGrid w:val="0"/>
              <w:jc w:val="center"/>
              <w:rPr>
                <w:color w:val="000000"/>
                <w:sz w:val="22"/>
                <w:szCs w:val="22"/>
              </w:rPr>
            </w:pPr>
            <w:r>
              <w:rPr>
                <w:color w:val="000000"/>
                <w:sz w:val="22"/>
                <w:szCs w:val="22"/>
              </w:rPr>
              <w:t>(m</w:t>
            </w:r>
            <w:r>
              <w:rPr>
                <w:color w:val="000000"/>
                <w:sz w:val="22"/>
                <w:szCs w:val="22"/>
                <w:vertAlign w:val="superscript"/>
              </w:rPr>
              <w:t>3</w:t>
            </w:r>
            <w:r>
              <w:rPr>
                <w:color w:val="000000"/>
                <w:sz w:val="22"/>
                <w:szCs w:val="22"/>
              </w:rPr>
              <w:t>/亩</w:t>
            </w:r>
            <w:r>
              <w:rPr>
                <w:rFonts w:hint="eastAsia"/>
                <w:color w:val="000000"/>
                <w:sz w:val="22"/>
                <w:szCs w:val="22"/>
                <w:lang w:eastAsia="zh-CN"/>
              </w:rPr>
              <w:t>）</w:t>
            </w:r>
          </w:p>
        </w:tc>
        <w:tc>
          <w:tcPr>
            <w:tcW w:w="714" w:type="pct"/>
            <w:vAlign w:val="center"/>
          </w:tcPr>
          <w:p w14:paraId="02E12D0D">
            <w:pPr>
              <w:widowControl/>
              <w:adjustRightInd w:val="0"/>
              <w:snapToGrid w:val="0"/>
              <w:jc w:val="center"/>
              <w:rPr>
                <w:color w:val="000000"/>
                <w:sz w:val="22"/>
                <w:szCs w:val="22"/>
              </w:rPr>
            </w:pPr>
            <w:r>
              <w:rPr>
                <w:color w:val="000000"/>
                <w:sz w:val="22"/>
                <w:szCs w:val="22"/>
              </w:rPr>
              <w:t>大牲畜</w:t>
            </w:r>
            <w:r>
              <w:rPr>
                <w:rFonts w:hint="eastAsia"/>
                <w:color w:val="000000"/>
                <w:sz w:val="22"/>
                <w:szCs w:val="22"/>
                <w:lang w:eastAsia="zh-CN"/>
              </w:rPr>
              <w:t>（</w:t>
            </w:r>
            <w:r>
              <w:rPr>
                <w:rFonts w:hint="eastAsia"/>
                <w:color w:val="000000"/>
                <w:sz w:val="22"/>
                <w:szCs w:val="22"/>
              </w:rPr>
              <w:t>m</w:t>
            </w:r>
            <w:r>
              <w:rPr>
                <w:rFonts w:hint="eastAsia"/>
                <w:color w:val="000000"/>
                <w:sz w:val="22"/>
                <w:szCs w:val="22"/>
                <w:vertAlign w:val="superscript"/>
              </w:rPr>
              <w:t>3</w:t>
            </w:r>
            <w:r>
              <w:rPr>
                <w:rFonts w:hint="eastAsia"/>
                <w:color w:val="000000"/>
                <w:sz w:val="22"/>
                <w:szCs w:val="22"/>
              </w:rPr>
              <w:t>/头•年</w:t>
            </w:r>
            <w:r>
              <w:rPr>
                <w:rFonts w:hint="eastAsia"/>
                <w:color w:val="000000"/>
                <w:sz w:val="22"/>
                <w:szCs w:val="22"/>
                <w:lang w:eastAsia="zh-CN"/>
              </w:rPr>
              <w:t>）</w:t>
            </w:r>
          </w:p>
        </w:tc>
        <w:tc>
          <w:tcPr>
            <w:tcW w:w="714" w:type="pct"/>
            <w:vAlign w:val="center"/>
          </w:tcPr>
          <w:p w14:paraId="138A04BF">
            <w:pPr>
              <w:widowControl/>
              <w:adjustRightInd w:val="0"/>
              <w:snapToGrid w:val="0"/>
              <w:jc w:val="center"/>
              <w:rPr>
                <w:color w:val="000000"/>
                <w:sz w:val="22"/>
                <w:szCs w:val="22"/>
              </w:rPr>
            </w:pPr>
            <w:r>
              <w:rPr>
                <w:color w:val="000000"/>
                <w:sz w:val="22"/>
                <w:szCs w:val="22"/>
              </w:rPr>
              <w:t>小牲畜</w:t>
            </w:r>
            <w:r>
              <w:rPr>
                <w:rFonts w:hint="eastAsia"/>
                <w:color w:val="000000"/>
                <w:sz w:val="22"/>
                <w:szCs w:val="22"/>
                <w:lang w:eastAsia="zh-CN"/>
              </w:rPr>
              <w:t>（</w:t>
            </w:r>
            <w:r>
              <w:rPr>
                <w:rFonts w:hint="eastAsia"/>
                <w:color w:val="000000"/>
                <w:sz w:val="22"/>
                <w:szCs w:val="22"/>
              </w:rPr>
              <w:t>m</w:t>
            </w:r>
            <w:r>
              <w:rPr>
                <w:rFonts w:hint="eastAsia"/>
                <w:color w:val="000000"/>
                <w:sz w:val="22"/>
                <w:szCs w:val="22"/>
                <w:vertAlign w:val="superscript"/>
              </w:rPr>
              <w:t>3</w:t>
            </w:r>
            <w:r>
              <w:rPr>
                <w:rFonts w:hint="eastAsia"/>
                <w:color w:val="000000"/>
                <w:sz w:val="22"/>
                <w:szCs w:val="22"/>
              </w:rPr>
              <w:t>/头•年</w:t>
            </w:r>
            <w:r>
              <w:rPr>
                <w:rFonts w:hint="eastAsia"/>
                <w:color w:val="000000"/>
                <w:sz w:val="22"/>
                <w:szCs w:val="22"/>
                <w:lang w:eastAsia="zh-CN"/>
              </w:rPr>
              <w:t>）</w:t>
            </w:r>
          </w:p>
        </w:tc>
        <w:tc>
          <w:tcPr>
            <w:tcW w:w="713" w:type="pct"/>
            <w:vAlign w:val="center"/>
          </w:tcPr>
          <w:p w14:paraId="1972FFC0">
            <w:pPr>
              <w:widowControl/>
              <w:adjustRightInd w:val="0"/>
              <w:snapToGrid w:val="0"/>
              <w:jc w:val="center"/>
              <w:rPr>
                <w:color w:val="000000"/>
                <w:sz w:val="22"/>
                <w:szCs w:val="22"/>
              </w:rPr>
            </w:pPr>
            <w:r>
              <w:rPr>
                <w:rFonts w:hint="eastAsia"/>
                <w:color w:val="000000"/>
                <w:sz w:val="22"/>
                <w:szCs w:val="22"/>
              </w:rPr>
              <w:t>家禽</w:t>
            </w:r>
            <w:r>
              <w:rPr>
                <w:rFonts w:hint="eastAsia"/>
                <w:color w:val="000000"/>
                <w:sz w:val="22"/>
                <w:szCs w:val="22"/>
                <w:lang w:eastAsia="zh-CN"/>
              </w:rPr>
              <w:t>（</w:t>
            </w:r>
            <w:r>
              <w:rPr>
                <w:rFonts w:hint="eastAsia"/>
                <w:color w:val="000000"/>
                <w:sz w:val="22"/>
                <w:szCs w:val="22"/>
              </w:rPr>
              <w:t>m</w:t>
            </w:r>
            <w:r>
              <w:rPr>
                <w:rFonts w:hint="eastAsia"/>
                <w:color w:val="000000"/>
                <w:sz w:val="22"/>
                <w:szCs w:val="22"/>
                <w:vertAlign w:val="superscript"/>
              </w:rPr>
              <w:t>3</w:t>
            </w:r>
            <w:r>
              <w:rPr>
                <w:rFonts w:hint="eastAsia"/>
                <w:color w:val="000000"/>
                <w:sz w:val="22"/>
                <w:szCs w:val="22"/>
              </w:rPr>
              <w:t>/头•年</w:t>
            </w:r>
            <w:r>
              <w:rPr>
                <w:rFonts w:hint="eastAsia"/>
                <w:color w:val="000000"/>
                <w:sz w:val="22"/>
                <w:szCs w:val="22"/>
                <w:lang w:eastAsia="zh-CN"/>
              </w:rPr>
              <w:t>）</w:t>
            </w:r>
          </w:p>
        </w:tc>
      </w:tr>
      <w:tr w14:paraId="0FCED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5" w:type="pct"/>
            <w:vAlign w:val="center"/>
          </w:tcPr>
          <w:p w14:paraId="54FE45D4">
            <w:pPr>
              <w:widowControl/>
              <w:adjustRightInd w:val="0"/>
              <w:snapToGrid w:val="0"/>
              <w:jc w:val="center"/>
              <w:rPr>
                <w:color w:val="000000"/>
                <w:sz w:val="22"/>
                <w:szCs w:val="22"/>
              </w:rPr>
            </w:pPr>
            <w:r>
              <w:rPr>
                <w:color w:val="000000"/>
                <w:sz w:val="22"/>
                <w:szCs w:val="22"/>
              </w:rPr>
              <w:t>202</w:t>
            </w:r>
            <w:r>
              <w:rPr>
                <w:rFonts w:hint="eastAsia"/>
                <w:color w:val="000000"/>
                <w:sz w:val="22"/>
                <w:szCs w:val="22"/>
              </w:rPr>
              <w:t>3</w:t>
            </w:r>
          </w:p>
        </w:tc>
        <w:tc>
          <w:tcPr>
            <w:tcW w:w="715" w:type="pct"/>
            <w:vAlign w:val="center"/>
          </w:tcPr>
          <w:p w14:paraId="53AD122D">
            <w:pPr>
              <w:widowControl/>
              <w:adjustRightInd w:val="0"/>
              <w:snapToGrid w:val="0"/>
              <w:jc w:val="center"/>
              <w:rPr>
                <w:color w:val="000000"/>
                <w:sz w:val="22"/>
                <w:szCs w:val="22"/>
              </w:rPr>
            </w:pPr>
            <w:r>
              <w:rPr>
                <w:rFonts w:eastAsia="等线"/>
                <w:color w:val="000000"/>
                <w:sz w:val="22"/>
                <w:szCs w:val="22"/>
              </w:rPr>
              <w:t>138.5</w:t>
            </w:r>
          </w:p>
        </w:tc>
        <w:tc>
          <w:tcPr>
            <w:tcW w:w="715" w:type="pct"/>
            <w:vAlign w:val="center"/>
          </w:tcPr>
          <w:p w14:paraId="3023A8B6">
            <w:pPr>
              <w:widowControl/>
              <w:adjustRightInd w:val="0"/>
              <w:snapToGrid w:val="0"/>
              <w:jc w:val="center"/>
              <w:rPr>
                <w:color w:val="000000"/>
                <w:sz w:val="22"/>
                <w:szCs w:val="22"/>
              </w:rPr>
            </w:pPr>
            <w:r>
              <w:rPr>
                <w:rFonts w:eastAsia="等线"/>
                <w:color w:val="000000"/>
                <w:sz w:val="22"/>
                <w:szCs w:val="22"/>
              </w:rPr>
              <w:t>155.6</w:t>
            </w:r>
          </w:p>
        </w:tc>
        <w:tc>
          <w:tcPr>
            <w:tcW w:w="714" w:type="pct"/>
            <w:vAlign w:val="center"/>
          </w:tcPr>
          <w:p w14:paraId="319F2808">
            <w:pPr>
              <w:widowControl/>
              <w:adjustRightInd w:val="0"/>
              <w:snapToGrid w:val="0"/>
              <w:jc w:val="center"/>
              <w:rPr>
                <w:color w:val="000000"/>
                <w:sz w:val="22"/>
                <w:szCs w:val="22"/>
              </w:rPr>
            </w:pPr>
            <w:r>
              <w:rPr>
                <w:rFonts w:eastAsia="等线"/>
                <w:color w:val="000000"/>
                <w:sz w:val="22"/>
                <w:szCs w:val="22"/>
              </w:rPr>
              <w:t>553.2</w:t>
            </w:r>
          </w:p>
        </w:tc>
        <w:tc>
          <w:tcPr>
            <w:tcW w:w="714" w:type="pct"/>
            <w:vAlign w:val="center"/>
          </w:tcPr>
          <w:p w14:paraId="41CF9306">
            <w:pPr>
              <w:widowControl/>
              <w:adjustRightInd w:val="0"/>
              <w:snapToGrid w:val="0"/>
              <w:jc w:val="center"/>
              <w:rPr>
                <w:color w:val="000000"/>
                <w:sz w:val="22"/>
                <w:szCs w:val="22"/>
              </w:rPr>
            </w:pPr>
            <w:r>
              <w:rPr>
                <w:rFonts w:eastAsia="等线"/>
                <w:color w:val="000000"/>
                <w:sz w:val="22"/>
                <w:szCs w:val="22"/>
              </w:rPr>
              <w:t>33.8</w:t>
            </w:r>
          </w:p>
        </w:tc>
        <w:tc>
          <w:tcPr>
            <w:tcW w:w="714" w:type="pct"/>
            <w:vAlign w:val="center"/>
          </w:tcPr>
          <w:p w14:paraId="53481808">
            <w:pPr>
              <w:widowControl/>
              <w:adjustRightInd w:val="0"/>
              <w:snapToGrid w:val="0"/>
              <w:jc w:val="center"/>
              <w:rPr>
                <w:color w:val="000000"/>
                <w:sz w:val="22"/>
                <w:szCs w:val="22"/>
              </w:rPr>
            </w:pPr>
            <w:r>
              <w:rPr>
                <w:rFonts w:eastAsia="等线"/>
                <w:color w:val="000000"/>
                <w:sz w:val="22"/>
                <w:szCs w:val="22"/>
              </w:rPr>
              <w:t>5.5</w:t>
            </w:r>
          </w:p>
        </w:tc>
        <w:tc>
          <w:tcPr>
            <w:tcW w:w="713" w:type="pct"/>
            <w:vAlign w:val="center"/>
          </w:tcPr>
          <w:p w14:paraId="481EDB66">
            <w:pPr>
              <w:widowControl/>
              <w:adjustRightInd w:val="0"/>
              <w:snapToGrid w:val="0"/>
              <w:jc w:val="center"/>
              <w:rPr>
                <w:color w:val="000000"/>
                <w:sz w:val="22"/>
                <w:szCs w:val="22"/>
              </w:rPr>
            </w:pPr>
            <w:r>
              <w:rPr>
                <w:rFonts w:eastAsia="等线"/>
                <w:color w:val="000000"/>
                <w:sz w:val="22"/>
                <w:szCs w:val="22"/>
              </w:rPr>
              <w:t>0.4</w:t>
            </w:r>
          </w:p>
        </w:tc>
      </w:tr>
      <w:tr w14:paraId="73BDF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5" w:type="pct"/>
            <w:vAlign w:val="center"/>
          </w:tcPr>
          <w:p w14:paraId="0D0226AC">
            <w:pPr>
              <w:widowControl/>
              <w:adjustRightInd w:val="0"/>
              <w:snapToGrid w:val="0"/>
              <w:jc w:val="center"/>
              <w:rPr>
                <w:color w:val="000000"/>
                <w:sz w:val="22"/>
                <w:szCs w:val="22"/>
              </w:rPr>
            </w:pPr>
            <w:r>
              <w:rPr>
                <w:color w:val="000000"/>
                <w:sz w:val="22"/>
                <w:szCs w:val="22"/>
              </w:rPr>
              <w:t>20</w:t>
            </w:r>
            <w:r>
              <w:rPr>
                <w:rFonts w:hint="eastAsia"/>
                <w:color w:val="000000"/>
                <w:sz w:val="22"/>
                <w:szCs w:val="22"/>
              </w:rPr>
              <w:t>30</w:t>
            </w:r>
          </w:p>
        </w:tc>
        <w:tc>
          <w:tcPr>
            <w:tcW w:w="715" w:type="pct"/>
            <w:vAlign w:val="center"/>
          </w:tcPr>
          <w:p w14:paraId="1E26D333">
            <w:pPr>
              <w:widowControl/>
              <w:adjustRightInd w:val="0"/>
              <w:snapToGrid w:val="0"/>
              <w:jc w:val="center"/>
              <w:rPr>
                <w:color w:val="000000"/>
                <w:sz w:val="22"/>
                <w:szCs w:val="22"/>
              </w:rPr>
            </w:pPr>
            <w:r>
              <w:rPr>
                <w:rFonts w:eastAsia="等线"/>
                <w:color w:val="000000"/>
                <w:sz w:val="22"/>
                <w:szCs w:val="22"/>
              </w:rPr>
              <w:t>140</w:t>
            </w:r>
          </w:p>
        </w:tc>
        <w:tc>
          <w:tcPr>
            <w:tcW w:w="715" w:type="pct"/>
            <w:vAlign w:val="center"/>
          </w:tcPr>
          <w:p w14:paraId="64A7D0B3">
            <w:pPr>
              <w:widowControl/>
              <w:adjustRightInd w:val="0"/>
              <w:snapToGrid w:val="0"/>
              <w:jc w:val="center"/>
              <w:rPr>
                <w:color w:val="000000"/>
                <w:sz w:val="22"/>
                <w:szCs w:val="22"/>
              </w:rPr>
            </w:pPr>
            <w:r>
              <w:rPr>
                <w:rFonts w:eastAsia="等线"/>
                <w:color w:val="000000"/>
                <w:sz w:val="22"/>
                <w:szCs w:val="22"/>
              </w:rPr>
              <w:t>160</w:t>
            </w:r>
          </w:p>
        </w:tc>
        <w:tc>
          <w:tcPr>
            <w:tcW w:w="714" w:type="pct"/>
            <w:vAlign w:val="center"/>
          </w:tcPr>
          <w:p w14:paraId="5280FF01">
            <w:pPr>
              <w:widowControl/>
              <w:adjustRightInd w:val="0"/>
              <w:snapToGrid w:val="0"/>
              <w:jc w:val="center"/>
              <w:rPr>
                <w:color w:val="000000"/>
                <w:sz w:val="22"/>
                <w:szCs w:val="22"/>
              </w:rPr>
            </w:pPr>
            <w:r>
              <w:rPr>
                <w:rFonts w:eastAsia="等线"/>
                <w:color w:val="000000"/>
                <w:sz w:val="22"/>
                <w:szCs w:val="22"/>
              </w:rPr>
              <w:t>600</w:t>
            </w:r>
          </w:p>
        </w:tc>
        <w:tc>
          <w:tcPr>
            <w:tcW w:w="714" w:type="pct"/>
            <w:vAlign w:val="center"/>
          </w:tcPr>
          <w:p w14:paraId="39C39B09">
            <w:pPr>
              <w:widowControl/>
              <w:adjustRightInd w:val="0"/>
              <w:snapToGrid w:val="0"/>
              <w:jc w:val="center"/>
              <w:rPr>
                <w:color w:val="000000"/>
                <w:sz w:val="22"/>
                <w:szCs w:val="22"/>
              </w:rPr>
            </w:pPr>
            <w:r>
              <w:rPr>
                <w:rFonts w:eastAsia="等线"/>
                <w:color w:val="000000"/>
                <w:sz w:val="22"/>
                <w:szCs w:val="22"/>
              </w:rPr>
              <w:t>31</w:t>
            </w:r>
          </w:p>
        </w:tc>
        <w:tc>
          <w:tcPr>
            <w:tcW w:w="714" w:type="pct"/>
            <w:vAlign w:val="center"/>
          </w:tcPr>
          <w:p w14:paraId="201F81A9">
            <w:pPr>
              <w:widowControl/>
              <w:adjustRightInd w:val="0"/>
              <w:snapToGrid w:val="0"/>
              <w:jc w:val="center"/>
              <w:rPr>
                <w:color w:val="000000"/>
                <w:sz w:val="22"/>
                <w:szCs w:val="22"/>
              </w:rPr>
            </w:pPr>
            <w:r>
              <w:rPr>
                <w:rFonts w:hint="eastAsia" w:eastAsia="等线"/>
                <w:color w:val="000000"/>
                <w:sz w:val="22"/>
                <w:szCs w:val="22"/>
              </w:rPr>
              <w:t>5</w:t>
            </w:r>
          </w:p>
        </w:tc>
        <w:tc>
          <w:tcPr>
            <w:tcW w:w="713" w:type="pct"/>
            <w:vAlign w:val="center"/>
          </w:tcPr>
          <w:p w14:paraId="70565919">
            <w:pPr>
              <w:widowControl/>
              <w:adjustRightInd w:val="0"/>
              <w:snapToGrid w:val="0"/>
              <w:jc w:val="center"/>
              <w:rPr>
                <w:color w:val="000000"/>
                <w:sz w:val="22"/>
                <w:szCs w:val="22"/>
              </w:rPr>
            </w:pPr>
            <w:r>
              <w:rPr>
                <w:rFonts w:eastAsia="等线"/>
                <w:color w:val="000000"/>
                <w:sz w:val="22"/>
                <w:szCs w:val="22"/>
              </w:rPr>
              <w:t>0.3</w:t>
            </w:r>
          </w:p>
        </w:tc>
      </w:tr>
      <w:tr w14:paraId="107EC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5" w:type="pct"/>
            <w:vAlign w:val="center"/>
          </w:tcPr>
          <w:p w14:paraId="5ADDE583">
            <w:pPr>
              <w:widowControl/>
              <w:adjustRightInd w:val="0"/>
              <w:snapToGrid w:val="0"/>
              <w:jc w:val="center"/>
              <w:rPr>
                <w:color w:val="000000"/>
                <w:sz w:val="22"/>
                <w:szCs w:val="22"/>
              </w:rPr>
            </w:pPr>
            <w:r>
              <w:rPr>
                <w:color w:val="000000"/>
                <w:sz w:val="22"/>
                <w:szCs w:val="22"/>
              </w:rPr>
              <w:t>2035</w:t>
            </w:r>
          </w:p>
        </w:tc>
        <w:tc>
          <w:tcPr>
            <w:tcW w:w="715" w:type="pct"/>
            <w:vAlign w:val="center"/>
          </w:tcPr>
          <w:p w14:paraId="03EF4789">
            <w:pPr>
              <w:widowControl/>
              <w:adjustRightInd w:val="0"/>
              <w:snapToGrid w:val="0"/>
              <w:jc w:val="center"/>
              <w:rPr>
                <w:color w:val="000000"/>
                <w:sz w:val="22"/>
                <w:szCs w:val="22"/>
              </w:rPr>
            </w:pPr>
            <w:r>
              <w:rPr>
                <w:rFonts w:eastAsia="等线"/>
                <w:color w:val="000000"/>
                <w:sz w:val="22"/>
                <w:szCs w:val="22"/>
              </w:rPr>
              <w:t>140</w:t>
            </w:r>
          </w:p>
        </w:tc>
        <w:tc>
          <w:tcPr>
            <w:tcW w:w="715" w:type="pct"/>
            <w:vAlign w:val="center"/>
          </w:tcPr>
          <w:p w14:paraId="7B6BA00C">
            <w:pPr>
              <w:widowControl/>
              <w:adjustRightInd w:val="0"/>
              <w:snapToGrid w:val="0"/>
              <w:jc w:val="center"/>
              <w:rPr>
                <w:color w:val="000000"/>
                <w:sz w:val="22"/>
                <w:szCs w:val="22"/>
              </w:rPr>
            </w:pPr>
            <w:r>
              <w:rPr>
                <w:rFonts w:eastAsia="等线"/>
                <w:color w:val="000000"/>
                <w:sz w:val="22"/>
                <w:szCs w:val="22"/>
              </w:rPr>
              <w:t>160</w:t>
            </w:r>
          </w:p>
        </w:tc>
        <w:tc>
          <w:tcPr>
            <w:tcW w:w="714" w:type="pct"/>
            <w:vAlign w:val="center"/>
          </w:tcPr>
          <w:p w14:paraId="0D98183B">
            <w:pPr>
              <w:widowControl/>
              <w:adjustRightInd w:val="0"/>
              <w:snapToGrid w:val="0"/>
              <w:jc w:val="center"/>
              <w:rPr>
                <w:color w:val="000000"/>
                <w:sz w:val="22"/>
                <w:szCs w:val="22"/>
              </w:rPr>
            </w:pPr>
            <w:r>
              <w:rPr>
                <w:rFonts w:eastAsia="等线"/>
                <w:color w:val="000000"/>
                <w:sz w:val="22"/>
                <w:szCs w:val="22"/>
              </w:rPr>
              <w:t>600</w:t>
            </w:r>
          </w:p>
        </w:tc>
        <w:tc>
          <w:tcPr>
            <w:tcW w:w="714" w:type="pct"/>
            <w:vAlign w:val="center"/>
          </w:tcPr>
          <w:p w14:paraId="1EE65186">
            <w:pPr>
              <w:widowControl/>
              <w:adjustRightInd w:val="0"/>
              <w:snapToGrid w:val="0"/>
              <w:jc w:val="center"/>
              <w:rPr>
                <w:color w:val="000000"/>
                <w:sz w:val="22"/>
                <w:szCs w:val="22"/>
              </w:rPr>
            </w:pPr>
            <w:r>
              <w:rPr>
                <w:rFonts w:eastAsia="等线"/>
                <w:color w:val="000000"/>
                <w:sz w:val="22"/>
                <w:szCs w:val="22"/>
              </w:rPr>
              <w:t>31</w:t>
            </w:r>
          </w:p>
        </w:tc>
        <w:tc>
          <w:tcPr>
            <w:tcW w:w="714" w:type="pct"/>
            <w:vAlign w:val="center"/>
          </w:tcPr>
          <w:p w14:paraId="04D23D1A">
            <w:pPr>
              <w:widowControl/>
              <w:adjustRightInd w:val="0"/>
              <w:snapToGrid w:val="0"/>
              <w:jc w:val="center"/>
              <w:rPr>
                <w:color w:val="000000"/>
                <w:sz w:val="22"/>
                <w:szCs w:val="22"/>
              </w:rPr>
            </w:pPr>
            <w:r>
              <w:rPr>
                <w:rFonts w:eastAsia="等线"/>
                <w:color w:val="000000"/>
                <w:sz w:val="22"/>
                <w:szCs w:val="22"/>
              </w:rPr>
              <w:t>5</w:t>
            </w:r>
          </w:p>
        </w:tc>
        <w:tc>
          <w:tcPr>
            <w:tcW w:w="713" w:type="pct"/>
            <w:vAlign w:val="center"/>
          </w:tcPr>
          <w:p w14:paraId="4780C0D6">
            <w:pPr>
              <w:widowControl/>
              <w:adjustRightInd w:val="0"/>
              <w:snapToGrid w:val="0"/>
              <w:jc w:val="center"/>
              <w:rPr>
                <w:color w:val="000000"/>
                <w:sz w:val="22"/>
                <w:szCs w:val="22"/>
              </w:rPr>
            </w:pPr>
            <w:r>
              <w:rPr>
                <w:rFonts w:eastAsia="等线"/>
                <w:color w:val="000000"/>
                <w:sz w:val="22"/>
                <w:szCs w:val="22"/>
              </w:rPr>
              <w:t>0.3</w:t>
            </w:r>
          </w:p>
        </w:tc>
      </w:tr>
      <w:bookmarkEnd w:id="96"/>
    </w:tbl>
    <w:p w14:paraId="32934B9A">
      <w:pPr>
        <w:tabs>
          <w:tab w:val="left" w:pos="5400"/>
        </w:tabs>
        <w:spacing w:line="600" w:lineRule="exact"/>
        <w:ind w:firstLine="560" w:firstLineChars="200"/>
        <w:rPr>
          <w:color w:val="000000" w:themeColor="text1"/>
          <w:sz w:val="28"/>
          <w:szCs w:val="28"/>
        </w:rPr>
      </w:pPr>
      <w:bookmarkStart w:id="97" w:name="_Hlk185003841"/>
      <w:r>
        <w:rPr>
          <w:rFonts w:hint="eastAsia"/>
          <w:color w:val="000000" w:themeColor="text1"/>
          <w:sz w:val="28"/>
          <w:szCs w:val="28"/>
        </w:rPr>
        <w:t>（4）</w:t>
      </w:r>
      <w:r>
        <w:rPr>
          <w:color w:val="000000" w:themeColor="text1"/>
          <w:sz w:val="28"/>
          <w:szCs w:val="28"/>
        </w:rPr>
        <w:t>农业总需水量预测</w:t>
      </w:r>
    </w:p>
    <w:p w14:paraId="57C8328D">
      <w:pPr>
        <w:tabs>
          <w:tab w:val="left" w:pos="5400"/>
        </w:tabs>
        <w:spacing w:line="600" w:lineRule="exact"/>
        <w:ind w:firstLine="560" w:firstLineChars="200"/>
        <w:rPr>
          <w:color w:val="000000" w:themeColor="text1"/>
          <w:sz w:val="28"/>
          <w:szCs w:val="28"/>
        </w:rPr>
      </w:pPr>
      <w:r>
        <w:rPr>
          <w:color w:val="000000" w:themeColor="text1"/>
          <w:sz w:val="28"/>
          <w:szCs w:val="28"/>
        </w:rPr>
        <w:t>根据上述</w:t>
      </w:r>
      <w:r>
        <w:rPr>
          <w:rFonts w:hint="eastAsia"/>
          <w:color w:val="000000" w:themeColor="text1"/>
          <w:sz w:val="28"/>
          <w:szCs w:val="28"/>
        </w:rPr>
        <w:t>平阴县</w:t>
      </w:r>
      <w:r>
        <w:rPr>
          <w:color w:val="000000" w:themeColor="text1"/>
          <w:sz w:val="28"/>
          <w:szCs w:val="28"/>
        </w:rPr>
        <w:t>农业需水各项预测成果汇总，不同规划水平年、不同保证率下平阴县农业需水量预测成果详见表</w:t>
      </w:r>
      <w:r>
        <w:rPr>
          <w:rFonts w:hint="eastAsia"/>
          <w:color w:val="000000" w:themeColor="text1"/>
          <w:sz w:val="28"/>
          <w:szCs w:val="28"/>
        </w:rPr>
        <w:t>2.4.3-6</w:t>
      </w:r>
      <w:r>
        <w:rPr>
          <w:color w:val="000000" w:themeColor="text1"/>
          <w:sz w:val="28"/>
          <w:szCs w:val="28"/>
        </w:rPr>
        <w:t>。</w:t>
      </w:r>
    </w:p>
    <w:bookmarkEnd w:id="97"/>
    <w:p w14:paraId="2EB69E4C">
      <w:pPr>
        <w:tabs>
          <w:tab w:val="left" w:pos="5400"/>
        </w:tabs>
        <w:spacing w:line="600" w:lineRule="exact"/>
        <w:jc w:val="center"/>
        <w:rPr>
          <w:b/>
          <w:sz w:val="24"/>
        </w:rPr>
      </w:pPr>
      <w:r>
        <w:rPr>
          <w:b/>
          <w:sz w:val="24"/>
        </w:rPr>
        <w:t>表</w:t>
      </w:r>
      <w:r>
        <w:rPr>
          <w:rFonts w:hint="eastAsia"/>
          <w:b/>
          <w:sz w:val="24"/>
        </w:rPr>
        <w:t>2.4.3-6</w:t>
      </w:r>
      <w:r>
        <w:rPr>
          <w:b/>
          <w:sz w:val="24"/>
        </w:rPr>
        <w:t xml:space="preserve">  平阴县</w:t>
      </w:r>
      <w:r>
        <w:rPr>
          <w:rFonts w:hint="eastAsia"/>
          <w:b/>
          <w:sz w:val="24"/>
        </w:rPr>
        <w:t>不同规划年农业需水量预测</w:t>
      </w:r>
      <w:r>
        <w:rPr>
          <w:b/>
          <w:sz w:val="24"/>
        </w:rPr>
        <w:t>成果表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1064"/>
        <w:gridCol w:w="1914"/>
        <w:gridCol w:w="1428"/>
        <w:gridCol w:w="1064"/>
        <w:gridCol w:w="1914"/>
      </w:tblGrid>
      <w:tr w14:paraId="60468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68" w:type="pct"/>
            <w:vMerge w:val="restart"/>
            <w:vAlign w:val="center"/>
          </w:tcPr>
          <w:p w14:paraId="58B6364E">
            <w:pPr>
              <w:widowControl/>
              <w:adjustRightInd w:val="0"/>
              <w:snapToGrid w:val="0"/>
              <w:jc w:val="center"/>
              <w:rPr>
                <w:color w:val="000000"/>
                <w:kern w:val="0"/>
                <w:sz w:val="22"/>
                <w:szCs w:val="22"/>
              </w:rPr>
            </w:pPr>
            <w:r>
              <w:rPr>
                <w:color w:val="000000"/>
                <w:kern w:val="0"/>
                <w:sz w:val="22"/>
                <w:szCs w:val="22"/>
              </w:rPr>
              <w:t>水平年</w:t>
            </w:r>
          </w:p>
        </w:tc>
        <w:tc>
          <w:tcPr>
            <w:tcW w:w="1747" w:type="pct"/>
            <w:gridSpan w:val="2"/>
            <w:vAlign w:val="center"/>
          </w:tcPr>
          <w:p w14:paraId="614E246D">
            <w:pPr>
              <w:widowControl/>
              <w:adjustRightInd w:val="0"/>
              <w:snapToGrid w:val="0"/>
              <w:jc w:val="center"/>
              <w:rPr>
                <w:color w:val="000000"/>
                <w:kern w:val="0"/>
                <w:sz w:val="22"/>
                <w:szCs w:val="22"/>
              </w:rPr>
            </w:pPr>
            <w:r>
              <w:rPr>
                <w:color w:val="000000"/>
                <w:kern w:val="0"/>
                <w:sz w:val="22"/>
                <w:szCs w:val="22"/>
              </w:rPr>
              <w:t>农田灌溉</w:t>
            </w:r>
          </w:p>
        </w:tc>
        <w:tc>
          <w:tcPr>
            <w:tcW w:w="838" w:type="pct"/>
            <w:vMerge w:val="restart"/>
            <w:noWrap/>
            <w:vAlign w:val="center"/>
          </w:tcPr>
          <w:p w14:paraId="0DD85E7D">
            <w:pPr>
              <w:widowControl/>
              <w:adjustRightInd w:val="0"/>
              <w:snapToGrid w:val="0"/>
              <w:jc w:val="center"/>
              <w:rPr>
                <w:color w:val="000000"/>
                <w:kern w:val="0"/>
                <w:sz w:val="22"/>
                <w:szCs w:val="22"/>
              </w:rPr>
            </w:pPr>
            <w:r>
              <w:rPr>
                <w:color w:val="000000"/>
                <w:kern w:val="0"/>
                <w:sz w:val="22"/>
                <w:szCs w:val="22"/>
              </w:rPr>
              <w:t>林牧渔畜</w:t>
            </w:r>
          </w:p>
        </w:tc>
        <w:tc>
          <w:tcPr>
            <w:tcW w:w="1747" w:type="pct"/>
            <w:gridSpan w:val="2"/>
            <w:vAlign w:val="center"/>
          </w:tcPr>
          <w:p w14:paraId="40ADA2AC">
            <w:pPr>
              <w:widowControl/>
              <w:adjustRightInd w:val="0"/>
              <w:snapToGrid w:val="0"/>
              <w:jc w:val="center"/>
              <w:rPr>
                <w:color w:val="000000"/>
                <w:kern w:val="0"/>
                <w:sz w:val="22"/>
                <w:szCs w:val="22"/>
              </w:rPr>
            </w:pPr>
            <w:r>
              <w:rPr>
                <w:color w:val="000000"/>
                <w:kern w:val="0"/>
                <w:sz w:val="22"/>
                <w:szCs w:val="22"/>
              </w:rPr>
              <w:t>农业用水量</w:t>
            </w:r>
          </w:p>
        </w:tc>
      </w:tr>
      <w:tr w14:paraId="56D16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68" w:type="pct"/>
            <w:vMerge w:val="continue"/>
            <w:vAlign w:val="center"/>
          </w:tcPr>
          <w:p w14:paraId="0C0325FD">
            <w:pPr>
              <w:widowControl/>
              <w:adjustRightInd w:val="0"/>
              <w:snapToGrid w:val="0"/>
              <w:jc w:val="left"/>
              <w:rPr>
                <w:color w:val="000000"/>
                <w:kern w:val="0"/>
                <w:sz w:val="22"/>
                <w:szCs w:val="22"/>
              </w:rPr>
            </w:pPr>
          </w:p>
        </w:tc>
        <w:tc>
          <w:tcPr>
            <w:tcW w:w="624" w:type="pct"/>
            <w:vAlign w:val="center"/>
          </w:tcPr>
          <w:p w14:paraId="6FD52157">
            <w:pPr>
              <w:widowControl/>
              <w:adjustRightInd w:val="0"/>
              <w:snapToGrid w:val="0"/>
              <w:jc w:val="center"/>
              <w:rPr>
                <w:color w:val="000000"/>
                <w:kern w:val="0"/>
                <w:sz w:val="22"/>
                <w:szCs w:val="22"/>
              </w:rPr>
            </w:pPr>
            <w:r>
              <w:rPr>
                <w:color w:val="000000"/>
                <w:kern w:val="0"/>
                <w:sz w:val="22"/>
                <w:szCs w:val="22"/>
              </w:rPr>
              <w:t>50%</w:t>
            </w:r>
          </w:p>
        </w:tc>
        <w:tc>
          <w:tcPr>
            <w:tcW w:w="1123" w:type="pct"/>
            <w:vAlign w:val="center"/>
          </w:tcPr>
          <w:p w14:paraId="5E6CFCEA">
            <w:pPr>
              <w:widowControl/>
              <w:adjustRightInd w:val="0"/>
              <w:snapToGrid w:val="0"/>
              <w:jc w:val="center"/>
              <w:rPr>
                <w:color w:val="000000"/>
                <w:kern w:val="0"/>
                <w:sz w:val="22"/>
                <w:szCs w:val="22"/>
              </w:rPr>
            </w:pPr>
            <w:r>
              <w:rPr>
                <w:color w:val="000000"/>
                <w:kern w:val="0"/>
                <w:sz w:val="22"/>
                <w:szCs w:val="22"/>
              </w:rPr>
              <w:t>75%</w:t>
            </w:r>
            <w:r>
              <w:rPr>
                <w:rFonts w:hint="eastAsia"/>
                <w:color w:val="000000"/>
                <w:kern w:val="0"/>
                <w:sz w:val="22"/>
                <w:szCs w:val="22"/>
                <w:lang w:eastAsia="zh-CN"/>
              </w:rPr>
              <w:t>(</w:t>
            </w:r>
            <w:r>
              <w:rPr>
                <w:color w:val="000000"/>
                <w:kern w:val="0"/>
                <w:sz w:val="22"/>
                <w:szCs w:val="22"/>
              </w:rPr>
              <w:t>95%</w:t>
            </w:r>
            <w:r>
              <w:rPr>
                <w:rFonts w:hint="eastAsia"/>
                <w:color w:val="000000"/>
                <w:kern w:val="0"/>
                <w:sz w:val="22"/>
                <w:szCs w:val="22"/>
                <w:lang w:eastAsia="zh-CN"/>
              </w:rPr>
              <w:t>)</w:t>
            </w:r>
          </w:p>
        </w:tc>
        <w:tc>
          <w:tcPr>
            <w:tcW w:w="838" w:type="pct"/>
            <w:vMerge w:val="continue"/>
            <w:vAlign w:val="center"/>
          </w:tcPr>
          <w:p w14:paraId="162F9605">
            <w:pPr>
              <w:widowControl/>
              <w:adjustRightInd w:val="0"/>
              <w:snapToGrid w:val="0"/>
              <w:jc w:val="left"/>
              <w:rPr>
                <w:color w:val="000000"/>
                <w:kern w:val="0"/>
                <w:sz w:val="22"/>
                <w:szCs w:val="22"/>
              </w:rPr>
            </w:pPr>
          </w:p>
        </w:tc>
        <w:tc>
          <w:tcPr>
            <w:tcW w:w="624" w:type="pct"/>
            <w:vAlign w:val="center"/>
          </w:tcPr>
          <w:p w14:paraId="3A9AFEB4">
            <w:pPr>
              <w:widowControl/>
              <w:adjustRightInd w:val="0"/>
              <w:snapToGrid w:val="0"/>
              <w:jc w:val="center"/>
              <w:rPr>
                <w:color w:val="000000"/>
                <w:kern w:val="0"/>
                <w:sz w:val="22"/>
                <w:szCs w:val="22"/>
              </w:rPr>
            </w:pPr>
            <w:r>
              <w:rPr>
                <w:color w:val="000000"/>
                <w:kern w:val="0"/>
                <w:sz w:val="22"/>
                <w:szCs w:val="22"/>
              </w:rPr>
              <w:t>50%</w:t>
            </w:r>
          </w:p>
        </w:tc>
        <w:tc>
          <w:tcPr>
            <w:tcW w:w="1123" w:type="pct"/>
            <w:vAlign w:val="center"/>
          </w:tcPr>
          <w:p w14:paraId="672A24C4">
            <w:pPr>
              <w:widowControl/>
              <w:adjustRightInd w:val="0"/>
              <w:snapToGrid w:val="0"/>
              <w:jc w:val="center"/>
              <w:rPr>
                <w:color w:val="000000"/>
                <w:kern w:val="0"/>
                <w:sz w:val="22"/>
                <w:szCs w:val="22"/>
              </w:rPr>
            </w:pPr>
            <w:r>
              <w:rPr>
                <w:color w:val="000000"/>
                <w:kern w:val="0"/>
                <w:sz w:val="22"/>
                <w:szCs w:val="22"/>
              </w:rPr>
              <w:t>75%</w:t>
            </w:r>
            <w:r>
              <w:rPr>
                <w:rFonts w:hint="eastAsia"/>
                <w:color w:val="000000"/>
                <w:kern w:val="0"/>
                <w:sz w:val="22"/>
                <w:szCs w:val="22"/>
                <w:lang w:eastAsia="zh-CN"/>
              </w:rPr>
              <w:t>(</w:t>
            </w:r>
            <w:r>
              <w:rPr>
                <w:color w:val="000000"/>
                <w:kern w:val="0"/>
                <w:sz w:val="22"/>
                <w:szCs w:val="22"/>
              </w:rPr>
              <w:t>95%</w:t>
            </w:r>
            <w:r>
              <w:rPr>
                <w:rFonts w:hint="eastAsia"/>
                <w:color w:val="000000"/>
                <w:kern w:val="0"/>
                <w:sz w:val="22"/>
                <w:szCs w:val="22"/>
                <w:lang w:eastAsia="zh-CN"/>
              </w:rPr>
              <w:t>)</w:t>
            </w:r>
          </w:p>
        </w:tc>
      </w:tr>
      <w:tr w14:paraId="67368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68" w:type="pct"/>
            <w:vAlign w:val="center"/>
          </w:tcPr>
          <w:p w14:paraId="3AE39E5C">
            <w:pPr>
              <w:widowControl/>
              <w:adjustRightInd w:val="0"/>
              <w:snapToGrid w:val="0"/>
              <w:jc w:val="center"/>
              <w:rPr>
                <w:color w:val="000000"/>
                <w:kern w:val="0"/>
                <w:sz w:val="22"/>
                <w:szCs w:val="22"/>
              </w:rPr>
            </w:pPr>
            <w:r>
              <w:rPr>
                <w:color w:val="000000"/>
                <w:kern w:val="0"/>
                <w:sz w:val="22"/>
                <w:szCs w:val="22"/>
              </w:rPr>
              <w:t>2023</w:t>
            </w:r>
          </w:p>
        </w:tc>
        <w:tc>
          <w:tcPr>
            <w:tcW w:w="624" w:type="pct"/>
            <w:noWrap/>
            <w:vAlign w:val="center"/>
          </w:tcPr>
          <w:p w14:paraId="493F10FA">
            <w:pPr>
              <w:widowControl/>
              <w:adjustRightInd w:val="0"/>
              <w:snapToGrid w:val="0"/>
              <w:jc w:val="center"/>
              <w:rPr>
                <w:color w:val="000000"/>
                <w:kern w:val="0"/>
                <w:sz w:val="22"/>
                <w:szCs w:val="22"/>
              </w:rPr>
            </w:pPr>
            <w:r>
              <w:rPr>
                <w:rFonts w:eastAsia="等线"/>
                <w:color w:val="000000"/>
                <w:sz w:val="22"/>
                <w:szCs w:val="22"/>
              </w:rPr>
              <w:t>4495.8</w:t>
            </w:r>
          </w:p>
        </w:tc>
        <w:tc>
          <w:tcPr>
            <w:tcW w:w="1123" w:type="pct"/>
            <w:noWrap/>
            <w:vAlign w:val="center"/>
          </w:tcPr>
          <w:p w14:paraId="137B33B2">
            <w:pPr>
              <w:widowControl/>
              <w:adjustRightInd w:val="0"/>
              <w:snapToGrid w:val="0"/>
              <w:jc w:val="center"/>
              <w:rPr>
                <w:color w:val="000000"/>
                <w:kern w:val="0"/>
                <w:sz w:val="22"/>
                <w:szCs w:val="22"/>
              </w:rPr>
            </w:pPr>
            <w:r>
              <w:rPr>
                <w:rFonts w:eastAsia="等线"/>
                <w:color w:val="000000"/>
                <w:sz w:val="22"/>
                <w:szCs w:val="22"/>
              </w:rPr>
              <w:t>5891</w:t>
            </w:r>
          </w:p>
        </w:tc>
        <w:tc>
          <w:tcPr>
            <w:tcW w:w="838" w:type="pct"/>
            <w:noWrap/>
            <w:vAlign w:val="center"/>
          </w:tcPr>
          <w:p w14:paraId="787AE437">
            <w:pPr>
              <w:widowControl/>
              <w:adjustRightInd w:val="0"/>
              <w:snapToGrid w:val="0"/>
              <w:jc w:val="center"/>
              <w:rPr>
                <w:color w:val="000000"/>
                <w:kern w:val="0"/>
                <w:sz w:val="22"/>
                <w:szCs w:val="22"/>
              </w:rPr>
            </w:pPr>
            <w:r>
              <w:rPr>
                <w:rFonts w:eastAsia="等线"/>
                <w:color w:val="000000"/>
                <w:sz w:val="22"/>
                <w:szCs w:val="22"/>
              </w:rPr>
              <w:t>2763</w:t>
            </w:r>
          </w:p>
        </w:tc>
        <w:tc>
          <w:tcPr>
            <w:tcW w:w="624" w:type="pct"/>
            <w:noWrap/>
            <w:vAlign w:val="center"/>
          </w:tcPr>
          <w:p w14:paraId="1D9206CC">
            <w:pPr>
              <w:widowControl/>
              <w:adjustRightInd w:val="0"/>
              <w:snapToGrid w:val="0"/>
              <w:jc w:val="center"/>
              <w:rPr>
                <w:color w:val="000000"/>
                <w:kern w:val="0"/>
                <w:sz w:val="22"/>
                <w:szCs w:val="22"/>
              </w:rPr>
            </w:pPr>
            <w:r>
              <w:rPr>
                <w:rFonts w:eastAsia="等线"/>
                <w:color w:val="000000"/>
                <w:sz w:val="22"/>
                <w:szCs w:val="22"/>
              </w:rPr>
              <w:t>7258.8</w:t>
            </w:r>
          </w:p>
        </w:tc>
        <w:tc>
          <w:tcPr>
            <w:tcW w:w="1123" w:type="pct"/>
            <w:noWrap/>
            <w:vAlign w:val="center"/>
          </w:tcPr>
          <w:p w14:paraId="061B7A7B">
            <w:pPr>
              <w:widowControl/>
              <w:adjustRightInd w:val="0"/>
              <w:snapToGrid w:val="0"/>
              <w:jc w:val="center"/>
              <w:rPr>
                <w:color w:val="000000"/>
                <w:kern w:val="0"/>
                <w:sz w:val="22"/>
                <w:szCs w:val="22"/>
              </w:rPr>
            </w:pPr>
            <w:r>
              <w:rPr>
                <w:rFonts w:eastAsia="等线"/>
                <w:color w:val="000000"/>
                <w:sz w:val="22"/>
                <w:szCs w:val="22"/>
              </w:rPr>
              <w:t>8654</w:t>
            </w:r>
          </w:p>
        </w:tc>
      </w:tr>
      <w:tr w14:paraId="095D9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68" w:type="pct"/>
            <w:vAlign w:val="center"/>
          </w:tcPr>
          <w:p w14:paraId="31F01997">
            <w:pPr>
              <w:widowControl/>
              <w:adjustRightInd w:val="0"/>
              <w:snapToGrid w:val="0"/>
              <w:jc w:val="center"/>
              <w:rPr>
                <w:color w:val="000000"/>
                <w:kern w:val="0"/>
                <w:sz w:val="22"/>
                <w:szCs w:val="22"/>
              </w:rPr>
            </w:pPr>
            <w:r>
              <w:rPr>
                <w:color w:val="000000"/>
                <w:kern w:val="0"/>
                <w:sz w:val="22"/>
                <w:szCs w:val="22"/>
              </w:rPr>
              <w:t>2030</w:t>
            </w:r>
          </w:p>
        </w:tc>
        <w:tc>
          <w:tcPr>
            <w:tcW w:w="624" w:type="pct"/>
            <w:noWrap/>
            <w:vAlign w:val="center"/>
          </w:tcPr>
          <w:p w14:paraId="6312802F">
            <w:pPr>
              <w:widowControl/>
              <w:adjustRightInd w:val="0"/>
              <w:snapToGrid w:val="0"/>
              <w:jc w:val="center"/>
              <w:rPr>
                <w:color w:val="000000"/>
                <w:kern w:val="0"/>
                <w:sz w:val="22"/>
                <w:szCs w:val="22"/>
              </w:rPr>
            </w:pPr>
            <w:r>
              <w:rPr>
                <w:rFonts w:eastAsia="等线"/>
                <w:color w:val="000000"/>
                <w:sz w:val="22"/>
                <w:szCs w:val="22"/>
              </w:rPr>
              <w:t>4787.9</w:t>
            </w:r>
          </w:p>
        </w:tc>
        <w:tc>
          <w:tcPr>
            <w:tcW w:w="1123" w:type="pct"/>
            <w:noWrap/>
            <w:vAlign w:val="center"/>
          </w:tcPr>
          <w:p w14:paraId="57CC6C1B">
            <w:pPr>
              <w:widowControl/>
              <w:adjustRightInd w:val="0"/>
              <w:snapToGrid w:val="0"/>
              <w:jc w:val="center"/>
              <w:rPr>
                <w:color w:val="000000"/>
                <w:kern w:val="0"/>
                <w:sz w:val="22"/>
                <w:szCs w:val="22"/>
              </w:rPr>
            </w:pPr>
            <w:r>
              <w:rPr>
                <w:rFonts w:eastAsia="等线"/>
                <w:color w:val="000000"/>
                <w:sz w:val="22"/>
                <w:szCs w:val="22"/>
              </w:rPr>
              <w:t>6234.8</w:t>
            </w:r>
          </w:p>
        </w:tc>
        <w:tc>
          <w:tcPr>
            <w:tcW w:w="838" w:type="pct"/>
            <w:noWrap/>
            <w:vAlign w:val="center"/>
          </w:tcPr>
          <w:p w14:paraId="585C2A43">
            <w:pPr>
              <w:widowControl/>
              <w:adjustRightInd w:val="0"/>
              <w:snapToGrid w:val="0"/>
              <w:jc w:val="center"/>
              <w:rPr>
                <w:color w:val="000000"/>
                <w:kern w:val="0"/>
                <w:sz w:val="22"/>
                <w:szCs w:val="22"/>
              </w:rPr>
            </w:pPr>
            <w:r>
              <w:rPr>
                <w:rFonts w:eastAsia="等线"/>
                <w:color w:val="000000"/>
                <w:sz w:val="22"/>
                <w:szCs w:val="22"/>
              </w:rPr>
              <w:t>2836</w:t>
            </w:r>
          </w:p>
        </w:tc>
        <w:tc>
          <w:tcPr>
            <w:tcW w:w="624" w:type="pct"/>
            <w:noWrap/>
            <w:vAlign w:val="center"/>
          </w:tcPr>
          <w:p w14:paraId="62CE401A">
            <w:pPr>
              <w:widowControl/>
              <w:adjustRightInd w:val="0"/>
              <w:snapToGrid w:val="0"/>
              <w:jc w:val="center"/>
              <w:rPr>
                <w:color w:val="000000"/>
                <w:kern w:val="0"/>
                <w:sz w:val="22"/>
                <w:szCs w:val="22"/>
              </w:rPr>
            </w:pPr>
            <w:r>
              <w:rPr>
                <w:rFonts w:eastAsia="等线"/>
                <w:color w:val="000000"/>
                <w:sz w:val="22"/>
                <w:szCs w:val="22"/>
              </w:rPr>
              <w:t>7623.9</w:t>
            </w:r>
          </w:p>
        </w:tc>
        <w:tc>
          <w:tcPr>
            <w:tcW w:w="1123" w:type="pct"/>
            <w:noWrap/>
            <w:vAlign w:val="center"/>
          </w:tcPr>
          <w:p w14:paraId="1D7E17A3">
            <w:pPr>
              <w:widowControl/>
              <w:adjustRightInd w:val="0"/>
              <w:snapToGrid w:val="0"/>
              <w:jc w:val="center"/>
              <w:rPr>
                <w:color w:val="000000"/>
                <w:kern w:val="0"/>
                <w:sz w:val="22"/>
                <w:szCs w:val="22"/>
              </w:rPr>
            </w:pPr>
            <w:r>
              <w:rPr>
                <w:rFonts w:eastAsia="等线"/>
                <w:color w:val="000000"/>
                <w:sz w:val="22"/>
                <w:szCs w:val="22"/>
              </w:rPr>
              <w:t>9070.8</w:t>
            </w:r>
          </w:p>
        </w:tc>
      </w:tr>
      <w:tr w14:paraId="4EFEA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68" w:type="pct"/>
            <w:vAlign w:val="center"/>
          </w:tcPr>
          <w:p w14:paraId="671650A7">
            <w:pPr>
              <w:widowControl/>
              <w:adjustRightInd w:val="0"/>
              <w:snapToGrid w:val="0"/>
              <w:jc w:val="center"/>
              <w:rPr>
                <w:color w:val="000000"/>
                <w:kern w:val="0"/>
                <w:sz w:val="22"/>
                <w:szCs w:val="22"/>
              </w:rPr>
            </w:pPr>
            <w:r>
              <w:rPr>
                <w:color w:val="000000"/>
                <w:kern w:val="0"/>
                <w:sz w:val="22"/>
                <w:szCs w:val="22"/>
              </w:rPr>
              <w:t>2035</w:t>
            </w:r>
          </w:p>
        </w:tc>
        <w:tc>
          <w:tcPr>
            <w:tcW w:w="624" w:type="pct"/>
            <w:noWrap/>
            <w:vAlign w:val="center"/>
          </w:tcPr>
          <w:p w14:paraId="5E2111EC">
            <w:pPr>
              <w:widowControl/>
              <w:adjustRightInd w:val="0"/>
              <w:snapToGrid w:val="0"/>
              <w:jc w:val="center"/>
              <w:rPr>
                <w:color w:val="000000"/>
                <w:kern w:val="0"/>
                <w:sz w:val="22"/>
                <w:szCs w:val="22"/>
              </w:rPr>
            </w:pPr>
            <w:r>
              <w:rPr>
                <w:rFonts w:eastAsia="等线"/>
                <w:color w:val="000000"/>
                <w:sz w:val="22"/>
                <w:szCs w:val="22"/>
              </w:rPr>
              <w:t>4949.3</w:t>
            </w:r>
          </w:p>
        </w:tc>
        <w:tc>
          <w:tcPr>
            <w:tcW w:w="1123" w:type="pct"/>
            <w:noWrap/>
            <w:vAlign w:val="center"/>
          </w:tcPr>
          <w:p w14:paraId="35B98338">
            <w:pPr>
              <w:widowControl/>
              <w:adjustRightInd w:val="0"/>
              <w:snapToGrid w:val="0"/>
              <w:jc w:val="center"/>
              <w:rPr>
                <w:color w:val="000000"/>
                <w:kern w:val="0"/>
                <w:sz w:val="22"/>
                <w:szCs w:val="22"/>
              </w:rPr>
            </w:pPr>
            <w:r>
              <w:rPr>
                <w:rFonts w:eastAsia="等线"/>
                <w:color w:val="000000"/>
                <w:sz w:val="22"/>
                <w:szCs w:val="22"/>
              </w:rPr>
              <w:t>6179.1</w:t>
            </w:r>
          </w:p>
        </w:tc>
        <w:tc>
          <w:tcPr>
            <w:tcW w:w="838" w:type="pct"/>
            <w:noWrap/>
            <w:vAlign w:val="center"/>
          </w:tcPr>
          <w:p w14:paraId="28EBD82E">
            <w:pPr>
              <w:widowControl/>
              <w:adjustRightInd w:val="0"/>
              <w:snapToGrid w:val="0"/>
              <w:jc w:val="center"/>
              <w:rPr>
                <w:color w:val="000000"/>
                <w:kern w:val="0"/>
                <w:sz w:val="22"/>
                <w:szCs w:val="22"/>
              </w:rPr>
            </w:pPr>
            <w:r>
              <w:rPr>
                <w:rFonts w:eastAsia="等线"/>
                <w:color w:val="000000"/>
                <w:sz w:val="22"/>
                <w:szCs w:val="22"/>
              </w:rPr>
              <w:t>2929.6</w:t>
            </w:r>
          </w:p>
        </w:tc>
        <w:tc>
          <w:tcPr>
            <w:tcW w:w="624" w:type="pct"/>
            <w:noWrap/>
            <w:vAlign w:val="center"/>
          </w:tcPr>
          <w:p w14:paraId="7AD13892">
            <w:pPr>
              <w:widowControl/>
              <w:adjustRightInd w:val="0"/>
              <w:snapToGrid w:val="0"/>
              <w:jc w:val="center"/>
              <w:rPr>
                <w:color w:val="000000"/>
                <w:kern w:val="0"/>
                <w:sz w:val="22"/>
                <w:szCs w:val="22"/>
              </w:rPr>
            </w:pPr>
            <w:r>
              <w:rPr>
                <w:rFonts w:eastAsia="等线"/>
                <w:color w:val="000000"/>
                <w:sz w:val="22"/>
                <w:szCs w:val="22"/>
              </w:rPr>
              <w:t>7878.9</w:t>
            </w:r>
          </w:p>
        </w:tc>
        <w:tc>
          <w:tcPr>
            <w:tcW w:w="1123" w:type="pct"/>
            <w:noWrap/>
            <w:vAlign w:val="center"/>
          </w:tcPr>
          <w:p w14:paraId="47742D67">
            <w:pPr>
              <w:widowControl/>
              <w:adjustRightInd w:val="0"/>
              <w:snapToGrid w:val="0"/>
              <w:jc w:val="center"/>
              <w:rPr>
                <w:color w:val="000000"/>
                <w:kern w:val="0"/>
                <w:sz w:val="22"/>
                <w:szCs w:val="22"/>
              </w:rPr>
            </w:pPr>
            <w:r>
              <w:rPr>
                <w:rFonts w:eastAsia="等线"/>
                <w:color w:val="000000"/>
                <w:sz w:val="22"/>
                <w:szCs w:val="22"/>
              </w:rPr>
              <w:t>9108.7</w:t>
            </w:r>
          </w:p>
        </w:tc>
      </w:tr>
    </w:tbl>
    <w:p w14:paraId="742DACF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5、工业需水量预测</w:t>
      </w:r>
    </w:p>
    <w:p w14:paraId="17525A5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随着平阴县社会经济发展，工业在国民经济各部门中所占比重越来越大，其需水量也相应增加。工业需水预测涉及工业结构布局、设备、技术、工艺水平和节水情况等多种因素。本次预测工业用水定额是在分行业现状用水水平的基础上，参照济南市各行业的需水定额而定。随着科学技术的发展，产业结构调整、工艺水平的不断提高和节水技术的不断完善，以及工业用水的重复利用率不断提高，工业用水定额会不断下降。</w:t>
      </w:r>
    </w:p>
    <w:p w14:paraId="70657166">
      <w:pPr>
        <w:tabs>
          <w:tab w:val="left" w:pos="5400"/>
        </w:tabs>
        <w:spacing w:line="600" w:lineRule="exact"/>
        <w:ind w:firstLine="560" w:firstLineChars="200"/>
        <w:rPr>
          <w:color w:val="000000" w:themeColor="text1"/>
          <w:sz w:val="28"/>
          <w:szCs w:val="28"/>
        </w:rPr>
      </w:pPr>
      <w:r>
        <w:rPr>
          <w:color w:val="000000" w:themeColor="text1"/>
          <w:sz w:val="28"/>
          <w:szCs w:val="28"/>
        </w:rPr>
        <w:t>根据《平阴县202</w:t>
      </w:r>
      <w:r>
        <w:rPr>
          <w:rFonts w:hint="eastAsia"/>
          <w:color w:val="000000" w:themeColor="text1"/>
          <w:sz w:val="28"/>
          <w:szCs w:val="28"/>
        </w:rPr>
        <w:t>3</w:t>
      </w:r>
      <w:r>
        <w:rPr>
          <w:color w:val="000000" w:themeColor="text1"/>
          <w:sz w:val="28"/>
          <w:szCs w:val="28"/>
        </w:rPr>
        <w:t>年水资源公报表》确定现状年万元工业增加值取水量为</w:t>
      </w:r>
      <w:r>
        <w:rPr>
          <w:rFonts w:hint="eastAsia"/>
          <w:color w:val="000000" w:themeColor="text1"/>
          <w:sz w:val="28"/>
          <w:szCs w:val="28"/>
        </w:rPr>
        <w:t>7.63</w:t>
      </w:r>
      <w:r>
        <w:rPr>
          <w:color w:val="000000" w:themeColor="text1"/>
          <w:sz w:val="28"/>
          <w:szCs w:val="28"/>
          <w:lang w:val="zh-CN"/>
        </w:rPr>
        <w:t>m</w:t>
      </w:r>
      <w:r>
        <w:rPr>
          <w:color w:val="000000" w:themeColor="text1"/>
          <w:sz w:val="28"/>
          <w:szCs w:val="28"/>
          <w:vertAlign w:val="superscript"/>
          <w:lang w:val="zh-CN"/>
        </w:rPr>
        <w:t>3</w:t>
      </w:r>
      <w:r>
        <w:rPr>
          <w:color w:val="000000" w:themeColor="text1"/>
          <w:sz w:val="28"/>
          <w:szCs w:val="28"/>
        </w:rPr>
        <w:t>/万元。根据《济南市城乡水务局 济南市发展和改革委员会关于印发“十四五”用水总量和强度双控目标的通知》（济水发〔2022〕137号）</w:t>
      </w:r>
      <w:r>
        <w:rPr>
          <w:rFonts w:hint="eastAsia"/>
          <w:color w:val="000000" w:themeColor="text1"/>
          <w:sz w:val="28"/>
          <w:szCs w:val="28"/>
        </w:rPr>
        <w:t>和《平阴县水资源综合利用中长期规划（2016~2030）》等成果</w:t>
      </w:r>
      <w:r>
        <w:rPr>
          <w:color w:val="000000" w:themeColor="text1"/>
          <w:sz w:val="28"/>
          <w:szCs w:val="28"/>
        </w:rPr>
        <w:t>，确定</w:t>
      </w:r>
      <w:r>
        <w:rPr>
          <w:rFonts w:hint="eastAsia"/>
          <w:color w:val="000000" w:themeColor="text1"/>
          <w:sz w:val="28"/>
          <w:szCs w:val="28"/>
        </w:rPr>
        <w:t>至</w:t>
      </w:r>
      <w:r>
        <w:rPr>
          <w:color w:val="000000" w:themeColor="text1"/>
          <w:sz w:val="28"/>
          <w:szCs w:val="28"/>
        </w:rPr>
        <w:t>20</w:t>
      </w:r>
      <w:r>
        <w:rPr>
          <w:rFonts w:hint="eastAsia"/>
          <w:color w:val="000000" w:themeColor="text1"/>
          <w:sz w:val="28"/>
          <w:szCs w:val="28"/>
        </w:rPr>
        <w:t>30年万元工业增加值用水量较</w:t>
      </w:r>
      <w:r>
        <w:rPr>
          <w:color w:val="000000" w:themeColor="text1"/>
          <w:sz w:val="28"/>
          <w:szCs w:val="28"/>
        </w:rPr>
        <w:t>202</w:t>
      </w:r>
      <w:r>
        <w:rPr>
          <w:rFonts w:hint="eastAsia"/>
          <w:color w:val="000000" w:themeColor="text1"/>
          <w:sz w:val="28"/>
          <w:szCs w:val="28"/>
        </w:rPr>
        <w:t>3年下降7</w:t>
      </w:r>
      <w:r>
        <w:rPr>
          <w:color w:val="000000" w:themeColor="text1"/>
          <w:sz w:val="28"/>
          <w:szCs w:val="28"/>
        </w:rPr>
        <w:t>%</w:t>
      </w:r>
      <w:r>
        <w:rPr>
          <w:rFonts w:hint="eastAsia"/>
          <w:color w:val="000000" w:themeColor="text1"/>
          <w:sz w:val="28"/>
          <w:szCs w:val="28"/>
        </w:rPr>
        <w:t>，</w:t>
      </w:r>
      <w:r>
        <w:rPr>
          <w:color w:val="000000" w:themeColor="text1"/>
          <w:sz w:val="28"/>
          <w:szCs w:val="28"/>
        </w:rPr>
        <w:t>2035</w:t>
      </w:r>
      <w:r>
        <w:rPr>
          <w:rFonts w:hint="eastAsia"/>
          <w:color w:val="000000" w:themeColor="text1"/>
          <w:sz w:val="28"/>
          <w:szCs w:val="28"/>
        </w:rPr>
        <w:t>年万元工业增加值用水量较</w:t>
      </w:r>
      <w:r>
        <w:rPr>
          <w:color w:val="000000" w:themeColor="text1"/>
          <w:sz w:val="28"/>
          <w:szCs w:val="28"/>
        </w:rPr>
        <w:t>20</w:t>
      </w:r>
      <w:r>
        <w:rPr>
          <w:rFonts w:hint="eastAsia"/>
          <w:color w:val="000000" w:themeColor="text1"/>
          <w:sz w:val="28"/>
          <w:szCs w:val="28"/>
        </w:rPr>
        <w:t>30年下降5</w:t>
      </w:r>
      <w:r>
        <w:rPr>
          <w:color w:val="000000" w:themeColor="text1"/>
          <w:sz w:val="28"/>
          <w:szCs w:val="28"/>
        </w:rPr>
        <w:t>%</w:t>
      </w:r>
      <w:r>
        <w:rPr>
          <w:rFonts w:hint="eastAsia"/>
          <w:color w:val="000000" w:themeColor="text1"/>
          <w:sz w:val="28"/>
          <w:szCs w:val="28"/>
        </w:rPr>
        <w:t>，则</w:t>
      </w:r>
      <w:r>
        <w:rPr>
          <w:color w:val="000000" w:themeColor="text1"/>
          <w:sz w:val="28"/>
          <w:szCs w:val="28"/>
        </w:rPr>
        <w:t>20</w:t>
      </w:r>
      <w:r>
        <w:rPr>
          <w:rFonts w:hint="eastAsia"/>
          <w:color w:val="000000" w:themeColor="text1"/>
          <w:sz w:val="28"/>
          <w:szCs w:val="28"/>
        </w:rPr>
        <w:t>30</w:t>
      </w:r>
      <w:r>
        <w:rPr>
          <w:color w:val="000000" w:themeColor="text1"/>
          <w:sz w:val="28"/>
          <w:szCs w:val="28"/>
        </w:rPr>
        <w:t>和2035年的万元工业增加值</w:t>
      </w:r>
      <w:r>
        <w:rPr>
          <w:rFonts w:hint="eastAsia"/>
          <w:color w:val="000000" w:themeColor="text1"/>
          <w:sz w:val="28"/>
          <w:szCs w:val="28"/>
        </w:rPr>
        <w:t>用</w:t>
      </w:r>
      <w:r>
        <w:rPr>
          <w:color w:val="000000" w:themeColor="text1"/>
          <w:sz w:val="28"/>
          <w:szCs w:val="28"/>
        </w:rPr>
        <w:t>水量</w:t>
      </w:r>
      <w:r>
        <w:rPr>
          <w:rFonts w:hint="eastAsia"/>
          <w:color w:val="000000" w:themeColor="text1"/>
          <w:sz w:val="28"/>
          <w:szCs w:val="28"/>
        </w:rPr>
        <w:t>分别</w:t>
      </w:r>
      <w:r>
        <w:rPr>
          <w:color w:val="000000" w:themeColor="text1"/>
          <w:sz w:val="28"/>
          <w:szCs w:val="28"/>
        </w:rPr>
        <w:t>为</w:t>
      </w:r>
      <w:r>
        <w:rPr>
          <w:rFonts w:hint="eastAsia"/>
          <w:color w:val="000000" w:themeColor="text1"/>
          <w:sz w:val="28"/>
          <w:szCs w:val="28"/>
        </w:rPr>
        <w:t>7.1</w:t>
      </w:r>
      <w:r>
        <w:rPr>
          <w:color w:val="000000" w:themeColor="text1"/>
          <w:sz w:val="28"/>
          <w:szCs w:val="28"/>
          <w:lang w:val="zh-CN"/>
        </w:rPr>
        <w:t>m</w:t>
      </w:r>
      <w:r>
        <w:rPr>
          <w:color w:val="000000" w:themeColor="text1"/>
          <w:sz w:val="28"/>
          <w:szCs w:val="28"/>
          <w:vertAlign w:val="superscript"/>
          <w:lang w:val="zh-CN"/>
        </w:rPr>
        <w:t>3</w:t>
      </w:r>
      <w:r>
        <w:rPr>
          <w:color w:val="000000" w:themeColor="text1"/>
          <w:sz w:val="28"/>
          <w:szCs w:val="28"/>
        </w:rPr>
        <w:t>/万元和</w:t>
      </w:r>
      <w:r>
        <w:rPr>
          <w:rFonts w:hint="eastAsia"/>
          <w:color w:val="000000" w:themeColor="text1"/>
          <w:sz w:val="28"/>
          <w:szCs w:val="28"/>
        </w:rPr>
        <w:t>6.74</w:t>
      </w:r>
      <w:r>
        <w:rPr>
          <w:color w:val="000000" w:themeColor="text1"/>
          <w:sz w:val="28"/>
          <w:szCs w:val="28"/>
          <w:lang w:val="zh-CN"/>
        </w:rPr>
        <w:t>m</w:t>
      </w:r>
      <w:r>
        <w:rPr>
          <w:color w:val="000000" w:themeColor="text1"/>
          <w:sz w:val="28"/>
          <w:szCs w:val="28"/>
          <w:vertAlign w:val="superscript"/>
          <w:lang w:val="zh-CN"/>
        </w:rPr>
        <w:t>3</w:t>
      </w:r>
      <w:r>
        <w:rPr>
          <w:color w:val="000000" w:themeColor="text1"/>
          <w:sz w:val="28"/>
          <w:szCs w:val="28"/>
        </w:rPr>
        <w:t>/万元。</w:t>
      </w:r>
    </w:p>
    <w:p w14:paraId="25FF1C3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根据平阴县经济预测可知，2030年平阴县工业增加值为226.6亿元，2035年工业增加值为303.2亿元，结合万元工业增加值用水量预测平阴县</w:t>
      </w:r>
      <w:r>
        <w:rPr>
          <w:color w:val="000000" w:themeColor="text1"/>
          <w:sz w:val="28"/>
          <w:szCs w:val="28"/>
        </w:rPr>
        <w:t>20</w:t>
      </w:r>
      <w:r>
        <w:rPr>
          <w:rFonts w:hint="eastAsia"/>
          <w:color w:val="000000" w:themeColor="text1"/>
          <w:sz w:val="28"/>
          <w:szCs w:val="28"/>
        </w:rPr>
        <w:t>30</w:t>
      </w:r>
      <w:r>
        <w:rPr>
          <w:color w:val="000000" w:themeColor="text1"/>
          <w:sz w:val="28"/>
          <w:szCs w:val="28"/>
        </w:rPr>
        <w:t>和2035年</w:t>
      </w:r>
      <w:r>
        <w:rPr>
          <w:rFonts w:hint="eastAsia"/>
          <w:color w:val="000000" w:themeColor="text1"/>
          <w:sz w:val="28"/>
          <w:szCs w:val="28"/>
        </w:rPr>
        <w:t>工业需水量分别为1608.0</w:t>
      </w:r>
      <w:r>
        <w:rPr>
          <w:rFonts w:hint="eastAsia"/>
          <w:kern w:val="0"/>
          <w:sz w:val="28"/>
          <w:szCs w:val="28"/>
        </w:rPr>
        <w:t>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和2043.9</w:t>
      </w:r>
      <w:r>
        <w:rPr>
          <w:rFonts w:hint="eastAsia"/>
          <w:kern w:val="0"/>
          <w:sz w:val="28"/>
          <w:szCs w:val="28"/>
        </w:rPr>
        <w:t>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2A738E82">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6、生态环境需水预测</w:t>
      </w:r>
    </w:p>
    <w:p w14:paraId="2DD4526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生态环境是人类生存发展的基本自然条件，它不仅为人类提供直接服务，还为人类提供间接服务。生态环境需水是指为维持给定目标下生态环境系统一定功能所需要保留的自然水体和需要人工补充的水量。结合当地水资源开发利用状况、经济社会发展水平、水资源演变情势等，确定切实可行的生态环境保护、修（恢）复和建设目标，分河道内和河道外的生态环境需水量的预测。</w:t>
      </w:r>
    </w:p>
    <w:p w14:paraId="4458CE85">
      <w:pPr>
        <w:autoSpaceDE w:val="0"/>
        <w:autoSpaceDN w:val="0"/>
        <w:spacing w:line="600" w:lineRule="exact"/>
        <w:ind w:firstLine="560" w:firstLineChars="200"/>
        <w:textAlignment w:val="baseline"/>
        <w:rPr>
          <w:kern w:val="0"/>
          <w:sz w:val="28"/>
          <w:szCs w:val="28"/>
        </w:rPr>
      </w:pPr>
      <w:r>
        <w:rPr>
          <w:rFonts w:hint="eastAsia"/>
          <w:kern w:val="0"/>
          <w:sz w:val="28"/>
          <w:szCs w:val="28"/>
        </w:rPr>
        <w:t>（1）生态环境需水预测规定与方法</w:t>
      </w:r>
    </w:p>
    <w:p w14:paraId="1DF78D26">
      <w:pPr>
        <w:autoSpaceDE w:val="0"/>
        <w:autoSpaceDN w:val="0"/>
        <w:spacing w:line="600" w:lineRule="exact"/>
        <w:ind w:firstLine="560" w:firstLineChars="200"/>
        <w:textAlignment w:val="baseline"/>
        <w:rPr>
          <w:kern w:val="0"/>
          <w:sz w:val="28"/>
          <w:szCs w:val="28"/>
        </w:rPr>
      </w:pPr>
      <w:r>
        <w:rPr>
          <w:rFonts w:hint="eastAsia"/>
          <w:kern w:val="0"/>
          <w:sz w:val="28"/>
          <w:szCs w:val="28"/>
        </w:rPr>
        <w:t>生态环境需水包括河道内生态环境需水和河道外生态环境需水。其中河道内生态环境需水，在本次规划中确定地表水资源可利用水量时，即充分考虑了河道内生态环境需水的要求，此处不再重复计算，因此本次规划只进行河道外生态环境需水。</w:t>
      </w:r>
    </w:p>
    <w:p w14:paraId="7F9E6202">
      <w:pPr>
        <w:autoSpaceDE w:val="0"/>
        <w:autoSpaceDN w:val="0"/>
        <w:spacing w:line="600" w:lineRule="exact"/>
        <w:ind w:firstLine="560" w:firstLineChars="200"/>
        <w:textAlignment w:val="baseline"/>
        <w:rPr>
          <w:kern w:val="0"/>
          <w:sz w:val="28"/>
          <w:szCs w:val="28"/>
        </w:rPr>
      </w:pPr>
      <w:r>
        <w:rPr>
          <w:rFonts w:hint="eastAsia"/>
          <w:kern w:val="0"/>
          <w:sz w:val="28"/>
          <w:szCs w:val="28"/>
        </w:rPr>
        <w:t>结合平阴县实际情况，对平阴县城镇生态环境需水量进行预测，主要包括绿化需水量和浇洒道路（环境卫生）需水量。河道外城镇绿化用水和浇洒道路用水采用定额法进行预测计算。</w:t>
      </w:r>
    </w:p>
    <w:p w14:paraId="3849BC04">
      <w:pPr>
        <w:autoSpaceDE w:val="0"/>
        <w:autoSpaceDN w:val="0"/>
        <w:spacing w:line="600" w:lineRule="exact"/>
        <w:ind w:firstLine="560" w:firstLineChars="200"/>
        <w:textAlignment w:val="baseline"/>
        <w:rPr>
          <w:kern w:val="0"/>
          <w:sz w:val="28"/>
          <w:szCs w:val="28"/>
        </w:rPr>
      </w:pPr>
      <w:r>
        <w:rPr>
          <w:rFonts w:hint="eastAsia"/>
          <w:kern w:val="0"/>
          <w:sz w:val="28"/>
          <w:szCs w:val="28"/>
        </w:rPr>
        <w:t>①</w:t>
      </w:r>
      <w:r>
        <w:rPr>
          <w:kern w:val="0"/>
          <w:sz w:val="28"/>
          <w:szCs w:val="28"/>
        </w:rPr>
        <w:t>城镇</w:t>
      </w:r>
      <w:r>
        <w:rPr>
          <w:kern w:val="0"/>
          <w:sz w:val="28"/>
          <w:szCs w:val="28"/>
          <w:lang w:val="zh-CN"/>
        </w:rPr>
        <w:t>绿化</w:t>
      </w:r>
      <w:r>
        <w:rPr>
          <w:kern w:val="0"/>
          <w:sz w:val="28"/>
          <w:szCs w:val="28"/>
        </w:rPr>
        <w:t>需水量</w:t>
      </w:r>
    </w:p>
    <w:p w14:paraId="7FBEB326">
      <w:pPr>
        <w:autoSpaceDE w:val="0"/>
        <w:autoSpaceDN w:val="0"/>
        <w:spacing w:line="600" w:lineRule="exact"/>
        <w:ind w:firstLine="560" w:firstLineChars="200"/>
        <w:textAlignment w:val="baseline"/>
        <w:rPr>
          <w:kern w:val="0"/>
          <w:sz w:val="28"/>
          <w:szCs w:val="28"/>
        </w:rPr>
      </w:pPr>
      <w:r>
        <w:rPr>
          <w:kern w:val="0"/>
          <w:sz w:val="28"/>
          <w:szCs w:val="28"/>
        </w:rPr>
        <w:t>计算公式：</w:t>
      </w:r>
    </w:p>
    <w:p w14:paraId="51EBC6DE">
      <w:pPr>
        <w:autoSpaceDE w:val="0"/>
        <w:autoSpaceDN w:val="0"/>
        <w:spacing w:line="600" w:lineRule="exact"/>
        <w:ind w:firstLine="560" w:firstLineChars="200"/>
        <w:jc w:val="right"/>
        <w:textAlignment w:val="baseline"/>
        <w:rPr>
          <w:kern w:val="0"/>
          <w:sz w:val="28"/>
          <w:szCs w:val="28"/>
        </w:rPr>
      </w:pPr>
      <w:r>
        <w:rPr>
          <w:i/>
          <w:kern w:val="0"/>
          <w:sz w:val="28"/>
          <w:szCs w:val="28"/>
        </w:rPr>
        <w:t>W</w:t>
      </w:r>
      <w:r>
        <w:rPr>
          <w:i/>
          <w:kern w:val="0"/>
          <w:sz w:val="28"/>
          <w:szCs w:val="28"/>
          <w:vertAlign w:val="subscript"/>
        </w:rPr>
        <w:t>l</w:t>
      </w:r>
      <w:r>
        <w:rPr>
          <w:i/>
          <w:kern w:val="0"/>
          <w:sz w:val="28"/>
          <w:szCs w:val="28"/>
        </w:rPr>
        <w:t>=S</w:t>
      </w:r>
      <w:r>
        <w:rPr>
          <w:i/>
          <w:kern w:val="0"/>
          <w:sz w:val="28"/>
          <w:szCs w:val="28"/>
          <w:vertAlign w:val="subscript"/>
        </w:rPr>
        <w:t>l</w:t>
      </w:r>
      <w:r>
        <w:rPr>
          <w:i/>
          <w:kern w:val="0"/>
          <w:sz w:val="28"/>
          <w:szCs w:val="28"/>
        </w:rPr>
        <w:t>×q</w:t>
      </w:r>
      <w:r>
        <w:rPr>
          <w:i/>
          <w:kern w:val="0"/>
          <w:sz w:val="28"/>
          <w:szCs w:val="28"/>
          <w:vertAlign w:val="subscript"/>
        </w:rPr>
        <w:t>l</w:t>
      </w:r>
      <w:r>
        <w:rPr>
          <w:i/>
          <w:kern w:val="0"/>
          <w:sz w:val="28"/>
          <w:szCs w:val="28"/>
        </w:rPr>
        <w:t>×t</w:t>
      </w:r>
      <w:r>
        <w:rPr>
          <w:kern w:val="0"/>
          <w:sz w:val="28"/>
          <w:szCs w:val="28"/>
        </w:rPr>
        <w:t xml:space="preserve">                         </w:t>
      </w:r>
      <w:r>
        <w:rPr>
          <w:rFonts w:hint="eastAsia"/>
          <w:kern w:val="0"/>
          <w:sz w:val="28"/>
          <w:szCs w:val="28"/>
        </w:rPr>
        <w:t xml:space="preserve"> </w:t>
      </w:r>
      <w:r>
        <w:rPr>
          <w:kern w:val="0"/>
          <w:sz w:val="28"/>
          <w:szCs w:val="28"/>
        </w:rPr>
        <w:t xml:space="preserve">               </w:t>
      </w:r>
      <w:r>
        <w:rPr>
          <w:rFonts w:hint="eastAsia"/>
          <w:kern w:val="0"/>
          <w:sz w:val="28"/>
          <w:szCs w:val="28"/>
          <w:lang w:eastAsia="zh-CN"/>
        </w:rPr>
        <w:t>(</w:t>
      </w:r>
      <w:r>
        <w:rPr>
          <w:kern w:val="0"/>
          <w:sz w:val="28"/>
          <w:szCs w:val="28"/>
        </w:rPr>
        <w:t>4-3</w:t>
      </w:r>
      <w:r>
        <w:rPr>
          <w:rFonts w:hint="eastAsia"/>
          <w:kern w:val="0"/>
          <w:sz w:val="28"/>
          <w:szCs w:val="28"/>
          <w:lang w:eastAsia="zh-CN"/>
        </w:rPr>
        <w:t>)</w:t>
      </w:r>
    </w:p>
    <w:p w14:paraId="5D391B79">
      <w:pPr>
        <w:autoSpaceDE w:val="0"/>
        <w:autoSpaceDN w:val="0"/>
        <w:spacing w:line="600" w:lineRule="exact"/>
        <w:ind w:firstLine="560" w:firstLineChars="200"/>
        <w:textAlignment w:val="baseline"/>
        <w:rPr>
          <w:kern w:val="0"/>
          <w:sz w:val="28"/>
          <w:szCs w:val="28"/>
        </w:rPr>
      </w:pPr>
      <w:r>
        <w:rPr>
          <w:kern w:val="0"/>
          <w:sz w:val="28"/>
          <w:szCs w:val="28"/>
        </w:rPr>
        <w:t>式中：</w:t>
      </w:r>
      <w:r>
        <w:rPr>
          <w:i/>
          <w:kern w:val="0"/>
          <w:sz w:val="28"/>
          <w:szCs w:val="28"/>
        </w:rPr>
        <w:t>W</w:t>
      </w:r>
      <w:r>
        <w:rPr>
          <w:i/>
          <w:kern w:val="0"/>
          <w:sz w:val="28"/>
          <w:szCs w:val="28"/>
          <w:vertAlign w:val="subscript"/>
        </w:rPr>
        <w:t>l</w:t>
      </w:r>
      <w:r>
        <w:rPr>
          <w:kern w:val="0"/>
          <w:sz w:val="28"/>
          <w:szCs w:val="28"/>
        </w:rPr>
        <w:t>为绿化需水量，</w:t>
      </w:r>
      <w:r>
        <w:rPr>
          <w:i/>
          <w:kern w:val="0"/>
          <w:sz w:val="28"/>
          <w:szCs w:val="28"/>
        </w:rPr>
        <w:t>S</w:t>
      </w:r>
      <w:r>
        <w:rPr>
          <w:i/>
          <w:kern w:val="0"/>
          <w:sz w:val="28"/>
          <w:szCs w:val="28"/>
          <w:vertAlign w:val="subscript"/>
        </w:rPr>
        <w:t>l</w:t>
      </w:r>
      <w:r>
        <w:rPr>
          <w:kern w:val="0"/>
          <w:sz w:val="28"/>
          <w:szCs w:val="28"/>
        </w:rPr>
        <w:t>为绿地面积，</w:t>
      </w:r>
      <w:r>
        <w:rPr>
          <w:i/>
          <w:kern w:val="0"/>
          <w:sz w:val="28"/>
          <w:szCs w:val="28"/>
        </w:rPr>
        <w:t>q</w:t>
      </w:r>
      <w:r>
        <w:rPr>
          <w:i/>
          <w:kern w:val="0"/>
          <w:sz w:val="28"/>
          <w:szCs w:val="28"/>
          <w:vertAlign w:val="subscript"/>
        </w:rPr>
        <w:t>l</w:t>
      </w:r>
      <w:r>
        <w:rPr>
          <w:kern w:val="0"/>
          <w:sz w:val="28"/>
          <w:szCs w:val="28"/>
        </w:rPr>
        <w:t>为绿地灌溉定额，</w:t>
      </w:r>
      <w:r>
        <w:rPr>
          <w:i/>
          <w:kern w:val="0"/>
          <w:sz w:val="28"/>
          <w:szCs w:val="28"/>
        </w:rPr>
        <w:t>t</w:t>
      </w:r>
      <w:r>
        <w:rPr>
          <w:kern w:val="0"/>
          <w:sz w:val="28"/>
          <w:szCs w:val="28"/>
        </w:rPr>
        <w:t>为城镇浇洒道路时间。</w:t>
      </w:r>
    </w:p>
    <w:p w14:paraId="72DFCF37">
      <w:pPr>
        <w:autoSpaceDE w:val="0"/>
        <w:autoSpaceDN w:val="0"/>
        <w:spacing w:line="600" w:lineRule="exact"/>
        <w:ind w:firstLine="560" w:firstLineChars="200"/>
        <w:textAlignment w:val="baseline"/>
        <w:rPr>
          <w:kern w:val="0"/>
          <w:sz w:val="28"/>
          <w:szCs w:val="28"/>
        </w:rPr>
      </w:pPr>
      <w:r>
        <w:rPr>
          <w:kern w:val="0"/>
          <w:sz w:val="28"/>
          <w:szCs w:val="28"/>
        </w:rPr>
        <w:t>根据</w:t>
      </w:r>
      <w:r>
        <w:rPr>
          <w:rFonts w:hint="eastAsia"/>
          <w:kern w:val="0"/>
          <w:sz w:val="28"/>
          <w:szCs w:val="28"/>
        </w:rPr>
        <w:t>《山东省服务业用水定额 第4 部分：公共设施管理及社会工作》（DB37/T 4601.4-2023）确定，浇洒绿地用水按1.0L/m</w:t>
      </w:r>
      <w:r>
        <w:rPr>
          <w:rFonts w:hint="eastAsia"/>
          <w:kern w:val="0"/>
          <w:sz w:val="28"/>
          <w:szCs w:val="28"/>
          <w:vertAlign w:val="superscript"/>
        </w:rPr>
        <w:t>2</w:t>
      </w:r>
      <w:r>
        <w:rPr>
          <w:rFonts w:hint="eastAsia"/>
          <w:kern w:val="0"/>
          <w:sz w:val="28"/>
          <w:szCs w:val="28"/>
        </w:rPr>
        <w:t>·d 计算。</w:t>
      </w:r>
    </w:p>
    <w:p w14:paraId="0F1D5E28">
      <w:pPr>
        <w:autoSpaceDE w:val="0"/>
        <w:autoSpaceDN w:val="0"/>
        <w:spacing w:line="600" w:lineRule="exact"/>
        <w:ind w:firstLine="560" w:firstLineChars="200"/>
        <w:textAlignment w:val="baseline"/>
        <w:rPr>
          <w:kern w:val="0"/>
          <w:sz w:val="28"/>
          <w:szCs w:val="28"/>
        </w:rPr>
      </w:pPr>
      <w:r>
        <w:rPr>
          <w:rFonts w:hint="eastAsia"/>
          <w:kern w:val="0"/>
          <w:sz w:val="28"/>
          <w:szCs w:val="28"/>
        </w:rPr>
        <w:t>②</w:t>
      </w:r>
      <w:r>
        <w:rPr>
          <w:kern w:val="0"/>
          <w:sz w:val="28"/>
          <w:szCs w:val="28"/>
        </w:rPr>
        <w:t>城镇浇洒道路（环境卫生）需水量</w:t>
      </w:r>
    </w:p>
    <w:p w14:paraId="74B1CAAB">
      <w:pPr>
        <w:autoSpaceDE w:val="0"/>
        <w:autoSpaceDN w:val="0"/>
        <w:spacing w:line="600" w:lineRule="exact"/>
        <w:ind w:firstLine="560" w:firstLineChars="200"/>
        <w:textAlignment w:val="baseline"/>
        <w:rPr>
          <w:kern w:val="0"/>
          <w:sz w:val="28"/>
          <w:szCs w:val="28"/>
        </w:rPr>
      </w:pPr>
      <w:r>
        <w:rPr>
          <w:kern w:val="0"/>
          <w:sz w:val="28"/>
          <w:szCs w:val="28"/>
        </w:rPr>
        <w:t>计算公式：</w:t>
      </w:r>
    </w:p>
    <w:p w14:paraId="63B8ED6B">
      <w:pPr>
        <w:autoSpaceDE w:val="0"/>
        <w:autoSpaceDN w:val="0"/>
        <w:spacing w:line="600" w:lineRule="exact"/>
        <w:ind w:firstLine="560" w:firstLineChars="200"/>
        <w:jc w:val="right"/>
        <w:textAlignment w:val="baseline"/>
        <w:rPr>
          <w:kern w:val="0"/>
          <w:sz w:val="28"/>
          <w:szCs w:val="28"/>
        </w:rPr>
      </w:pPr>
      <w:r>
        <w:rPr>
          <w:i/>
          <w:kern w:val="0"/>
          <w:sz w:val="28"/>
          <w:szCs w:val="28"/>
        </w:rPr>
        <w:t>W</w:t>
      </w:r>
      <w:r>
        <w:rPr>
          <w:i/>
          <w:kern w:val="0"/>
          <w:sz w:val="28"/>
          <w:szCs w:val="28"/>
          <w:vertAlign w:val="subscript"/>
        </w:rPr>
        <w:t>h</w:t>
      </w:r>
      <w:r>
        <w:rPr>
          <w:i/>
          <w:kern w:val="0"/>
          <w:sz w:val="28"/>
          <w:szCs w:val="28"/>
        </w:rPr>
        <w:t>=S</w:t>
      </w:r>
      <w:r>
        <w:rPr>
          <w:i/>
          <w:kern w:val="0"/>
          <w:sz w:val="28"/>
          <w:szCs w:val="28"/>
          <w:vertAlign w:val="subscript"/>
        </w:rPr>
        <w:t>r</w:t>
      </w:r>
      <w:r>
        <w:rPr>
          <w:i/>
          <w:kern w:val="0"/>
          <w:sz w:val="28"/>
          <w:szCs w:val="28"/>
        </w:rPr>
        <w:t>×q</w:t>
      </w:r>
      <w:r>
        <w:rPr>
          <w:i/>
          <w:kern w:val="0"/>
          <w:sz w:val="28"/>
          <w:szCs w:val="28"/>
          <w:vertAlign w:val="subscript"/>
        </w:rPr>
        <w:t>h</w:t>
      </w:r>
      <w:r>
        <w:rPr>
          <w:i/>
          <w:kern w:val="0"/>
          <w:sz w:val="28"/>
          <w:szCs w:val="28"/>
        </w:rPr>
        <w:t>×t</w:t>
      </w:r>
      <w:r>
        <w:rPr>
          <w:kern w:val="0"/>
          <w:sz w:val="28"/>
          <w:szCs w:val="28"/>
        </w:rPr>
        <w:t xml:space="preserve">                                        </w:t>
      </w:r>
      <w:r>
        <w:rPr>
          <w:rFonts w:hint="eastAsia"/>
          <w:kern w:val="0"/>
          <w:sz w:val="28"/>
          <w:szCs w:val="28"/>
          <w:lang w:eastAsia="zh-CN"/>
        </w:rPr>
        <w:t>(</w:t>
      </w:r>
      <w:r>
        <w:rPr>
          <w:kern w:val="0"/>
          <w:sz w:val="28"/>
          <w:szCs w:val="28"/>
        </w:rPr>
        <w:t>4-4</w:t>
      </w:r>
      <w:r>
        <w:rPr>
          <w:rFonts w:hint="eastAsia"/>
          <w:kern w:val="0"/>
          <w:sz w:val="28"/>
          <w:szCs w:val="28"/>
          <w:lang w:eastAsia="zh-CN"/>
        </w:rPr>
        <w:t>)</w:t>
      </w:r>
    </w:p>
    <w:p w14:paraId="4878FFE8">
      <w:pPr>
        <w:autoSpaceDE w:val="0"/>
        <w:autoSpaceDN w:val="0"/>
        <w:spacing w:line="600" w:lineRule="exact"/>
        <w:ind w:firstLine="560" w:firstLineChars="200"/>
        <w:textAlignment w:val="baseline"/>
        <w:rPr>
          <w:kern w:val="0"/>
          <w:sz w:val="28"/>
          <w:szCs w:val="28"/>
        </w:rPr>
      </w:pPr>
      <w:r>
        <w:rPr>
          <w:kern w:val="0"/>
          <w:sz w:val="28"/>
          <w:szCs w:val="28"/>
        </w:rPr>
        <w:t>式中：</w:t>
      </w:r>
      <w:r>
        <w:rPr>
          <w:i/>
          <w:kern w:val="0"/>
          <w:sz w:val="28"/>
          <w:szCs w:val="28"/>
        </w:rPr>
        <w:t>W</w:t>
      </w:r>
      <w:r>
        <w:rPr>
          <w:i/>
          <w:kern w:val="0"/>
          <w:sz w:val="28"/>
          <w:szCs w:val="28"/>
          <w:vertAlign w:val="subscript"/>
        </w:rPr>
        <w:t>h</w:t>
      </w:r>
      <w:r>
        <w:rPr>
          <w:kern w:val="0"/>
          <w:sz w:val="28"/>
          <w:szCs w:val="28"/>
        </w:rPr>
        <w:t>为城镇浇洒道路（环境卫生）需水量，</w:t>
      </w:r>
      <w:r>
        <w:rPr>
          <w:i/>
          <w:kern w:val="0"/>
          <w:sz w:val="28"/>
          <w:szCs w:val="28"/>
        </w:rPr>
        <w:t>S</w:t>
      </w:r>
      <w:r>
        <w:rPr>
          <w:i/>
          <w:kern w:val="0"/>
          <w:sz w:val="28"/>
          <w:szCs w:val="28"/>
          <w:vertAlign w:val="subscript"/>
        </w:rPr>
        <w:t>r</w:t>
      </w:r>
      <w:r>
        <w:rPr>
          <w:kern w:val="0"/>
          <w:sz w:val="28"/>
          <w:szCs w:val="28"/>
        </w:rPr>
        <w:t>为城镇浇洒道路面积，</w:t>
      </w:r>
      <w:r>
        <w:rPr>
          <w:i/>
          <w:kern w:val="0"/>
          <w:sz w:val="28"/>
          <w:szCs w:val="28"/>
        </w:rPr>
        <w:t>q</w:t>
      </w:r>
      <w:r>
        <w:rPr>
          <w:i/>
          <w:kern w:val="0"/>
          <w:sz w:val="28"/>
          <w:szCs w:val="28"/>
          <w:vertAlign w:val="subscript"/>
        </w:rPr>
        <w:t>l</w:t>
      </w:r>
      <w:r>
        <w:rPr>
          <w:kern w:val="0"/>
          <w:sz w:val="28"/>
          <w:szCs w:val="28"/>
        </w:rPr>
        <w:t>为需水定额，</w:t>
      </w:r>
      <w:r>
        <w:rPr>
          <w:i/>
          <w:kern w:val="0"/>
          <w:sz w:val="28"/>
          <w:szCs w:val="28"/>
        </w:rPr>
        <w:t>t</w:t>
      </w:r>
      <w:r>
        <w:rPr>
          <w:kern w:val="0"/>
          <w:sz w:val="28"/>
          <w:szCs w:val="28"/>
        </w:rPr>
        <w:t>为城镇浇洒道路时间。</w:t>
      </w:r>
    </w:p>
    <w:p w14:paraId="5F20D6CA">
      <w:pPr>
        <w:autoSpaceDE w:val="0"/>
        <w:autoSpaceDN w:val="0"/>
        <w:spacing w:line="600" w:lineRule="exact"/>
        <w:ind w:firstLine="560" w:firstLineChars="200"/>
        <w:textAlignment w:val="baseline"/>
        <w:rPr>
          <w:kern w:val="0"/>
          <w:sz w:val="28"/>
          <w:szCs w:val="28"/>
        </w:rPr>
      </w:pPr>
      <w:r>
        <w:rPr>
          <w:kern w:val="0"/>
          <w:sz w:val="28"/>
          <w:szCs w:val="28"/>
        </w:rPr>
        <w:t>根据</w:t>
      </w:r>
      <w:r>
        <w:rPr>
          <w:rFonts w:hint="eastAsia"/>
          <w:kern w:val="0"/>
          <w:sz w:val="28"/>
          <w:szCs w:val="28"/>
        </w:rPr>
        <w:t>《山东省服务业用水定额 第4 部分：公共设施管理及社会工作》（DB37/T 4601.4-2023）确定，浇洒绿地用水按1.5L/m</w:t>
      </w:r>
      <w:r>
        <w:rPr>
          <w:rFonts w:hint="eastAsia"/>
          <w:kern w:val="0"/>
          <w:sz w:val="28"/>
          <w:szCs w:val="28"/>
          <w:vertAlign w:val="superscript"/>
        </w:rPr>
        <w:t>2</w:t>
      </w:r>
      <w:r>
        <w:rPr>
          <w:rFonts w:hint="eastAsia"/>
          <w:kern w:val="0"/>
          <w:sz w:val="28"/>
          <w:szCs w:val="28"/>
        </w:rPr>
        <w:t>·d 计算。</w:t>
      </w:r>
    </w:p>
    <w:p w14:paraId="6014B947">
      <w:pPr>
        <w:autoSpaceDE w:val="0"/>
        <w:autoSpaceDN w:val="0"/>
        <w:spacing w:line="600" w:lineRule="exact"/>
        <w:ind w:firstLine="560" w:firstLineChars="200"/>
        <w:textAlignment w:val="baseline"/>
        <w:rPr>
          <w:kern w:val="0"/>
          <w:sz w:val="28"/>
          <w:szCs w:val="28"/>
        </w:rPr>
      </w:pPr>
      <w:r>
        <w:rPr>
          <w:kern w:val="0"/>
          <w:sz w:val="28"/>
          <w:szCs w:val="28"/>
        </w:rPr>
        <w:t>根据</w:t>
      </w:r>
      <w:r>
        <w:rPr>
          <w:rFonts w:hint="eastAsia"/>
          <w:kern w:val="0"/>
          <w:sz w:val="28"/>
          <w:szCs w:val="28"/>
        </w:rPr>
        <w:t>《2023年平阴县取用水统计台账》确定，平阴县城镇道路卫生清洁面积为229.5836万</w:t>
      </w:r>
      <w:r>
        <w:rPr>
          <w:kern w:val="0"/>
          <w:sz w:val="28"/>
          <w:szCs w:val="28"/>
          <w:lang w:val="zh-CN"/>
        </w:rPr>
        <w:t>m</w:t>
      </w:r>
      <w:r>
        <w:rPr>
          <w:kern w:val="0"/>
          <w:sz w:val="28"/>
          <w:szCs w:val="28"/>
          <w:vertAlign w:val="superscript"/>
          <w:lang w:val="zh-CN"/>
        </w:rPr>
        <w:t>2</w:t>
      </w:r>
      <w:r>
        <w:rPr>
          <w:rFonts w:hint="eastAsia"/>
          <w:kern w:val="0"/>
          <w:sz w:val="28"/>
          <w:szCs w:val="28"/>
          <w:lang w:val="zh-CN"/>
        </w:rPr>
        <w:t>，城镇绿化灌溉面积为984.8</w:t>
      </w:r>
      <w:r>
        <w:rPr>
          <w:rFonts w:hint="eastAsia"/>
          <w:kern w:val="0"/>
          <w:sz w:val="28"/>
          <w:szCs w:val="28"/>
        </w:rPr>
        <w:t>万</w:t>
      </w:r>
      <w:r>
        <w:rPr>
          <w:kern w:val="0"/>
          <w:sz w:val="28"/>
          <w:szCs w:val="28"/>
          <w:lang w:val="zh-CN"/>
        </w:rPr>
        <w:t>m</w:t>
      </w:r>
      <w:r>
        <w:rPr>
          <w:kern w:val="0"/>
          <w:sz w:val="28"/>
          <w:szCs w:val="28"/>
          <w:vertAlign w:val="superscript"/>
          <w:lang w:val="zh-CN"/>
        </w:rPr>
        <w:t>2</w:t>
      </w:r>
      <w:r>
        <w:rPr>
          <w:rFonts w:hint="eastAsia"/>
          <w:kern w:val="0"/>
          <w:sz w:val="28"/>
          <w:szCs w:val="28"/>
          <w:lang w:val="zh-CN"/>
        </w:rPr>
        <w:t>。规划年，</w:t>
      </w:r>
      <w:r>
        <w:rPr>
          <w:kern w:val="0"/>
          <w:sz w:val="28"/>
          <w:szCs w:val="28"/>
        </w:rPr>
        <w:t>随着</w:t>
      </w:r>
      <w:r>
        <w:rPr>
          <w:rFonts w:hint="eastAsia"/>
          <w:kern w:val="0"/>
          <w:sz w:val="28"/>
          <w:szCs w:val="28"/>
        </w:rPr>
        <w:t>平阴县居民</w:t>
      </w:r>
      <w:r>
        <w:rPr>
          <w:kern w:val="0"/>
          <w:sz w:val="28"/>
          <w:szCs w:val="28"/>
        </w:rPr>
        <w:t>生活质量要求的逐步提高，城市生态环境日益完善，城市绿地覆盖率进一步提高，</w:t>
      </w:r>
      <w:r>
        <w:rPr>
          <w:rFonts w:hint="eastAsia"/>
          <w:kern w:val="0"/>
          <w:sz w:val="28"/>
          <w:szCs w:val="28"/>
        </w:rPr>
        <w:t>道路卫生清洁面积</w:t>
      </w:r>
      <w:r>
        <w:rPr>
          <w:kern w:val="0"/>
          <w:sz w:val="28"/>
          <w:szCs w:val="28"/>
        </w:rPr>
        <w:t>将逐步增</w:t>
      </w:r>
      <w:r>
        <w:rPr>
          <w:rFonts w:hint="eastAsia"/>
          <w:kern w:val="0"/>
          <w:sz w:val="28"/>
          <w:szCs w:val="28"/>
        </w:rPr>
        <w:t>加</w:t>
      </w:r>
      <w:r>
        <w:rPr>
          <w:kern w:val="0"/>
          <w:sz w:val="28"/>
          <w:szCs w:val="28"/>
        </w:rPr>
        <w:t>。</w:t>
      </w:r>
      <w:r>
        <w:rPr>
          <w:rFonts w:hint="eastAsia"/>
          <w:kern w:val="0"/>
          <w:sz w:val="28"/>
          <w:szCs w:val="28"/>
        </w:rPr>
        <w:t>结合</w:t>
      </w:r>
      <w:r>
        <w:rPr>
          <w:kern w:val="0"/>
          <w:sz w:val="28"/>
          <w:szCs w:val="28"/>
        </w:rPr>
        <w:t>《平阴县土地利用总体规划》</w:t>
      </w:r>
      <w:r>
        <w:rPr>
          <w:rFonts w:hint="eastAsia"/>
          <w:sz w:val="28"/>
          <w:szCs w:val="28"/>
        </w:rPr>
        <w:t>《平阴县节约用水规划（2023—2035）》和</w:t>
      </w:r>
      <w:r>
        <w:rPr>
          <w:rFonts w:hint="eastAsia"/>
          <w:sz w:val="28"/>
          <w:szCs w:val="28"/>
          <w:lang w:val="zh-CN"/>
        </w:rPr>
        <w:t>《平阴县国民经济和社会发展第十四个五年规划和二〇三五年远景目标纲要》等规划成果</w:t>
      </w:r>
      <w:r>
        <w:rPr>
          <w:kern w:val="0"/>
          <w:sz w:val="28"/>
          <w:szCs w:val="28"/>
        </w:rPr>
        <w:t>，</w:t>
      </w:r>
      <w:r>
        <w:rPr>
          <w:rFonts w:hint="eastAsia"/>
          <w:kern w:val="0"/>
          <w:sz w:val="28"/>
          <w:szCs w:val="28"/>
        </w:rPr>
        <w:t>预测</w:t>
      </w:r>
      <w:r>
        <w:rPr>
          <w:kern w:val="0"/>
          <w:sz w:val="28"/>
          <w:szCs w:val="28"/>
        </w:rPr>
        <w:t>203</w:t>
      </w:r>
      <w:r>
        <w:rPr>
          <w:rFonts w:hint="eastAsia"/>
          <w:kern w:val="0"/>
          <w:sz w:val="28"/>
          <w:szCs w:val="28"/>
        </w:rPr>
        <w:t>0</w:t>
      </w:r>
      <w:r>
        <w:rPr>
          <w:kern w:val="0"/>
          <w:sz w:val="28"/>
          <w:szCs w:val="28"/>
        </w:rPr>
        <w:t>年</w:t>
      </w:r>
      <w:r>
        <w:rPr>
          <w:rFonts w:hint="eastAsia"/>
          <w:kern w:val="0"/>
          <w:sz w:val="28"/>
          <w:szCs w:val="28"/>
        </w:rPr>
        <w:t>平阴县城镇道路卫生清洁面积较现状年增加7%，即245.7万</w:t>
      </w:r>
      <w:r>
        <w:rPr>
          <w:kern w:val="0"/>
          <w:sz w:val="28"/>
          <w:szCs w:val="28"/>
          <w:lang w:val="zh-CN"/>
        </w:rPr>
        <w:t>m</w:t>
      </w:r>
      <w:r>
        <w:rPr>
          <w:kern w:val="0"/>
          <w:sz w:val="28"/>
          <w:szCs w:val="28"/>
          <w:vertAlign w:val="superscript"/>
          <w:lang w:val="zh-CN"/>
        </w:rPr>
        <w:t>2</w:t>
      </w:r>
      <w:r>
        <w:rPr>
          <w:rFonts w:hint="eastAsia"/>
          <w:kern w:val="0"/>
          <w:sz w:val="28"/>
          <w:szCs w:val="28"/>
          <w:lang w:val="zh-CN"/>
        </w:rPr>
        <w:t>；城镇绿化灌溉面积较现状年增加5%，即1033.2</w:t>
      </w:r>
      <w:r>
        <w:rPr>
          <w:rFonts w:hint="eastAsia"/>
          <w:kern w:val="0"/>
          <w:sz w:val="28"/>
          <w:szCs w:val="28"/>
        </w:rPr>
        <w:t>万</w:t>
      </w:r>
      <w:r>
        <w:rPr>
          <w:kern w:val="0"/>
          <w:sz w:val="28"/>
          <w:szCs w:val="28"/>
          <w:lang w:val="zh-CN"/>
        </w:rPr>
        <w:t>m</w:t>
      </w:r>
      <w:r>
        <w:rPr>
          <w:kern w:val="0"/>
          <w:sz w:val="28"/>
          <w:szCs w:val="28"/>
          <w:vertAlign w:val="superscript"/>
          <w:lang w:val="zh-CN"/>
        </w:rPr>
        <w:t>2</w:t>
      </w:r>
      <w:r>
        <w:rPr>
          <w:rFonts w:hint="eastAsia"/>
          <w:kern w:val="0"/>
          <w:sz w:val="28"/>
          <w:szCs w:val="28"/>
          <w:lang w:val="zh-CN"/>
        </w:rPr>
        <w:t>。</w:t>
      </w:r>
      <w:r>
        <w:rPr>
          <w:kern w:val="0"/>
          <w:sz w:val="28"/>
          <w:szCs w:val="28"/>
        </w:rPr>
        <w:t>2035年</w:t>
      </w:r>
      <w:r>
        <w:rPr>
          <w:rFonts w:hint="eastAsia"/>
          <w:kern w:val="0"/>
          <w:sz w:val="28"/>
          <w:szCs w:val="28"/>
        </w:rPr>
        <w:t>平阴县城镇道路卫生清洁面积较现状年增加10%，即252.5万</w:t>
      </w:r>
      <w:r>
        <w:rPr>
          <w:kern w:val="0"/>
          <w:sz w:val="28"/>
          <w:szCs w:val="28"/>
          <w:lang w:val="zh-CN"/>
        </w:rPr>
        <w:t>m</w:t>
      </w:r>
      <w:r>
        <w:rPr>
          <w:kern w:val="0"/>
          <w:sz w:val="28"/>
          <w:szCs w:val="28"/>
          <w:vertAlign w:val="superscript"/>
          <w:lang w:val="zh-CN"/>
        </w:rPr>
        <w:t>2</w:t>
      </w:r>
      <w:r>
        <w:rPr>
          <w:rFonts w:hint="eastAsia"/>
          <w:kern w:val="0"/>
          <w:sz w:val="28"/>
          <w:szCs w:val="28"/>
          <w:lang w:val="zh-CN"/>
        </w:rPr>
        <w:t>；城镇绿化灌溉面积较现状年增加8%，即1063.6</w:t>
      </w:r>
      <w:r>
        <w:rPr>
          <w:rFonts w:hint="eastAsia"/>
          <w:kern w:val="0"/>
          <w:sz w:val="28"/>
          <w:szCs w:val="28"/>
        </w:rPr>
        <w:t>万</w:t>
      </w:r>
      <w:r>
        <w:rPr>
          <w:kern w:val="0"/>
          <w:sz w:val="28"/>
          <w:szCs w:val="28"/>
          <w:lang w:val="zh-CN"/>
        </w:rPr>
        <w:t>m</w:t>
      </w:r>
      <w:r>
        <w:rPr>
          <w:kern w:val="0"/>
          <w:sz w:val="28"/>
          <w:szCs w:val="28"/>
          <w:vertAlign w:val="superscript"/>
          <w:lang w:val="zh-CN"/>
        </w:rPr>
        <w:t>2</w:t>
      </w:r>
      <w:r>
        <w:rPr>
          <w:rFonts w:hint="eastAsia"/>
          <w:kern w:val="0"/>
          <w:sz w:val="28"/>
          <w:szCs w:val="28"/>
          <w:lang w:val="zh-CN"/>
        </w:rPr>
        <w:t>。</w:t>
      </w:r>
    </w:p>
    <w:p w14:paraId="20292F21">
      <w:pPr>
        <w:autoSpaceDE w:val="0"/>
        <w:autoSpaceDN w:val="0"/>
        <w:spacing w:line="600" w:lineRule="exact"/>
        <w:ind w:firstLine="560" w:firstLineChars="200"/>
        <w:textAlignment w:val="baseline"/>
        <w:rPr>
          <w:kern w:val="0"/>
          <w:sz w:val="28"/>
          <w:szCs w:val="28"/>
        </w:rPr>
      </w:pPr>
      <w:r>
        <w:rPr>
          <w:rFonts w:hint="eastAsia"/>
          <w:kern w:val="0"/>
          <w:sz w:val="28"/>
          <w:szCs w:val="28"/>
        </w:rPr>
        <w:t>（2）</w:t>
      </w:r>
      <w:r>
        <w:rPr>
          <w:kern w:val="0"/>
          <w:sz w:val="28"/>
          <w:szCs w:val="28"/>
        </w:rPr>
        <w:t>生态环境需水量预测</w:t>
      </w:r>
    </w:p>
    <w:p w14:paraId="5445D446">
      <w:pPr>
        <w:autoSpaceDE w:val="0"/>
        <w:autoSpaceDN w:val="0"/>
        <w:spacing w:line="600" w:lineRule="exact"/>
        <w:ind w:firstLine="560" w:firstLineChars="200"/>
        <w:textAlignment w:val="baseline"/>
        <w:rPr>
          <w:kern w:val="0"/>
          <w:sz w:val="28"/>
          <w:szCs w:val="28"/>
        </w:rPr>
      </w:pPr>
      <w:r>
        <w:rPr>
          <w:kern w:val="0"/>
          <w:sz w:val="28"/>
          <w:szCs w:val="28"/>
        </w:rPr>
        <w:t>根据上述不同规划水平年生态环境用水定额，结合平阴县绿化和道路浇洒等实际情况确定</w:t>
      </w:r>
      <w:r>
        <w:rPr>
          <w:rFonts w:hint="eastAsia"/>
          <w:kern w:val="0"/>
          <w:sz w:val="28"/>
          <w:szCs w:val="28"/>
        </w:rPr>
        <w:t>灌溉</w:t>
      </w:r>
      <w:r>
        <w:rPr>
          <w:kern w:val="0"/>
          <w:sz w:val="28"/>
          <w:szCs w:val="28"/>
        </w:rPr>
        <w:t>时间按照每年8个月（240天）计</w:t>
      </w:r>
      <w:r>
        <w:rPr>
          <w:rFonts w:hint="eastAsia"/>
          <w:kern w:val="0"/>
          <w:sz w:val="28"/>
          <w:szCs w:val="28"/>
        </w:rPr>
        <w:t>，经计算，2</w:t>
      </w:r>
      <w:r>
        <w:rPr>
          <w:kern w:val="0"/>
          <w:sz w:val="28"/>
          <w:szCs w:val="28"/>
        </w:rPr>
        <w:t>0</w:t>
      </w:r>
      <w:r>
        <w:rPr>
          <w:rFonts w:hint="eastAsia"/>
          <w:kern w:val="0"/>
          <w:sz w:val="28"/>
          <w:szCs w:val="28"/>
        </w:rPr>
        <w:t>30年平阴县</w:t>
      </w:r>
      <w:r>
        <w:rPr>
          <w:kern w:val="0"/>
          <w:sz w:val="28"/>
          <w:szCs w:val="28"/>
        </w:rPr>
        <w:t>生态环境需水量</w:t>
      </w:r>
      <w:r>
        <w:rPr>
          <w:rFonts w:hint="eastAsia"/>
          <w:kern w:val="0"/>
          <w:sz w:val="28"/>
          <w:szCs w:val="28"/>
        </w:rPr>
        <w:t>为336.5万</w:t>
      </w:r>
      <w:r>
        <w:rPr>
          <w:kern w:val="0"/>
          <w:sz w:val="28"/>
          <w:szCs w:val="28"/>
          <w:lang w:val="zh-CN"/>
        </w:rPr>
        <w:t>m</w:t>
      </w:r>
      <w:r>
        <w:rPr>
          <w:rFonts w:hint="eastAsia"/>
          <w:kern w:val="0"/>
          <w:sz w:val="28"/>
          <w:szCs w:val="28"/>
          <w:vertAlign w:val="superscript"/>
          <w:lang w:val="zh-CN"/>
        </w:rPr>
        <w:t>3</w:t>
      </w:r>
      <w:r>
        <w:rPr>
          <w:rFonts w:hint="eastAsia"/>
          <w:kern w:val="0"/>
          <w:sz w:val="28"/>
          <w:szCs w:val="28"/>
        </w:rPr>
        <w:t>，其中绿化灌溉需水量为248.0万</w:t>
      </w:r>
      <w:r>
        <w:rPr>
          <w:kern w:val="0"/>
          <w:sz w:val="28"/>
          <w:szCs w:val="28"/>
          <w:lang w:val="zh-CN"/>
        </w:rPr>
        <w:t>m</w:t>
      </w:r>
      <w:r>
        <w:rPr>
          <w:rFonts w:hint="eastAsia"/>
          <w:kern w:val="0"/>
          <w:sz w:val="28"/>
          <w:szCs w:val="28"/>
          <w:vertAlign w:val="superscript"/>
          <w:lang w:val="zh-CN"/>
        </w:rPr>
        <w:t>3</w:t>
      </w:r>
      <w:r>
        <w:rPr>
          <w:rFonts w:hint="eastAsia"/>
          <w:kern w:val="0"/>
          <w:sz w:val="28"/>
          <w:szCs w:val="28"/>
        </w:rPr>
        <w:t>，道路喷洒需水量为88.5万</w:t>
      </w:r>
      <w:r>
        <w:rPr>
          <w:kern w:val="0"/>
          <w:sz w:val="28"/>
          <w:szCs w:val="28"/>
          <w:lang w:val="zh-CN"/>
        </w:rPr>
        <w:t>m</w:t>
      </w:r>
      <w:r>
        <w:rPr>
          <w:rFonts w:hint="eastAsia"/>
          <w:kern w:val="0"/>
          <w:sz w:val="28"/>
          <w:szCs w:val="28"/>
          <w:vertAlign w:val="superscript"/>
          <w:lang w:val="zh-CN"/>
        </w:rPr>
        <w:t>3</w:t>
      </w:r>
      <w:r>
        <w:rPr>
          <w:rFonts w:hint="eastAsia"/>
          <w:kern w:val="0"/>
          <w:sz w:val="28"/>
          <w:szCs w:val="28"/>
        </w:rPr>
        <w:t>；2</w:t>
      </w:r>
      <w:r>
        <w:rPr>
          <w:kern w:val="0"/>
          <w:sz w:val="28"/>
          <w:szCs w:val="28"/>
        </w:rPr>
        <w:t>035</w:t>
      </w:r>
      <w:r>
        <w:rPr>
          <w:rFonts w:hint="eastAsia"/>
          <w:kern w:val="0"/>
          <w:sz w:val="28"/>
          <w:szCs w:val="28"/>
        </w:rPr>
        <w:t>年平阴县</w:t>
      </w:r>
      <w:r>
        <w:rPr>
          <w:kern w:val="0"/>
          <w:sz w:val="28"/>
          <w:szCs w:val="28"/>
        </w:rPr>
        <w:t>生态环境需水量</w:t>
      </w:r>
      <w:r>
        <w:rPr>
          <w:rFonts w:hint="eastAsia"/>
          <w:kern w:val="0"/>
          <w:sz w:val="28"/>
          <w:szCs w:val="28"/>
        </w:rPr>
        <w:t>为346.2万</w:t>
      </w:r>
      <w:r>
        <w:rPr>
          <w:kern w:val="0"/>
          <w:sz w:val="28"/>
          <w:szCs w:val="28"/>
          <w:lang w:val="zh-CN"/>
        </w:rPr>
        <w:t>m</w:t>
      </w:r>
      <w:r>
        <w:rPr>
          <w:rFonts w:hint="eastAsia"/>
          <w:kern w:val="0"/>
          <w:sz w:val="28"/>
          <w:szCs w:val="28"/>
          <w:vertAlign w:val="superscript"/>
          <w:lang w:val="zh-CN"/>
        </w:rPr>
        <w:t>3</w:t>
      </w:r>
      <w:r>
        <w:rPr>
          <w:rFonts w:hint="eastAsia"/>
          <w:kern w:val="0"/>
          <w:sz w:val="28"/>
          <w:szCs w:val="28"/>
        </w:rPr>
        <w:t>，其中绿化灌溉需水量为255.3万</w:t>
      </w:r>
      <w:r>
        <w:rPr>
          <w:kern w:val="0"/>
          <w:sz w:val="28"/>
          <w:szCs w:val="28"/>
          <w:lang w:val="zh-CN"/>
        </w:rPr>
        <w:t>m</w:t>
      </w:r>
      <w:r>
        <w:rPr>
          <w:rFonts w:hint="eastAsia"/>
          <w:kern w:val="0"/>
          <w:sz w:val="28"/>
          <w:szCs w:val="28"/>
          <w:vertAlign w:val="superscript"/>
          <w:lang w:val="zh-CN"/>
        </w:rPr>
        <w:t>3</w:t>
      </w:r>
      <w:r>
        <w:rPr>
          <w:rFonts w:hint="eastAsia"/>
          <w:kern w:val="0"/>
          <w:sz w:val="28"/>
          <w:szCs w:val="28"/>
        </w:rPr>
        <w:t>，道路喷洒需水量为90.9万</w:t>
      </w:r>
      <w:r>
        <w:rPr>
          <w:kern w:val="0"/>
          <w:sz w:val="28"/>
          <w:szCs w:val="28"/>
          <w:lang w:val="zh-CN"/>
        </w:rPr>
        <w:t>m</w:t>
      </w:r>
      <w:r>
        <w:rPr>
          <w:rFonts w:hint="eastAsia"/>
          <w:kern w:val="0"/>
          <w:sz w:val="28"/>
          <w:szCs w:val="28"/>
          <w:vertAlign w:val="superscript"/>
          <w:lang w:val="zh-CN"/>
        </w:rPr>
        <w:t>3</w:t>
      </w:r>
      <w:r>
        <w:rPr>
          <w:rFonts w:hint="eastAsia"/>
          <w:kern w:val="0"/>
          <w:sz w:val="28"/>
          <w:szCs w:val="28"/>
        </w:rPr>
        <w:t>。</w:t>
      </w:r>
    </w:p>
    <w:p w14:paraId="094AA3F3">
      <w:pPr>
        <w:autoSpaceDE w:val="0"/>
        <w:autoSpaceDN w:val="0"/>
        <w:spacing w:line="600" w:lineRule="exact"/>
        <w:ind w:firstLine="560" w:firstLineChars="200"/>
        <w:textAlignment w:val="baseline"/>
        <w:rPr>
          <w:kern w:val="0"/>
          <w:sz w:val="28"/>
          <w:szCs w:val="28"/>
        </w:rPr>
      </w:pPr>
      <w:r>
        <w:rPr>
          <w:rFonts w:hint="eastAsia"/>
          <w:kern w:val="0"/>
          <w:sz w:val="28"/>
          <w:szCs w:val="28"/>
        </w:rPr>
        <w:t>8、总需水量</w:t>
      </w:r>
    </w:p>
    <w:p w14:paraId="495D007E">
      <w:pPr>
        <w:tabs>
          <w:tab w:val="left" w:pos="5400"/>
        </w:tabs>
        <w:spacing w:line="600" w:lineRule="exact"/>
        <w:ind w:firstLine="560" w:firstLineChars="200"/>
        <w:rPr>
          <w:b/>
          <w:kern w:val="0"/>
          <w:sz w:val="28"/>
          <w:szCs w:val="28"/>
        </w:rPr>
      </w:pPr>
      <w:r>
        <w:rPr>
          <w:rFonts w:hint="eastAsia"/>
          <w:kern w:val="0"/>
          <w:sz w:val="28"/>
          <w:szCs w:val="28"/>
        </w:rPr>
        <w:t>平阴县总需水量包括生活需水量、工业需水量、农业需水量、城镇公共需水量和生态环境需水量，综上各项需水预测结果计算平阴县不同规划年需水量：即</w:t>
      </w:r>
      <w:r>
        <w:rPr>
          <w:rFonts w:hint="eastAsia"/>
          <w:sz w:val="28"/>
          <w:szCs w:val="28"/>
        </w:rPr>
        <w:t>2</w:t>
      </w:r>
      <w:r>
        <w:rPr>
          <w:sz w:val="28"/>
          <w:szCs w:val="28"/>
        </w:rPr>
        <w:t>02</w:t>
      </w:r>
      <w:r>
        <w:rPr>
          <w:rFonts w:hint="eastAsia"/>
          <w:sz w:val="28"/>
          <w:szCs w:val="28"/>
        </w:rPr>
        <w:t>3年平阴县在5</w:t>
      </w:r>
      <w:r>
        <w:rPr>
          <w:sz w:val="28"/>
          <w:szCs w:val="28"/>
        </w:rPr>
        <w:t>0</w:t>
      </w:r>
      <w:r>
        <w:rPr>
          <w:rFonts w:hint="eastAsia"/>
          <w:sz w:val="28"/>
          <w:szCs w:val="28"/>
        </w:rPr>
        <w:t>%、7</w:t>
      </w:r>
      <w:r>
        <w:rPr>
          <w:sz w:val="28"/>
          <w:szCs w:val="28"/>
        </w:rPr>
        <w:t>5</w:t>
      </w:r>
      <w:r>
        <w:rPr>
          <w:rFonts w:hint="eastAsia"/>
          <w:sz w:val="28"/>
          <w:szCs w:val="28"/>
        </w:rPr>
        <w:t>%和9</w:t>
      </w:r>
      <w:r>
        <w:rPr>
          <w:sz w:val="28"/>
          <w:szCs w:val="28"/>
        </w:rPr>
        <w:t>5</w:t>
      </w:r>
      <w:r>
        <w:rPr>
          <w:rFonts w:hint="eastAsia"/>
          <w:sz w:val="28"/>
          <w:szCs w:val="28"/>
        </w:rPr>
        <w:t>%的总需水量分别为9690.5万m</w:t>
      </w:r>
      <w:r>
        <w:rPr>
          <w:sz w:val="28"/>
          <w:szCs w:val="28"/>
          <w:vertAlign w:val="superscript"/>
        </w:rPr>
        <w:t>3</w:t>
      </w:r>
      <w:r>
        <w:rPr>
          <w:rFonts w:hint="eastAsia"/>
          <w:sz w:val="28"/>
          <w:szCs w:val="28"/>
        </w:rPr>
        <w:t>、</w:t>
      </w:r>
      <w:r>
        <w:rPr>
          <w:sz w:val="28"/>
          <w:szCs w:val="28"/>
        </w:rPr>
        <w:t>110</w:t>
      </w:r>
      <w:r>
        <w:rPr>
          <w:rFonts w:hint="eastAsia"/>
          <w:sz w:val="28"/>
          <w:szCs w:val="28"/>
        </w:rPr>
        <w:t>85.7万m</w:t>
      </w:r>
      <w:r>
        <w:rPr>
          <w:sz w:val="28"/>
          <w:szCs w:val="28"/>
          <w:vertAlign w:val="superscript"/>
        </w:rPr>
        <w:t>3</w:t>
      </w:r>
      <w:r>
        <w:rPr>
          <w:rFonts w:hint="eastAsia"/>
          <w:sz w:val="28"/>
          <w:szCs w:val="28"/>
        </w:rPr>
        <w:t>和</w:t>
      </w:r>
      <w:r>
        <w:rPr>
          <w:sz w:val="28"/>
          <w:szCs w:val="28"/>
        </w:rPr>
        <w:t>110</w:t>
      </w:r>
      <w:r>
        <w:rPr>
          <w:rFonts w:hint="eastAsia"/>
          <w:sz w:val="28"/>
          <w:szCs w:val="28"/>
        </w:rPr>
        <w:t>85.7万m</w:t>
      </w:r>
      <w:r>
        <w:rPr>
          <w:sz w:val="28"/>
          <w:szCs w:val="28"/>
          <w:vertAlign w:val="superscript"/>
        </w:rPr>
        <w:t>3</w:t>
      </w:r>
      <w:r>
        <w:rPr>
          <w:rFonts w:hint="eastAsia"/>
          <w:sz w:val="28"/>
          <w:szCs w:val="28"/>
        </w:rPr>
        <w:t>，2</w:t>
      </w:r>
      <w:r>
        <w:rPr>
          <w:sz w:val="28"/>
          <w:szCs w:val="28"/>
        </w:rPr>
        <w:t>0</w:t>
      </w:r>
      <w:r>
        <w:rPr>
          <w:rFonts w:hint="eastAsia"/>
          <w:sz w:val="28"/>
          <w:szCs w:val="28"/>
        </w:rPr>
        <w:t>30年平阴县在5</w:t>
      </w:r>
      <w:r>
        <w:rPr>
          <w:sz w:val="28"/>
          <w:szCs w:val="28"/>
        </w:rPr>
        <w:t>0</w:t>
      </w:r>
      <w:r>
        <w:rPr>
          <w:rFonts w:hint="eastAsia"/>
          <w:sz w:val="28"/>
          <w:szCs w:val="28"/>
        </w:rPr>
        <w:t>%、7</w:t>
      </w:r>
      <w:r>
        <w:rPr>
          <w:sz w:val="28"/>
          <w:szCs w:val="28"/>
        </w:rPr>
        <w:t>5</w:t>
      </w:r>
      <w:r>
        <w:rPr>
          <w:rFonts w:hint="eastAsia"/>
          <w:sz w:val="28"/>
          <w:szCs w:val="28"/>
        </w:rPr>
        <w:t>%和9</w:t>
      </w:r>
      <w:r>
        <w:rPr>
          <w:sz w:val="28"/>
          <w:szCs w:val="28"/>
        </w:rPr>
        <w:t>5</w:t>
      </w:r>
      <w:r>
        <w:rPr>
          <w:rFonts w:hint="eastAsia"/>
          <w:sz w:val="28"/>
          <w:szCs w:val="28"/>
        </w:rPr>
        <w:t>%的总需水量分别为</w:t>
      </w:r>
      <w:r>
        <w:rPr>
          <w:sz w:val="28"/>
          <w:szCs w:val="28"/>
        </w:rPr>
        <w:t>1</w:t>
      </w:r>
      <w:r>
        <w:rPr>
          <w:rFonts w:hint="eastAsia"/>
          <w:sz w:val="28"/>
          <w:szCs w:val="28"/>
        </w:rPr>
        <w:t>1034.9万m</w:t>
      </w:r>
      <w:r>
        <w:rPr>
          <w:sz w:val="28"/>
          <w:szCs w:val="28"/>
          <w:vertAlign w:val="superscript"/>
        </w:rPr>
        <w:t>3</w:t>
      </w:r>
      <w:r>
        <w:rPr>
          <w:rFonts w:hint="eastAsia"/>
          <w:sz w:val="28"/>
          <w:szCs w:val="28"/>
        </w:rPr>
        <w:t>、</w:t>
      </w:r>
      <w:r>
        <w:rPr>
          <w:sz w:val="28"/>
          <w:szCs w:val="28"/>
        </w:rPr>
        <w:t>12</w:t>
      </w:r>
      <w:r>
        <w:rPr>
          <w:rFonts w:hint="eastAsia"/>
          <w:sz w:val="28"/>
          <w:szCs w:val="28"/>
        </w:rPr>
        <w:t>481.8万m</w:t>
      </w:r>
      <w:r>
        <w:rPr>
          <w:sz w:val="28"/>
          <w:szCs w:val="28"/>
          <w:vertAlign w:val="superscript"/>
        </w:rPr>
        <w:t>3</w:t>
      </w:r>
      <w:r>
        <w:rPr>
          <w:rFonts w:hint="eastAsia"/>
          <w:sz w:val="28"/>
          <w:szCs w:val="28"/>
        </w:rPr>
        <w:t>和</w:t>
      </w:r>
      <w:r>
        <w:rPr>
          <w:sz w:val="28"/>
          <w:szCs w:val="28"/>
        </w:rPr>
        <w:t>12</w:t>
      </w:r>
      <w:r>
        <w:rPr>
          <w:rFonts w:hint="eastAsia"/>
          <w:sz w:val="28"/>
          <w:szCs w:val="28"/>
        </w:rPr>
        <w:t>481.8万m</w:t>
      </w:r>
      <w:r>
        <w:rPr>
          <w:sz w:val="28"/>
          <w:szCs w:val="28"/>
          <w:vertAlign w:val="superscript"/>
        </w:rPr>
        <w:t>3</w:t>
      </w:r>
      <w:r>
        <w:rPr>
          <w:rFonts w:hint="eastAsia"/>
          <w:sz w:val="28"/>
          <w:szCs w:val="28"/>
        </w:rPr>
        <w:t>，2</w:t>
      </w:r>
      <w:r>
        <w:rPr>
          <w:sz w:val="28"/>
          <w:szCs w:val="28"/>
        </w:rPr>
        <w:t>035</w:t>
      </w:r>
      <w:r>
        <w:rPr>
          <w:rFonts w:hint="eastAsia"/>
          <w:sz w:val="28"/>
          <w:szCs w:val="28"/>
        </w:rPr>
        <w:t>年平阴县在5</w:t>
      </w:r>
      <w:r>
        <w:rPr>
          <w:sz w:val="28"/>
          <w:szCs w:val="28"/>
        </w:rPr>
        <w:t>0</w:t>
      </w:r>
      <w:r>
        <w:rPr>
          <w:rFonts w:hint="eastAsia"/>
          <w:sz w:val="28"/>
          <w:szCs w:val="28"/>
        </w:rPr>
        <w:t>%、7</w:t>
      </w:r>
      <w:r>
        <w:rPr>
          <w:sz w:val="28"/>
          <w:szCs w:val="28"/>
        </w:rPr>
        <w:t>5</w:t>
      </w:r>
      <w:r>
        <w:rPr>
          <w:rFonts w:hint="eastAsia"/>
          <w:sz w:val="28"/>
          <w:szCs w:val="28"/>
        </w:rPr>
        <w:t>%和9</w:t>
      </w:r>
      <w:r>
        <w:rPr>
          <w:sz w:val="28"/>
          <w:szCs w:val="28"/>
        </w:rPr>
        <w:t>5</w:t>
      </w:r>
      <w:r>
        <w:rPr>
          <w:rFonts w:hint="eastAsia"/>
          <w:sz w:val="28"/>
          <w:szCs w:val="28"/>
        </w:rPr>
        <w:t>%的总需水量分别为</w:t>
      </w:r>
      <w:r>
        <w:rPr>
          <w:sz w:val="28"/>
          <w:szCs w:val="28"/>
        </w:rPr>
        <w:t>1</w:t>
      </w:r>
      <w:r>
        <w:rPr>
          <w:rFonts w:hint="eastAsia"/>
          <w:sz w:val="28"/>
          <w:szCs w:val="28"/>
        </w:rPr>
        <w:t>2089.7万m</w:t>
      </w:r>
      <w:r>
        <w:rPr>
          <w:sz w:val="28"/>
          <w:szCs w:val="28"/>
          <w:vertAlign w:val="superscript"/>
        </w:rPr>
        <w:t>3</w:t>
      </w:r>
      <w:r>
        <w:rPr>
          <w:rFonts w:hint="eastAsia"/>
          <w:sz w:val="28"/>
          <w:szCs w:val="28"/>
        </w:rPr>
        <w:t>、13319.5万m</w:t>
      </w:r>
      <w:r>
        <w:rPr>
          <w:sz w:val="28"/>
          <w:szCs w:val="28"/>
          <w:vertAlign w:val="superscript"/>
        </w:rPr>
        <w:t>3</w:t>
      </w:r>
      <w:r>
        <w:rPr>
          <w:rFonts w:hint="eastAsia"/>
          <w:sz w:val="28"/>
          <w:szCs w:val="28"/>
        </w:rPr>
        <w:t>和13319.5万m</w:t>
      </w:r>
      <w:r>
        <w:rPr>
          <w:sz w:val="28"/>
          <w:szCs w:val="28"/>
          <w:vertAlign w:val="superscript"/>
        </w:rPr>
        <w:t>3</w:t>
      </w:r>
      <w:r>
        <w:rPr>
          <w:kern w:val="0"/>
          <w:sz w:val="28"/>
          <w:szCs w:val="28"/>
          <w:lang w:val="zh-CN"/>
        </w:rPr>
        <w:t>。</w:t>
      </w:r>
    </w:p>
    <w:p w14:paraId="54B655D6">
      <w:pPr>
        <w:keepNext/>
        <w:autoSpaceDE w:val="0"/>
        <w:autoSpaceDN w:val="0"/>
        <w:spacing w:line="600" w:lineRule="exact"/>
        <w:ind w:firstLine="560" w:firstLineChars="200"/>
        <w:textAlignment w:val="baseline"/>
        <w:rPr>
          <w:kern w:val="0"/>
          <w:sz w:val="28"/>
          <w:szCs w:val="28"/>
        </w:rPr>
      </w:pPr>
      <w:r>
        <w:rPr>
          <w:rFonts w:hint="eastAsia"/>
          <w:kern w:val="0"/>
          <w:sz w:val="28"/>
          <w:szCs w:val="28"/>
        </w:rPr>
        <w:t>二、可供水量预测</w:t>
      </w:r>
    </w:p>
    <w:p w14:paraId="64FE3F8B">
      <w:pPr>
        <w:autoSpaceDE w:val="0"/>
        <w:autoSpaceDN w:val="0"/>
        <w:spacing w:line="600" w:lineRule="exact"/>
        <w:ind w:firstLine="560" w:firstLineChars="200"/>
        <w:textAlignment w:val="baseline"/>
        <w:rPr>
          <w:kern w:val="0"/>
          <w:sz w:val="28"/>
          <w:szCs w:val="28"/>
        </w:rPr>
      </w:pPr>
      <w:r>
        <w:rPr>
          <w:rFonts w:hint="eastAsia"/>
          <w:kern w:val="0"/>
          <w:sz w:val="28"/>
          <w:szCs w:val="28"/>
        </w:rPr>
        <w:t>平阴县可供水量包括常规水源和非常规水源的可供水量，其中常规水源为地表水、地下水、客水，非常规水源为雨水、微咸水和再生水。可供水量预测充分考虑经济技术、水质状况、生态环境影响以及不同水源开发的利弊等因素，预测不同水资源开发利用模式下可能的供水量。</w:t>
      </w:r>
    </w:p>
    <w:p w14:paraId="7655A79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由于地表水可供水量直接受降水影响，根据国家有关供水量预测技术规范要求，地表水可供水量按照平水年、枯水年、特枯水年三种情况进行分析；地下水和再生水等可供水量受降水直接影响较小，供水量基本稳定，按国家要求不再按不同保证率进行预测。同时充分考虑最严格水资源管理制度所规定的用水总量控制指标。</w:t>
      </w:r>
    </w:p>
    <w:p w14:paraId="2E11D03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1、常规水源</w:t>
      </w:r>
    </w:p>
    <w:p w14:paraId="2D4C407B">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（1）</w:t>
      </w:r>
      <w:r>
        <w:rPr>
          <w:color w:val="000000" w:themeColor="text1"/>
          <w:sz w:val="28"/>
          <w:szCs w:val="28"/>
          <w:lang w:val="zh-CN"/>
        </w:rPr>
        <w:t>地表水可供水量</w:t>
      </w:r>
    </w:p>
    <w:p w14:paraId="5EB3AF52">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根据《平阴县水资源调查评价报告》</w:t>
      </w:r>
      <w:r>
        <w:rPr>
          <w:rFonts w:hint="eastAsia"/>
          <w:color w:val="000000" w:themeColor="text1"/>
          <w:sz w:val="28"/>
          <w:szCs w:val="28"/>
        </w:rPr>
        <w:t>等材料</w:t>
      </w:r>
      <w:r>
        <w:rPr>
          <w:rFonts w:hint="eastAsia"/>
          <w:color w:val="000000" w:themeColor="text1"/>
          <w:sz w:val="28"/>
          <w:szCs w:val="28"/>
          <w:lang w:val="zh-CN"/>
        </w:rPr>
        <w:t>确定，平阴县在5</w:t>
      </w:r>
      <w:r>
        <w:rPr>
          <w:color w:val="000000" w:themeColor="text1"/>
          <w:sz w:val="28"/>
          <w:szCs w:val="28"/>
          <w:lang w:val="zh-CN"/>
        </w:rPr>
        <w:t>0</w:t>
      </w:r>
      <w:r>
        <w:rPr>
          <w:rFonts w:hint="eastAsia"/>
          <w:color w:val="000000" w:themeColor="text1"/>
          <w:sz w:val="28"/>
          <w:szCs w:val="28"/>
          <w:lang w:val="zh-CN"/>
        </w:rPr>
        <w:t>%、7</w:t>
      </w:r>
      <w:r>
        <w:rPr>
          <w:color w:val="000000" w:themeColor="text1"/>
          <w:sz w:val="28"/>
          <w:szCs w:val="28"/>
          <w:lang w:val="zh-CN"/>
        </w:rPr>
        <w:t>5</w:t>
      </w:r>
      <w:r>
        <w:rPr>
          <w:rFonts w:hint="eastAsia"/>
          <w:color w:val="000000" w:themeColor="text1"/>
          <w:sz w:val="28"/>
          <w:szCs w:val="28"/>
          <w:lang w:val="zh-CN"/>
        </w:rPr>
        <w:t>%和9</w:t>
      </w:r>
      <w:r>
        <w:rPr>
          <w:color w:val="000000" w:themeColor="text1"/>
          <w:sz w:val="28"/>
          <w:szCs w:val="28"/>
          <w:lang w:val="zh-CN"/>
        </w:rPr>
        <w:t>5</w:t>
      </w:r>
      <w:r>
        <w:rPr>
          <w:rFonts w:hint="eastAsia"/>
          <w:color w:val="000000" w:themeColor="text1"/>
          <w:sz w:val="28"/>
          <w:szCs w:val="28"/>
          <w:lang w:val="zh-CN"/>
        </w:rPr>
        <w:t>%保证率时，地表水可利用量分别为</w:t>
      </w:r>
      <w:r>
        <w:rPr>
          <w:color w:val="000000" w:themeColor="text1"/>
          <w:sz w:val="28"/>
          <w:szCs w:val="28"/>
          <w:lang w:val="zh-CN"/>
        </w:rPr>
        <w:t>3638万m</w:t>
      </w:r>
      <w:r>
        <w:rPr>
          <w:color w:val="000000" w:themeColor="text1"/>
          <w:sz w:val="28"/>
          <w:szCs w:val="28"/>
          <w:vertAlign w:val="superscript"/>
          <w:lang w:val="zh-CN"/>
        </w:rPr>
        <w:t>3</w:t>
      </w:r>
      <w:r>
        <w:rPr>
          <w:rFonts w:hint="eastAsia"/>
          <w:color w:val="000000" w:themeColor="text1"/>
          <w:sz w:val="28"/>
          <w:szCs w:val="28"/>
          <w:lang w:val="zh-CN"/>
        </w:rPr>
        <w:t>、3</w:t>
      </w:r>
      <w:r>
        <w:rPr>
          <w:color w:val="000000" w:themeColor="text1"/>
          <w:sz w:val="28"/>
          <w:szCs w:val="28"/>
          <w:lang w:val="zh-CN"/>
        </w:rPr>
        <w:t>026万m</w:t>
      </w:r>
      <w:r>
        <w:rPr>
          <w:color w:val="000000" w:themeColor="text1"/>
          <w:sz w:val="28"/>
          <w:szCs w:val="28"/>
          <w:vertAlign w:val="superscript"/>
          <w:lang w:val="zh-CN"/>
        </w:rPr>
        <w:t>3</w:t>
      </w:r>
      <w:r>
        <w:rPr>
          <w:rFonts w:hint="eastAsia"/>
          <w:color w:val="000000" w:themeColor="text1"/>
          <w:sz w:val="28"/>
          <w:szCs w:val="28"/>
          <w:lang w:val="zh-CN"/>
        </w:rPr>
        <w:t>和6</w:t>
      </w:r>
      <w:r>
        <w:rPr>
          <w:color w:val="000000" w:themeColor="text1"/>
          <w:sz w:val="28"/>
          <w:szCs w:val="28"/>
          <w:lang w:val="zh-CN"/>
        </w:rPr>
        <w:t>06万m</w:t>
      </w:r>
      <w:r>
        <w:rPr>
          <w:color w:val="000000" w:themeColor="text1"/>
          <w:sz w:val="28"/>
          <w:szCs w:val="28"/>
          <w:vertAlign w:val="superscript"/>
          <w:lang w:val="zh-CN"/>
        </w:rPr>
        <w:t>3</w:t>
      </w:r>
      <w:r>
        <w:rPr>
          <w:rFonts w:hint="eastAsia"/>
          <w:color w:val="000000" w:themeColor="text1"/>
          <w:sz w:val="28"/>
          <w:szCs w:val="28"/>
          <w:lang w:val="zh-CN"/>
        </w:rPr>
        <w:t>。</w:t>
      </w:r>
    </w:p>
    <w:p w14:paraId="43136C69">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（2）地下水可供水量</w:t>
      </w:r>
    </w:p>
    <w:p w14:paraId="1F54F542">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地下水可供水量与当地地下水资源可开采量、机电井提水能力、开采范围和用户的需水量有关，采用开采系数法计算地下水可供水量。根据《平阴县水资源调查评价报告》可知平阴县地下水可开采量为8832.7万m</w:t>
      </w:r>
      <w:r>
        <w:rPr>
          <w:rFonts w:hint="eastAsia"/>
          <w:color w:val="000000" w:themeColor="text1"/>
          <w:sz w:val="28"/>
          <w:szCs w:val="28"/>
          <w:vertAlign w:val="superscript"/>
          <w:lang w:val="zh-CN"/>
        </w:rPr>
        <w:t>3</w:t>
      </w:r>
      <w:r>
        <w:rPr>
          <w:rFonts w:hint="eastAsia"/>
          <w:color w:val="000000" w:themeColor="text1"/>
          <w:sz w:val="28"/>
          <w:szCs w:val="28"/>
          <w:lang w:val="zh-CN"/>
        </w:rPr>
        <w:t>。依据《山东省水利厅关于印发山东省地下水管控指标的通知》（鲁水资字〔2024〕1号）可知，2030年地下水控制指标为5799.0万m</w:t>
      </w:r>
      <w:r>
        <w:rPr>
          <w:rFonts w:hint="eastAsia"/>
          <w:color w:val="000000" w:themeColor="text1"/>
          <w:sz w:val="28"/>
          <w:szCs w:val="28"/>
          <w:vertAlign w:val="superscript"/>
          <w:lang w:val="zh-CN"/>
        </w:rPr>
        <w:t>3</w:t>
      </w:r>
      <w:r>
        <w:rPr>
          <w:rFonts w:hint="eastAsia"/>
          <w:color w:val="000000" w:themeColor="text1"/>
          <w:sz w:val="28"/>
          <w:szCs w:val="28"/>
          <w:lang w:val="zh-CN"/>
        </w:rPr>
        <w:t>。因此，平阴县2030年和2035年地下水可供水量为5799.0万m</w:t>
      </w:r>
      <w:r>
        <w:rPr>
          <w:rFonts w:hint="eastAsia"/>
          <w:color w:val="000000" w:themeColor="text1"/>
          <w:sz w:val="28"/>
          <w:szCs w:val="28"/>
          <w:vertAlign w:val="superscript"/>
          <w:lang w:val="zh-CN"/>
        </w:rPr>
        <w:t>3</w:t>
      </w:r>
      <w:r>
        <w:rPr>
          <w:rFonts w:hint="eastAsia"/>
          <w:color w:val="000000" w:themeColor="text1"/>
          <w:sz w:val="28"/>
          <w:szCs w:val="28"/>
          <w:lang w:val="zh-CN"/>
        </w:rPr>
        <w:t>。</w:t>
      </w:r>
    </w:p>
    <w:p w14:paraId="48EB763B">
      <w:pPr>
        <w:autoSpaceDE w:val="0"/>
        <w:autoSpaceDN w:val="0"/>
        <w:spacing w:line="600" w:lineRule="exact"/>
        <w:ind w:firstLine="560" w:firstLineChars="200"/>
        <w:textAlignment w:val="baseline"/>
        <w:rPr>
          <w:kern w:val="0"/>
          <w:sz w:val="28"/>
          <w:szCs w:val="28"/>
          <w:lang w:val="zh-CN"/>
        </w:rPr>
      </w:pPr>
      <w:r>
        <w:rPr>
          <w:kern w:val="0"/>
          <w:sz w:val="28"/>
          <w:szCs w:val="28"/>
          <w:lang w:val="zh-CN"/>
        </w:rPr>
        <w:t>（</w:t>
      </w:r>
      <w:r>
        <w:rPr>
          <w:rFonts w:hint="eastAsia"/>
          <w:kern w:val="0"/>
          <w:sz w:val="28"/>
          <w:szCs w:val="28"/>
          <w:lang w:val="zh-CN"/>
        </w:rPr>
        <w:t>3</w:t>
      </w:r>
      <w:r>
        <w:rPr>
          <w:kern w:val="0"/>
          <w:sz w:val="28"/>
          <w:szCs w:val="28"/>
          <w:lang w:val="zh-CN"/>
        </w:rPr>
        <w:t>）客水可供水量预测</w:t>
      </w:r>
    </w:p>
    <w:p w14:paraId="0C239BDD">
      <w:pPr>
        <w:autoSpaceDE w:val="0"/>
        <w:autoSpaceDN w:val="0"/>
        <w:spacing w:line="600" w:lineRule="exact"/>
        <w:ind w:firstLine="560" w:firstLineChars="200"/>
        <w:textAlignment w:val="baseline"/>
        <w:rPr>
          <w:kern w:val="0"/>
          <w:sz w:val="28"/>
          <w:szCs w:val="28"/>
          <w:lang w:val="zh-CN"/>
        </w:rPr>
      </w:pPr>
      <w:r>
        <w:rPr>
          <w:rFonts w:hint="eastAsia"/>
          <w:kern w:val="0"/>
          <w:sz w:val="28"/>
          <w:szCs w:val="28"/>
          <w:lang w:val="zh-CN"/>
        </w:rPr>
        <w:t>据了解，</w:t>
      </w:r>
      <w:r>
        <w:rPr>
          <w:kern w:val="0"/>
          <w:sz w:val="28"/>
          <w:szCs w:val="28"/>
          <w:lang w:val="zh-CN"/>
        </w:rPr>
        <w:t>平阴县</w:t>
      </w:r>
      <w:r>
        <w:rPr>
          <w:rFonts w:hint="eastAsia"/>
          <w:kern w:val="0"/>
          <w:sz w:val="28"/>
          <w:szCs w:val="28"/>
          <w:lang w:val="zh-CN"/>
        </w:rPr>
        <w:t>可利用</w:t>
      </w:r>
      <w:r>
        <w:rPr>
          <w:kern w:val="0"/>
          <w:sz w:val="28"/>
          <w:szCs w:val="28"/>
          <w:lang w:val="zh-CN"/>
        </w:rPr>
        <w:t>客水资源</w:t>
      </w:r>
      <w:r>
        <w:rPr>
          <w:rFonts w:hint="eastAsia"/>
          <w:kern w:val="0"/>
          <w:sz w:val="28"/>
          <w:szCs w:val="28"/>
          <w:lang w:val="zh-CN"/>
        </w:rPr>
        <w:t>为</w:t>
      </w:r>
      <w:r>
        <w:rPr>
          <w:kern w:val="0"/>
          <w:sz w:val="28"/>
          <w:szCs w:val="28"/>
          <w:lang w:val="zh-CN"/>
        </w:rPr>
        <w:t>黄河水。</w:t>
      </w:r>
      <w:r>
        <w:rPr>
          <w:rFonts w:hint="eastAsia"/>
          <w:kern w:val="0"/>
          <w:sz w:val="28"/>
          <w:szCs w:val="28"/>
          <w:lang w:val="zh-CN"/>
        </w:rPr>
        <w:t>根据</w:t>
      </w:r>
      <w:r>
        <w:rPr>
          <w:rFonts w:hint="eastAsia"/>
          <w:sz w:val="28"/>
          <w:szCs w:val="28"/>
        </w:rPr>
        <w:t>《济南市城乡水务局关于明确济南市长江水、黄河水用水指标分配方案的通知》确定，平阴县引黄指标调整为1</w:t>
      </w:r>
      <w:r>
        <w:rPr>
          <w:sz w:val="28"/>
          <w:szCs w:val="28"/>
        </w:rPr>
        <w:t>199</w:t>
      </w:r>
      <w:r>
        <w:rPr>
          <w:rFonts w:hint="eastAsia"/>
          <w:sz w:val="28"/>
          <w:szCs w:val="28"/>
        </w:rPr>
        <w:t>万</w:t>
      </w:r>
      <w:r>
        <w:rPr>
          <w:sz w:val="28"/>
          <w:szCs w:val="28"/>
        </w:rPr>
        <w:t>m</w:t>
      </w:r>
      <w:r>
        <w:rPr>
          <w:sz w:val="28"/>
          <w:szCs w:val="28"/>
          <w:vertAlign w:val="superscript"/>
        </w:rPr>
        <w:t>3</w:t>
      </w:r>
      <w:r>
        <w:rPr>
          <w:rFonts w:hint="eastAsia"/>
          <w:sz w:val="28"/>
          <w:szCs w:val="28"/>
        </w:rPr>
        <w:t>。</w:t>
      </w:r>
    </w:p>
    <w:p w14:paraId="6E321F31">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（4）常规水源可供水量</w:t>
      </w:r>
    </w:p>
    <w:p w14:paraId="328764E8">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rPr>
        <w:t>根据</w:t>
      </w:r>
      <w:r>
        <w:rPr>
          <w:color w:val="000000" w:themeColor="text1"/>
          <w:sz w:val="28"/>
          <w:szCs w:val="28"/>
        </w:rPr>
        <w:t>《济南市城乡水务局 济南市发展和改革委员会关于印发“十四五”用水总量和强度双控目标的通知》（济水发〔2022〕137号）</w:t>
      </w:r>
      <w:r>
        <w:rPr>
          <w:rFonts w:hint="eastAsia"/>
          <w:color w:val="000000" w:themeColor="text1"/>
          <w:sz w:val="28"/>
          <w:szCs w:val="28"/>
        </w:rPr>
        <w:t>等政策文件</w:t>
      </w:r>
      <w:r>
        <w:rPr>
          <w:rFonts w:hint="eastAsia"/>
          <w:color w:val="000000" w:themeColor="text1"/>
          <w:sz w:val="28"/>
          <w:szCs w:val="28"/>
          <w:lang w:val="zh-CN"/>
        </w:rPr>
        <w:t>确定，平阴县常规水源可利用总量为10100</w:t>
      </w:r>
      <w:r>
        <w:rPr>
          <w:color w:val="000000" w:themeColor="text1"/>
          <w:sz w:val="28"/>
          <w:szCs w:val="28"/>
          <w:lang w:val="zh-CN"/>
        </w:rPr>
        <w:t>万m</w:t>
      </w:r>
      <w:r>
        <w:rPr>
          <w:color w:val="000000" w:themeColor="text1"/>
          <w:sz w:val="28"/>
          <w:szCs w:val="28"/>
          <w:vertAlign w:val="superscript"/>
          <w:lang w:val="zh-CN"/>
        </w:rPr>
        <w:t>3</w:t>
      </w:r>
      <w:r>
        <w:rPr>
          <w:color w:val="000000" w:themeColor="text1"/>
          <w:sz w:val="28"/>
          <w:szCs w:val="28"/>
          <w:lang w:val="zh-CN"/>
        </w:rPr>
        <w:t>。</w:t>
      </w:r>
      <w:r>
        <w:rPr>
          <w:rFonts w:hint="eastAsia"/>
          <w:color w:val="000000" w:themeColor="text1"/>
          <w:sz w:val="28"/>
          <w:szCs w:val="28"/>
          <w:lang w:val="zh-CN"/>
        </w:rPr>
        <w:t>因此，平阴县规划年常规水源可供水量以控制指标为限值，则常规水源可供水量超过限值按限值供水，未超过则按实际供水，具体详见</w:t>
      </w:r>
      <w:r>
        <w:rPr>
          <w:color w:val="000000" w:themeColor="text1"/>
          <w:sz w:val="28"/>
          <w:szCs w:val="28"/>
          <w:lang w:val="zh-CN"/>
        </w:rPr>
        <w:t>表</w:t>
      </w:r>
      <w:r>
        <w:rPr>
          <w:rFonts w:hint="eastAsia"/>
          <w:color w:val="000000" w:themeColor="text1"/>
          <w:sz w:val="28"/>
          <w:szCs w:val="28"/>
          <w:lang w:val="zh-CN"/>
        </w:rPr>
        <w:t>2.3.4-8</w:t>
      </w:r>
      <w:r>
        <w:rPr>
          <w:color w:val="000000" w:themeColor="text1"/>
          <w:sz w:val="28"/>
          <w:szCs w:val="28"/>
          <w:lang w:val="zh-CN"/>
        </w:rPr>
        <w:t>。</w:t>
      </w:r>
    </w:p>
    <w:p w14:paraId="184A659F">
      <w:pPr>
        <w:snapToGrid w:val="0"/>
        <w:spacing w:before="120" w:beforeLines="50"/>
        <w:jc w:val="right"/>
        <w:rPr>
          <w:b/>
          <w:sz w:val="24"/>
        </w:rPr>
      </w:pPr>
      <w:r>
        <w:rPr>
          <w:b/>
          <w:sz w:val="24"/>
        </w:rPr>
        <w:t>表</w:t>
      </w:r>
      <w:r>
        <w:rPr>
          <w:rFonts w:hint="eastAsia"/>
          <w:b/>
          <w:sz w:val="24"/>
        </w:rPr>
        <w:t>2.3.4-8</w:t>
      </w:r>
      <w:r>
        <w:rPr>
          <w:b/>
          <w:sz w:val="24"/>
        </w:rPr>
        <w:t xml:space="preserve">  平阴县</w:t>
      </w:r>
      <w:r>
        <w:rPr>
          <w:rFonts w:hint="eastAsia"/>
          <w:b/>
          <w:sz w:val="24"/>
        </w:rPr>
        <w:t>不同规划年常规水源可供水量</w:t>
      </w:r>
      <w:r>
        <w:rPr>
          <w:b/>
          <w:sz w:val="24"/>
        </w:rPr>
        <w:t>预测成果表</w:t>
      </w:r>
      <w:r>
        <w:rPr>
          <w:rFonts w:hint="eastAsia"/>
          <w:b/>
          <w:sz w:val="24"/>
        </w:rPr>
        <w:t xml:space="preserve">  单位：万m</w:t>
      </w:r>
      <w:r>
        <w:rPr>
          <w:rFonts w:hint="eastAsia"/>
          <w:b/>
          <w:sz w:val="24"/>
          <w:vertAlign w:val="superscript"/>
        </w:rPr>
        <w:t>3</w:t>
      </w:r>
    </w:p>
    <w:tbl>
      <w:tblPr>
        <w:tblStyle w:val="46"/>
        <w:tblW w:w="9073" w:type="dxa"/>
        <w:tblInd w:w="-176" w:type="dxa"/>
        <w:tblLayout w:type="fixed"/>
        <w:tblCellMar>
          <w:top w:w="0" w:type="dxa"/>
          <w:left w:w="108" w:type="dxa"/>
          <w:bottom w:w="0" w:type="dxa"/>
          <w:right w:w="108" w:type="dxa"/>
        </w:tblCellMar>
      </w:tblPr>
      <w:tblGrid>
        <w:gridCol w:w="710"/>
        <w:gridCol w:w="599"/>
        <w:gridCol w:w="644"/>
        <w:gridCol w:w="458"/>
        <w:gridCol w:w="708"/>
        <w:gridCol w:w="567"/>
        <w:gridCol w:w="851"/>
        <w:gridCol w:w="709"/>
        <w:gridCol w:w="708"/>
        <w:gridCol w:w="1046"/>
        <w:gridCol w:w="797"/>
        <w:gridCol w:w="709"/>
        <w:gridCol w:w="567"/>
      </w:tblGrid>
      <w:tr w14:paraId="6C7AABC4">
        <w:tblPrEx>
          <w:tblCellMar>
            <w:top w:w="0" w:type="dxa"/>
            <w:left w:w="108" w:type="dxa"/>
            <w:bottom w:w="0" w:type="dxa"/>
            <w:right w:w="108" w:type="dxa"/>
          </w:tblCellMar>
        </w:tblPrEx>
        <w:trPr>
          <w:trHeight w:val="567" w:hRule="atLeast"/>
        </w:trPr>
        <w:tc>
          <w:tcPr>
            <w:tcW w:w="710" w:type="dxa"/>
            <w:vMerge w:val="restart"/>
            <w:tcBorders>
              <w:top w:val="single" w:color="auto" w:sz="4" w:space="0"/>
              <w:left w:val="single" w:color="auto" w:sz="4" w:space="0"/>
              <w:bottom w:val="single" w:color="auto" w:sz="4" w:space="0"/>
              <w:right w:val="single" w:color="auto" w:sz="4" w:space="0"/>
            </w:tcBorders>
            <w:vAlign w:val="center"/>
          </w:tcPr>
          <w:p w14:paraId="5C1D782F">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水平年</w:t>
            </w:r>
          </w:p>
        </w:tc>
        <w:tc>
          <w:tcPr>
            <w:tcW w:w="1701" w:type="dxa"/>
            <w:gridSpan w:val="3"/>
            <w:tcBorders>
              <w:top w:val="single" w:color="auto" w:sz="4" w:space="0"/>
              <w:left w:val="nil"/>
              <w:bottom w:val="single" w:color="auto" w:sz="4" w:space="0"/>
              <w:right w:val="single" w:color="auto" w:sz="4" w:space="0"/>
            </w:tcBorders>
            <w:vAlign w:val="center"/>
          </w:tcPr>
          <w:p w14:paraId="719898B5">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地表水</w:t>
            </w:r>
          </w:p>
        </w:tc>
        <w:tc>
          <w:tcPr>
            <w:tcW w:w="708" w:type="dxa"/>
            <w:vMerge w:val="restart"/>
            <w:tcBorders>
              <w:top w:val="single" w:color="auto" w:sz="4" w:space="0"/>
              <w:left w:val="single" w:color="auto" w:sz="4" w:space="0"/>
              <w:bottom w:val="single" w:color="auto" w:sz="4" w:space="0"/>
              <w:right w:val="single" w:color="auto" w:sz="4" w:space="0"/>
            </w:tcBorders>
            <w:vAlign w:val="center"/>
          </w:tcPr>
          <w:p w14:paraId="06275EB4">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地下水</w:t>
            </w:r>
          </w:p>
        </w:tc>
        <w:tc>
          <w:tcPr>
            <w:tcW w:w="567" w:type="dxa"/>
            <w:vMerge w:val="restart"/>
            <w:tcBorders>
              <w:top w:val="single" w:color="auto" w:sz="4" w:space="0"/>
              <w:left w:val="single" w:color="auto" w:sz="4" w:space="0"/>
              <w:bottom w:val="single" w:color="auto" w:sz="4" w:space="0"/>
              <w:right w:val="single" w:color="auto" w:sz="4" w:space="0"/>
            </w:tcBorders>
            <w:vAlign w:val="center"/>
          </w:tcPr>
          <w:p w14:paraId="2F68D81D">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客水</w:t>
            </w:r>
          </w:p>
        </w:tc>
        <w:tc>
          <w:tcPr>
            <w:tcW w:w="2268" w:type="dxa"/>
            <w:gridSpan w:val="3"/>
            <w:tcBorders>
              <w:top w:val="single" w:color="auto" w:sz="4" w:space="0"/>
              <w:left w:val="nil"/>
              <w:bottom w:val="single" w:color="auto" w:sz="4" w:space="0"/>
              <w:right w:val="single" w:color="auto" w:sz="4" w:space="0"/>
            </w:tcBorders>
            <w:vAlign w:val="center"/>
          </w:tcPr>
          <w:p w14:paraId="64379744">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总供水</w:t>
            </w:r>
          </w:p>
        </w:tc>
        <w:tc>
          <w:tcPr>
            <w:tcW w:w="1046" w:type="dxa"/>
            <w:vMerge w:val="restart"/>
            <w:tcBorders>
              <w:top w:val="single" w:color="auto" w:sz="4" w:space="0"/>
              <w:left w:val="single" w:color="auto" w:sz="4" w:space="0"/>
              <w:bottom w:val="single" w:color="auto" w:sz="4" w:space="0"/>
              <w:right w:val="single" w:color="auto" w:sz="4" w:space="0"/>
            </w:tcBorders>
            <w:vAlign w:val="center"/>
          </w:tcPr>
          <w:p w14:paraId="43B2F786">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常规水源用水量控制指标</w:t>
            </w:r>
          </w:p>
        </w:tc>
        <w:tc>
          <w:tcPr>
            <w:tcW w:w="2073" w:type="dxa"/>
            <w:gridSpan w:val="3"/>
            <w:tcBorders>
              <w:top w:val="single" w:color="auto" w:sz="4" w:space="0"/>
              <w:left w:val="nil"/>
              <w:bottom w:val="single" w:color="auto" w:sz="4" w:space="0"/>
              <w:right w:val="single" w:color="auto" w:sz="4" w:space="0"/>
            </w:tcBorders>
            <w:vAlign w:val="center"/>
          </w:tcPr>
          <w:p w14:paraId="43CEB821">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总供水</w:t>
            </w:r>
          </w:p>
        </w:tc>
      </w:tr>
      <w:tr w14:paraId="496DB7E5">
        <w:tblPrEx>
          <w:tblCellMar>
            <w:top w:w="0" w:type="dxa"/>
            <w:left w:w="108" w:type="dxa"/>
            <w:bottom w:w="0" w:type="dxa"/>
            <w:right w:w="108" w:type="dxa"/>
          </w:tblCellMar>
        </w:tblPrEx>
        <w:trPr>
          <w:trHeight w:val="567" w:hRule="atLeast"/>
        </w:trPr>
        <w:tc>
          <w:tcPr>
            <w:tcW w:w="710" w:type="dxa"/>
            <w:vMerge w:val="continue"/>
            <w:tcBorders>
              <w:top w:val="single" w:color="auto" w:sz="4" w:space="0"/>
              <w:left w:val="single" w:color="auto" w:sz="4" w:space="0"/>
              <w:bottom w:val="single" w:color="auto" w:sz="4" w:space="0"/>
              <w:right w:val="single" w:color="auto" w:sz="4" w:space="0"/>
            </w:tcBorders>
            <w:vAlign w:val="center"/>
          </w:tcPr>
          <w:p w14:paraId="391C7FFB">
            <w:pPr>
              <w:widowControl/>
              <w:adjustRightInd w:val="0"/>
              <w:snapToGrid w:val="0"/>
              <w:ind w:left="-105" w:leftChars="-50" w:right="-105" w:rightChars="-50"/>
              <w:jc w:val="center"/>
              <w:rPr>
                <w:rFonts w:hint="eastAsia" w:ascii="宋体" w:hAnsi="宋体" w:cs="宋体"/>
                <w:color w:val="000000"/>
                <w:kern w:val="0"/>
                <w:sz w:val="22"/>
                <w:szCs w:val="22"/>
              </w:rPr>
            </w:pPr>
          </w:p>
        </w:tc>
        <w:tc>
          <w:tcPr>
            <w:tcW w:w="599" w:type="dxa"/>
            <w:tcBorders>
              <w:top w:val="nil"/>
              <w:left w:val="nil"/>
              <w:bottom w:val="single" w:color="auto" w:sz="4" w:space="0"/>
              <w:right w:val="single" w:color="auto" w:sz="4" w:space="0"/>
            </w:tcBorders>
            <w:vAlign w:val="center"/>
          </w:tcPr>
          <w:p w14:paraId="15668ABD">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50%</w:t>
            </w:r>
          </w:p>
        </w:tc>
        <w:tc>
          <w:tcPr>
            <w:tcW w:w="644" w:type="dxa"/>
            <w:tcBorders>
              <w:top w:val="nil"/>
              <w:left w:val="nil"/>
              <w:bottom w:val="single" w:color="auto" w:sz="4" w:space="0"/>
              <w:right w:val="single" w:color="auto" w:sz="4" w:space="0"/>
            </w:tcBorders>
            <w:vAlign w:val="center"/>
          </w:tcPr>
          <w:p w14:paraId="19E5443D">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75%</w:t>
            </w:r>
          </w:p>
        </w:tc>
        <w:tc>
          <w:tcPr>
            <w:tcW w:w="458" w:type="dxa"/>
            <w:tcBorders>
              <w:top w:val="nil"/>
              <w:left w:val="nil"/>
              <w:bottom w:val="single" w:color="auto" w:sz="4" w:space="0"/>
              <w:right w:val="single" w:color="auto" w:sz="4" w:space="0"/>
            </w:tcBorders>
            <w:vAlign w:val="center"/>
          </w:tcPr>
          <w:p w14:paraId="0B7787E5">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95%</w:t>
            </w:r>
          </w:p>
        </w:tc>
        <w:tc>
          <w:tcPr>
            <w:tcW w:w="708" w:type="dxa"/>
            <w:vMerge w:val="continue"/>
            <w:tcBorders>
              <w:top w:val="single" w:color="auto" w:sz="4" w:space="0"/>
              <w:left w:val="single" w:color="auto" w:sz="4" w:space="0"/>
              <w:bottom w:val="single" w:color="auto" w:sz="4" w:space="0"/>
              <w:right w:val="single" w:color="auto" w:sz="4" w:space="0"/>
            </w:tcBorders>
            <w:vAlign w:val="center"/>
          </w:tcPr>
          <w:p w14:paraId="03A5045B">
            <w:pPr>
              <w:widowControl/>
              <w:adjustRightInd w:val="0"/>
              <w:snapToGrid w:val="0"/>
              <w:ind w:left="-105" w:leftChars="-50" w:right="-105" w:rightChars="-50"/>
              <w:jc w:val="center"/>
              <w:rPr>
                <w:rFonts w:hint="eastAsia" w:ascii="宋体" w:hAnsi="宋体" w:cs="宋体"/>
                <w:color w:val="000000"/>
                <w:kern w:val="0"/>
                <w:sz w:val="22"/>
                <w:szCs w:val="22"/>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14:paraId="6CA4D852">
            <w:pPr>
              <w:widowControl/>
              <w:adjustRightInd w:val="0"/>
              <w:snapToGrid w:val="0"/>
              <w:ind w:left="-105" w:leftChars="-50" w:right="-105" w:rightChars="-50"/>
              <w:jc w:val="center"/>
              <w:rPr>
                <w:rFonts w:hint="eastAsia" w:ascii="宋体" w:hAnsi="宋体" w:cs="宋体"/>
                <w:color w:val="000000"/>
                <w:kern w:val="0"/>
                <w:sz w:val="22"/>
                <w:szCs w:val="22"/>
              </w:rPr>
            </w:pPr>
          </w:p>
        </w:tc>
        <w:tc>
          <w:tcPr>
            <w:tcW w:w="851" w:type="dxa"/>
            <w:tcBorders>
              <w:top w:val="nil"/>
              <w:left w:val="nil"/>
              <w:bottom w:val="single" w:color="auto" w:sz="4" w:space="0"/>
              <w:right w:val="single" w:color="auto" w:sz="4" w:space="0"/>
            </w:tcBorders>
            <w:vAlign w:val="center"/>
          </w:tcPr>
          <w:p w14:paraId="0B0BA3A6">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50%</w:t>
            </w:r>
          </w:p>
        </w:tc>
        <w:tc>
          <w:tcPr>
            <w:tcW w:w="709" w:type="dxa"/>
            <w:tcBorders>
              <w:top w:val="nil"/>
              <w:left w:val="nil"/>
              <w:bottom w:val="single" w:color="auto" w:sz="4" w:space="0"/>
              <w:right w:val="single" w:color="auto" w:sz="4" w:space="0"/>
            </w:tcBorders>
            <w:vAlign w:val="center"/>
          </w:tcPr>
          <w:p w14:paraId="5891D379">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75%</w:t>
            </w:r>
          </w:p>
        </w:tc>
        <w:tc>
          <w:tcPr>
            <w:tcW w:w="708" w:type="dxa"/>
            <w:tcBorders>
              <w:top w:val="nil"/>
              <w:left w:val="nil"/>
              <w:bottom w:val="single" w:color="auto" w:sz="4" w:space="0"/>
              <w:right w:val="single" w:color="auto" w:sz="4" w:space="0"/>
            </w:tcBorders>
            <w:vAlign w:val="center"/>
          </w:tcPr>
          <w:p w14:paraId="6D6A9D5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95%</w:t>
            </w:r>
          </w:p>
        </w:tc>
        <w:tc>
          <w:tcPr>
            <w:tcW w:w="1046" w:type="dxa"/>
            <w:vMerge w:val="continue"/>
            <w:tcBorders>
              <w:top w:val="single" w:color="auto" w:sz="4" w:space="0"/>
              <w:left w:val="single" w:color="auto" w:sz="4" w:space="0"/>
              <w:bottom w:val="single" w:color="auto" w:sz="4" w:space="0"/>
              <w:right w:val="single" w:color="auto" w:sz="4" w:space="0"/>
            </w:tcBorders>
            <w:vAlign w:val="center"/>
          </w:tcPr>
          <w:p w14:paraId="2E226739">
            <w:pPr>
              <w:widowControl/>
              <w:adjustRightInd w:val="0"/>
              <w:snapToGrid w:val="0"/>
              <w:ind w:left="-105" w:leftChars="-50" w:right="-105" w:rightChars="-50"/>
              <w:jc w:val="center"/>
              <w:rPr>
                <w:rFonts w:hint="eastAsia" w:ascii="宋体" w:hAnsi="宋体" w:cs="宋体"/>
                <w:color w:val="000000"/>
                <w:kern w:val="0"/>
                <w:sz w:val="22"/>
                <w:szCs w:val="22"/>
              </w:rPr>
            </w:pPr>
          </w:p>
        </w:tc>
        <w:tc>
          <w:tcPr>
            <w:tcW w:w="797" w:type="dxa"/>
            <w:tcBorders>
              <w:top w:val="nil"/>
              <w:left w:val="nil"/>
              <w:bottom w:val="single" w:color="auto" w:sz="4" w:space="0"/>
              <w:right w:val="single" w:color="auto" w:sz="4" w:space="0"/>
            </w:tcBorders>
            <w:vAlign w:val="center"/>
          </w:tcPr>
          <w:p w14:paraId="78DEC919">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50%</w:t>
            </w:r>
          </w:p>
        </w:tc>
        <w:tc>
          <w:tcPr>
            <w:tcW w:w="709" w:type="dxa"/>
            <w:tcBorders>
              <w:top w:val="nil"/>
              <w:left w:val="nil"/>
              <w:bottom w:val="single" w:color="auto" w:sz="4" w:space="0"/>
              <w:right w:val="single" w:color="auto" w:sz="4" w:space="0"/>
            </w:tcBorders>
            <w:vAlign w:val="center"/>
          </w:tcPr>
          <w:p w14:paraId="15D5CAA8">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75%</w:t>
            </w:r>
          </w:p>
        </w:tc>
        <w:tc>
          <w:tcPr>
            <w:tcW w:w="567" w:type="dxa"/>
            <w:tcBorders>
              <w:top w:val="nil"/>
              <w:left w:val="nil"/>
              <w:bottom w:val="single" w:color="auto" w:sz="4" w:space="0"/>
              <w:right w:val="single" w:color="auto" w:sz="4" w:space="0"/>
            </w:tcBorders>
            <w:vAlign w:val="center"/>
          </w:tcPr>
          <w:p w14:paraId="45CC4B3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95%</w:t>
            </w:r>
          </w:p>
        </w:tc>
      </w:tr>
      <w:tr w14:paraId="66ED9D66">
        <w:tblPrEx>
          <w:tblCellMar>
            <w:top w:w="0" w:type="dxa"/>
            <w:left w:w="108" w:type="dxa"/>
            <w:bottom w:w="0" w:type="dxa"/>
            <w:right w:w="108" w:type="dxa"/>
          </w:tblCellMar>
        </w:tblPrEx>
        <w:trPr>
          <w:trHeight w:val="567" w:hRule="atLeast"/>
        </w:trPr>
        <w:tc>
          <w:tcPr>
            <w:tcW w:w="710" w:type="dxa"/>
            <w:tcBorders>
              <w:top w:val="nil"/>
              <w:left w:val="single" w:color="auto" w:sz="4" w:space="0"/>
              <w:bottom w:val="single" w:color="auto" w:sz="4" w:space="0"/>
              <w:right w:val="single" w:color="auto" w:sz="4" w:space="0"/>
            </w:tcBorders>
            <w:vAlign w:val="center"/>
          </w:tcPr>
          <w:p w14:paraId="1134BA44">
            <w:pPr>
              <w:widowControl/>
              <w:adjustRightInd w:val="0"/>
              <w:snapToGrid w:val="0"/>
              <w:ind w:left="-105" w:leftChars="-50" w:right="-105" w:rightChars="-50"/>
              <w:jc w:val="center"/>
              <w:rPr>
                <w:rFonts w:eastAsia="等线"/>
                <w:color w:val="000000"/>
                <w:kern w:val="0"/>
                <w:sz w:val="22"/>
                <w:szCs w:val="22"/>
              </w:rPr>
            </w:pPr>
            <w:bookmarkStart w:id="98" w:name="RANGE!B65"/>
            <w:r>
              <w:rPr>
                <w:rFonts w:eastAsia="等线"/>
                <w:color w:val="000000"/>
                <w:kern w:val="0"/>
                <w:sz w:val="22"/>
                <w:szCs w:val="22"/>
              </w:rPr>
              <w:t>2023</w:t>
            </w:r>
            <w:bookmarkEnd w:id="98"/>
          </w:p>
        </w:tc>
        <w:tc>
          <w:tcPr>
            <w:tcW w:w="599" w:type="dxa"/>
            <w:tcBorders>
              <w:top w:val="nil"/>
              <w:left w:val="nil"/>
              <w:bottom w:val="single" w:color="auto" w:sz="4" w:space="0"/>
              <w:right w:val="single" w:color="auto" w:sz="4" w:space="0"/>
            </w:tcBorders>
            <w:noWrap/>
            <w:vAlign w:val="center"/>
          </w:tcPr>
          <w:p w14:paraId="2EDA6FA9">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lang w:val="zh-CN"/>
              </w:rPr>
              <w:t>3638</w:t>
            </w:r>
          </w:p>
        </w:tc>
        <w:tc>
          <w:tcPr>
            <w:tcW w:w="644" w:type="dxa"/>
            <w:tcBorders>
              <w:top w:val="nil"/>
              <w:left w:val="nil"/>
              <w:bottom w:val="single" w:color="auto" w:sz="4" w:space="0"/>
              <w:right w:val="single" w:color="auto" w:sz="4" w:space="0"/>
            </w:tcBorders>
            <w:noWrap/>
            <w:vAlign w:val="center"/>
          </w:tcPr>
          <w:p w14:paraId="0CFA7FA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lang w:val="zh-CN"/>
              </w:rPr>
              <w:t>3026</w:t>
            </w:r>
          </w:p>
        </w:tc>
        <w:tc>
          <w:tcPr>
            <w:tcW w:w="458" w:type="dxa"/>
            <w:tcBorders>
              <w:top w:val="nil"/>
              <w:left w:val="nil"/>
              <w:bottom w:val="single" w:color="auto" w:sz="4" w:space="0"/>
              <w:right w:val="single" w:color="auto" w:sz="4" w:space="0"/>
            </w:tcBorders>
            <w:vAlign w:val="center"/>
          </w:tcPr>
          <w:p w14:paraId="00FF5082">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606</w:t>
            </w:r>
          </w:p>
        </w:tc>
        <w:tc>
          <w:tcPr>
            <w:tcW w:w="708" w:type="dxa"/>
            <w:tcBorders>
              <w:top w:val="nil"/>
              <w:left w:val="nil"/>
              <w:bottom w:val="single" w:color="auto" w:sz="4" w:space="0"/>
              <w:right w:val="single" w:color="auto" w:sz="4" w:space="0"/>
            </w:tcBorders>
            <w:noWrap/>
            <w:vAlign w:val="center"/>
          </w:tcPr>
          <w:p w14:paraId="5DC038DB">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lang w:val="zh-CN"/>
              </w:rPr>
              <w:t>5799</w:t>
            </w:r>
          </w:p>
        </w:tc>
        <w:tc>
          <w:tcPr>
            <w:tcW w:w="567" w:type="dxa"/>
            <w:tcBorders>
              <w:top w:val="nil"/>
              <w:left w:val="nil"/>
              <w:bottom w:val="single" w:color="auto" w:sz="4" w:space="0"/>
              <w:right w:val="single" w:color="auto" w:sz="4" w:space="0"/>
            </w:tcBorders>
            <w:vAlign w:val="center"/>
          </w:tcPr>
          <w:p w14:paraId="32521B27">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1199</w:t>
            </w:r>
          </w:p>
        </w:tc>
        <w:tc>
          <w:tcPr>
            <w:tcW w:w="851" w:type="dxa"/>
            <w:tcBorders>
              <w:top w:val="nil"/>
              <w:left w:val="nil"/>
              <w:bottom w:val="single" w:color="auto" w:sz="4" w:space="0"/>
              <w:right w:val="single" w:color="auto" w:sz="4" w:space="0"/>
            </w:tcBorders>
            <w:vAlign w:val="center"/>
          </w:tcPr>
          <w:p w14:paraId="12E8743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10636</w:t>
            </w:r>
          </w:p>
        </w:tc>
        <w:tc>
          <w:tcPr>
            <w:tcW w:w="709" w:type="dxa"/>
            <w:tcBorders>
              <w:top w:val="nil"/>
              <w:left w:val="nil"/>
              <w:bottom w:val="single" w:color="auto" w:sz="4" w:space="0"/>
              <w:right w:val="single" w:color="auto" w:sz="4" w:space="0"/>
            </w:tcBorders>
            <w:vAlign w:val="center"/>
          </w:tcPr>
          <w:p w14:paraId="7ABE718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10024</w:t>
            </w:r>
          </w:p>
        </w:tc>
        <w:tc>
          <w:tcPr>
            <w:tcW w:w="708" w:type="dxa"/>
            <w:tcBorders>
              <w:top w:val="nil"/>
              <w:left w:val="nil"/>
              <w:bottom w:val="single" w:color="auto" w:sz="4" w:space="0"/>
              <w:right w:val="single" w:color="auto" w:sz="4" w:space="0"/>
            </w:tcBorders>
            <w:vAlign w:val="center"/>
          </w:tcPr>
          <w:p w14:paraId="7715962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7604</w:t>
            </w:r>
          </w:p>
        </w:tc>
        <w:tc>
          <w:tcPr>
            <w:tcW w:w="1046" w:type="dxa"/>
            <w:tcBorders>
              <w:top w:val="nil"/>
              <w:left w:val="nil"/>
              <w:bottom w:val="single" w:color="auto" w:sz="4" w:space="0"/>
              <w:right w:val="single" w:color="auto" w:sz="4" w:space="0"/>
            </w:tcBorders>
            <w:noWrap/>
            <w:vAlign w:val="center"/>
          </w:tcPr>
          <w:p w14:paraId="122DBE1E">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lang w:val="zh-CN"/>
              </w:rPr>
              <w:t>10100</w:t>
            </w:r>
          </w:p>
        </w:tc>
        <w:tc>
          <w:tcPr>
            <w:tcW w:w="797" w:type="dxa"/>
            <w:tcBorders>
              <w:top w:val="nil"/>
              <w:left w:val="nil"/>
              <w:bottom w:val="single" w:color="auto" w:sz="4" w:space="0"/>
              <w:right w:val="single" w:color="auto" w:sz="4" w:space="0"/>
            </w:tcBorders>
            <w:noWrap/>
            <w:vAlign w:val="center"/>
          </w:tcPr>
          <w:p w14:paraId="7FE3530C">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lang w:val="zh-CN"/>
              </w:rPr>
              <w:t>10100</w:t>
            </w:r>
          </w:p>
        </w:tc>
        <w:tc>
          <w:tcPr>
            <w:tcW w:w="709" w:type="dxa"/>
            <w:tcBorders>
              <w:top w:val="nil"/>
              <w:left w:val="nil"/>
              <w:bottom w:val="single" w:color="auto" w:sz="4" w:space="0"/>
              <w:right w:val="single" w:color="auto" w:sz="4" w:space="0"/>
            </w:tcBorders>
            <w:vAlign w:val="center"/>
          </w:tcPr>
          <w:p w14:paraId="4EF5DE82">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10024</w:t>
            </w:r>
          </w:p>
        </w:tc>
        <w:tc>
          <w:tcPr>
            <w:tcW w:w="567" w:type="dxa"/>
            <w:tcBorders>
              <w:top w:val="nil"/>
              <w:left w:val="nil"/>
              <w:bottom w:val="single" w:color="auto" w:sz="4" w:space="0"/>
              <w:right w:val="single" w:color="auto" w:sz="4" w:space="0"/>
            </w:tcBorders>
            <w:vAlign w:val="center"/>
          </w:tcPr>
          <w:p w14:paraId="4965F179">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7604</w:t>
            </w:r>
          </w:p>
        </w:tc>
      </w:tr>
      <w:tr w14:paraId="71349D7F">
        <w:tblPrEx>
          <w:tblCellMar>
            <w:top w:w="0" w:type="dxa"/>
            <w:left w:w="108" w:type="dxa"/>
            <w:bottom w:w="0" w:type="dxa"/>
            <w:right w:w="108" w:type="dxa"/>
          </w:tblCellMar>
        </w:tblPrEx>
        <w:trPr>
          <w:trHeight w:val="567" w:hRule="atLeast"/>
        </w:trPr>
        <w:tc>
          <w:tcPr>
            <w:tcW w:w="710" w:type="dxa"/>
            <w:tcBorders>
              <w:top w:val="nil"/>
              <w:left w:val="single" w:color="auto" w:sz="4" w:space="0"/>
              <w:bottom w:val="single" w:color="auto" w:sz="4" w:space="0"/>
              <w:right w:val="single" w:color="auto" w:sz="4" w:space="0"/>
            </w:tcBorders>
            <w:vAlign w:val="center"/>
          </w:tcPr>
          <w:p w14:paraId="44BC4837">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2030</w:t>
            </w:r>
          </w:p>
        </w:tc>
        <w:tc>
          <w:tcPr>
            <w:tcW w:w="599" w:type="dxa"/>
            <w:tcBorders>
              <w:top w:val="nil"/>
              <w:left w:val="nil"/>
              <w:bottom w:val="single" w:color="auto" w:sz="4" w:space="0"/>
              <w:right w:val="single" w:color="auto" w:sz="4" w:space="0"/>
            </w:tcBorders>
            <w:noWrap/>
            <w:vAlign w:val="center"/>
          </w:tcPr>
          <w:p w14:paraId="062B50FB">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lang w:val="zh-CN"/>
              </w:rPr>
              <w:t>3638</w:t>
            </w:r>
          </w:p>
        </w:tc>
        <w:tc>
          <w:tcPr>
            <w:tcW w:w="644" w:type="dxa"/>
            <w:tcBorders>
              <w:top w:val="nil"/>
              <w:left w:val="nil"/>
              <w:bottom w:val="single" w:color="auto" w:sz="4" w:space="0"/>
              <w:right w:val="single" w:color="auto" w:sz="4" w:space="0"/>
            </w:tcBorders>
            <w:noWrap/>
            <w:vAlign w:val="center"/>
          </w:tcPr>
          <w:p w14:paraId="46CE6F58">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lang w:val="zh-CN"/>
              </w:rPr>
              <w:t>3026</w:t>
            </w:r>
          </w:p>
        </w:tc>
        <w:tc>
          <w:tcPr>
            <w:tcW w:w="458" w:type="dxa"/>
            <w:tcBorders>
              <w:top w:val="nil"/>
              <w:left w:val="nil"/>
              <w:bottom w:val="single" w:color="auto" w:sz="4" w:space="0"/>
              <w:right w:val="single" w:color="auto" w:sz="4" w:space="0"/>
            </w:tcBorders>
            <w:vAlign w:val="center"/>
          </w:tcPr>
          <w:p w14:paraId="78926BB7">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606</w:t>
            </w:r>
          </w:p>
        </w:tc>
        <w:tc>
          <w:tcPr>
            <w:tcW w:w="708" w:type="dxa"/>
            <w:tcBorders>
              <w:top w:val="nil"/>
              <w:left w:val="nil"/>
              <w:bottom w:val="single" w:color="auto" w:sz="4" w:space="0"/>
              <w:right w:val="single" w:color="auto" w:sz="4" w:space="0"/>
            </w:tcBorders>
            <w:noWrap/>
            <w:vAlign w:val="center"/>
          </w:tcPr>
          <w:p w14:paraId="243B492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5799</w:t>
            </w:r>
          </w:p>
        </w:tc>
        <w:tc>
          <w:tcPr>
            <w:tcW w:w="567" w:type="dxa"/>
            <w:tcBorders>
              <w:top w:val="nil"/>
              <w:left w:val="nil"/>
              <w:bottom w:val="single" w:color="auto" w:sz="4" w:space="0"/>
              <w:right w:val="single" w:color="auto" w:sz="4" w:space="0"/>
            </w:tcBorders>
            <w:vAlign w:val="center"/>
          </w:tcPr>
          <w:p w14:paraId="11718EB9">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1199</w:t>
            </w:r>
          </w:p>
        </w:tc>
        <w:tc>
          <w:tcPr>
            <w:tcW w:w="851" w:type="dxa"/>
            <w:tcBorders>
              <w:top w:val="nil"/>
              <w:left w:val="nil"/>
              <w:bottom w:val="single" w:color="auto" w:sz="4" w:space="0"/>
              <w:right w:val="single" w:color="auto" w:sz="4" w:space="0"/>
            </w:tcBorders>
            <w:vAlign w:val="center"/>
          </w:tcPr>
          <w:p w14:paraId="4C7CFBDD">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10636</w:t>
            </w:r>
          </w:p>
        </w:tc>
        <w:tc>
          <w:tcPr>
            <w:tcW w:w="709" w:type="dxa"/>
            <w:tcBorders>
              <w:top w:val="nil"/>
              <w:left w:val="nil"/>
              <w:bottom w:val="single" w:color="auto" w:sz="4" w:space="0"/>
              <w:right w:val="single" w:color="auto" w:sz="4" w:space="0"/>
            </w:tcBorders>
            <w:vAlign w:val="center"/>
          </w:tcPr>
          <w:p w14:paraId="71D7310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10024</w:t>
            </w:r>
          </w:p>
        </w:tc>
        <w:tc>
          <w:tcPr>
            <w:tcW w:w="708" w:type="dxa"/>
            <w:tcBorders>
              <w:top w:val="nil"/>
              <w:left w:val="nil"/>
              <w:bottom w:val="single" w:color="auto" w:sz="4" w:space="0"/>
              <w:right w:val="single" w:color="auto" w:sz="4" w:space="0"/>
            </w:tcBorders>
            <w:vAlign w:val="center"/>
          </w:tcPr>
          <w:p w14:paraId="67803739">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7604</w:t>
            </w:r>
          </w:p>
        </w:tc>
        <w:tc>
          <w:tcPr>
            <w:tcW w:w="1046" w:type="dxa"/>
            <w:tcBorders>
              <w:top w:val="nil"/>
              <w:left w:val="nil"/>
              <w:bottom w:val="single" w:color="auto" w:sz="4" w:space="0"/>
              <w:right w:val="single" w:color="auto" w:sz="4" w:space="0"/>
            </w:tcBorders>
            <w:noWrap/>
            <w:vAlign w:val="center"/>
          </w:tcPr>
          <w:p w14:paraId="3CD37EB7">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10100</w:t>
            </w:r>
          </w:p>
        </w:tc>
        <w:tc>
          <w:tcPr>
            <w:tcW w:w="797" w:type="dxa"/>
            <w:tcBorders>
              <w:top w:val="nil"/>
              <w:left w:val="nil"/>
              <w:bottom w:val="single" w:color="auto" w:sz="4" w:space="0"/>
              <w:right w:val="single" w:color="auto" w:sz="4" w:space="0"/>
            </w:tcBorders>
            <w:noWrap/>
            <w:vAlign w:val="center"/>
          </w:tcPr>
          <w:p w14:paraId="18B119BC">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10100</w:t>
            </w:r>
          </w:p>
        </w:tc>
        <w:tc>
          <w:tcPr>
            <w:tcW w:w="709" w:type="dxa"/>
            <w:tcBorders>
              <w:top w:val="nil"/>
              <w:left w:val="nil"/>
              <w:bottom w:val="single" w:color="auto" w:sz="4" w:space="0"/>
              <w:right w:val="single" w:color="auto" w:sz="4" w:space="0"/>
            </w:tcBorders>
            <w:vAlign w:val="center"/>
          </w:tcPr>
          <w:p w14:paraId="5D35004F">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10024</w:t>
            </w:r>
          </w:p>
        </w:tc>
        <w:tc>
          <w:tcPr>
            <w:tcW w:w="567" w:type="dxa"/>
            <w:tcBorders>
              <w:top w:val="nil"/>
              <w:left w:val="nil"/>
              <w:bottom w:val="single" w:color="auto" w:sz="4" w:space="0"/>
              <w:right w:val="single" w:color="auto" w:sz="4" w:space="0"/>
            </w:tcBorders>
            <w:vAlign w:val="center"/>
          </w:tcPr>
          <w:p w14:paraId="5559CDAF">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7604</w:t>
            </w:r>
          </w:p>
        </w:tc>
      </w:tr>
      <w:tr w14:paraId="61DD016D">
        <w:tblPrEx>
          <w:tblCellMar>
            <w:top w:w="0" w:type="dxa"/>
            <w:left w:w="108" w:type="dxa"/>
            <w:bottom w:w="0" w:type="dxa"/>
            <w:right w:w="108" w:type="dxa"/>
          </w:tblCellMar>
        </w:tblPrEx>
        <w:trPr>
          <w:trHeight w:val="567" w:hRule="atLeast"/>
        </w:trPr>
        <w:tc>
          <w:tcPr>
            <w:tcW w:w="710" w:type="dxa"/>
            <w:tcBorders>
              <w:top w:val="nil"/>
              <w:left w:val="single" w:color="auto" w:sz="4" w:space="0"/>
              <w:bottom w:val="single" w:color="auto" w:sz="4" w:space="0"/>
              <w:right w:val="single" w:color="auto" w:sz="4" w:space="0"/>
            </w:tcBorders>
            <w:vAlign w:val="center"/>
          </w:tcPr>
          <w:p w14:paraId="0A8AF2B2">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2035</w:t>
            </w:r>
          </w:p>
        </w:tc>
        <w:tc>
          <w:tcPr>
            <w:tcW w:w="599" w:type="dxa"/>
            <w:tcBorders>
              <w:top w:val="nil"/>
              <w:left w:val="nil"/>
              <w:bottom w:val="single" w:color="auto" w:sz="4" w:space="0"/>
              <w:right w:val="single" w:color="auto" w:sz="4" w:space="0"/>
            </w:tcBorders>
            <w:noWrap/>
            <w:vAlign w:val="center"/>
          </w:tcPr>
          <w:p w14:paraId="0F8D5D53">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3638</w:t>
            </w:r>
          </w:p>
        </w:tc>
        <w:tc>
          <w:tcPr>
            <w:tcW w:w="644" w:type="dxa"/>
            <w:tcBorders>
              <w:top w:val="nil"/>
              <w:left w:val="nil"/>
              <w:bottom w:val="single" w:color="auto" w:sz="4" w:space="0"/>
              <w:right w:val="single" w:color="auto" w:sz="4" w:space="0"/>
            </w:tcBorders>
            <w:noWrap/>
            <w:vAlign w:val="center"/>
          </w:tcPr>
          <w:p w14:paraId="3D41F7A5">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3026</w:t>
            </w:r>
          </w:p>
        </w:tc>
        <w:tc>
          <w:tcPr>
            <w:tcW w:w="458" w:type="dxa"/>
            <w:tcBorders>
              <w:top w:val="nil"/>
              <w:left w:val="nil"/>
              <w:bottom w:val="single" w:color="auto" w:sz="4" w:space="0"/>
              <w:right w:val="single" w:color="auto" w:sz="4" w:space="0"/>
            </w:tcBorders>
            <w:vAlign w:val="center"/>
          </w:tcPr>
          <w:p w14:paraId="26C63B27">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606</w:t>
            </w:r>
          </w:p>
        </w:tc>
        <w:tc>
          <w:tcPr>
            <w:tcW w:w="708" w:type="dxa"/>
            <w:tcBorders>
              <w:top w:val="nil"/>
              <w:left w:val="nil"/>
              <w:bottom w:val="single" w:color="auto" w:sz="4" w:space="0"/>
              <w:right w:val="single" w:color="auto" w:sz="4" w:space="0"/>
            </w:tcBorders>
            <w:noWrap/>
            <w:vAlign w:val="center"/>
          </w:tcPr>
          <w:p w14:paraId="1DD80237">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5799</w:t>
            </w:r>
          </w:p>
        </w:tc>
        <w:tc>
          <w:tcPr>
            <w:tcW w:w="567" w:type="dxa"/>
            <w:tcBorders>
              <w:top w:val="nil"/>
              <w:left w:val="nil"/>
              <w:bottom w:val="single" w:color="auto" w:sz="4" w:space="0"/>
              <w:right w:val="single" w:color="auto" w:sz="4" w:space="0"/>
            </w:tcBorders>
            <w:vAlign w:val="center"/>
          </w:tcPr>
          <w:p w14:paraId="02D9B08E">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1199</w:t>
            </w:r>
          </w:p>
        </w:tc>
        <w:tc>
          <w:tcPr>
            <w:tcW w:w="851" w:type="dxa"/>
            <w:tcBorders>
              <w:top w:val="nil"/>
              <w:left w:val="nil"/>
              <w:bottom w:val="single" w:color="auto" w:sz="4" w:space="0"/>
              <w:right w:val="single" w:color="auto" w:sz="4" w:space="0"/>
            </w:tcBorders>
            <w:vAlign w:val="center"/>
          </w:tcPr>
          <w:p w14:paraId="7456F061">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10636</w:t>
            </w:r>
          </w:p>
        </w:tc>
        <w:tc>
          <w:tcPr>
            <w:tcW w:w="709" w:type="dxa"/>
            <w:tcBorders>
              <w:top w:val="nil"/>
              <w:left w:val="nil"/>
              <w:bottom w:val="single" w:color="auto" w:sz="4" w:space="0"/>
              <w:right w:val="single" w:color="auto" w:sz="4" w:space="0"/>
            </w:tcBorders>
            <w:vAlign w:val="center"/>
          </w:tcPr>
          <w:p w14:paraId="4650AD4E">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10024</w:t>
            </w:r>
          </w:p>
        </w:tc>
        <w:tc>
          <w:tcPr>
            <w:tcW w:w="708" w:type="dxa"/>
            <w:tcBorders>
              <w:top w:val="nil"/>
              <w:left w:val="nil"/>
              <w:bottom w:val="single" w:color="auto" w:sz="4" w:space="0"/>
              <w:right w:val="single" w:color="auto" w:sz="4" w:space="0"/>
            </w:tcBorders>
            <w:vAlign w:val="center"/>
          </w:tcPr>
          <w:p w14:paraId="201561AE">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7604</w:t>
            </w:r>
          </w:p>
        </w:tc>
        <w:tc>
          <w:tcPr>
            <w:tcW w:w="1046" w:type="dxa"/>
            <w:tcBorders>
              <w:top w:val="nil"/>
              <w:left w:val="nil"/>
              <w:bottom w:val="single" w:color="auto" w:sz="4" w:space="0"/>
              <w:right w:val="single" w:color="auto" w:sz="4" w:space="0"/>
            </w:tcBorders>
            <w:noWrap/>
            <w:vAlign w:val="center"/>
          </w:tcPr>
          <w:p w14:paraId="6F51099A">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10100</w:t>
            </w:r>
          </w:p>
        </w:tc>
        <w:tc>
          <w:tcPr>
            <w:tcW w:w="797" w:type="dxa"/>
            <w:tcBorders>
              <w:top w:val="nil"/>
              <w:left w:val="nil"/>
              <w:bottom w:val="single" w:color="auto" w:sz="4" w:space="0"/>
              <w:right w:val="single" w:color="auto" w:sz="4" w:space="0"/>
            </w:tcBorders>
            <w:noWrap/>
            <w:vAlign w:val="center"/>
          </w:tcPr>
          <w:p w14:paraId="12EA5E65">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10100</w:t>
            </w:r>
          </w:p>
        </w:tc>
        <w:tc>
          <w:tcPr>
            <w:tcW w:w="709" w:type="dxa"/>
            <w:tcBorders>
              <w:top w:val="nil"/>
              <w:left w:val="nil"/>
              <w:bottom w:val="single" w:color="auto" w:sz="4" w:space="0"/>
              <w:right w:val="single" w:color="auto" w:sz="4" w:space="0"/>
            </w:tcBorders>
            <w:vAlign w:val="center"/>
          </w:tcPr>
          <w:p w14:paraId="44340F80">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10024</w:t>
            </w:r>
          </w:p>
        </w:tc>
        <w:tc>
          <w:tcPr>
            <w:tcW w:w="567" w:type="dxa"/>
            <w:tcBorders>
              <w:top w:val="nil"/>
              <w:left w:val="nil"/>
              <w:bottom w:val="single" w:color="auto" w:sz="4" w:space="0"/>
              <w:right w:val="single" w:color="auto" w:sz="4" w:space="0"/>
            </w:tcBorders>
            <w:vAlign w:val="center"/>
          </w:tcPr>
          <w:p w14:paraId="1C436DEE">
            <w:pPr>
              <w:widowControl/>
              <w:adjustRightInd w:val="0"/>
              <w:snapToGrid w:val="0"/>
              <w:ind w:left="-105" w:leftChars="-50" w:right="-105" w:rightChars="-50"/>
              <w:jc w:val="center"/>
              <w:rPr>
                <w:rFonts w:eastAsia="等线"/>
                <w:color w:val="000000"/>
                <w:kern w:val="0"/>
                <w:sz w:val="22"/>
                <w:szCs w:val="22"/>
              </w:rPr>
            </w:pPr>
            <w:r>
              <w:rPr>
                <w:rFonts w:eastAsia="等线"/>
                <w:color w:val="000000"/>
                <w:kern w:val="0"/>
                <w:sz w:val="22"/>
                <w:szCs w:val="22"/>
              </w:rPr>
              <w:t>7604</w:t>
            </w:r>
          </w:p>
        </w:tc>
      </w:tr>
    </w:tbl>
    <w:p w14:paraId="1435AC69">
      <w:pPr>
        <w:autoSpaceDE w:val="0"/>
        <w:autoSpaceDN w:val="0"/>
        <w:spacing w:line="600" w:lineRule="exact"/>
        <w:ind w:firstLine="560" w:firstLineChars="200"/>
        <w:textAlignment w:val="baseline"/>
        <w:rPr>
          <w:kern w:val="0"/>
          <w:sz w:val="28"/>
          <w:szCs w:val="28"/>
          <w:lang w:val="zh-CN"/>
        </w:rPr>
      </w:pPr>
      <w:r>
        <w:rPr>
          <w:rFonts w:hint="eastAsia"/>
          <w:kern w:val="0"/>
          <w:sz w:val="28"/>
          <w:szCs w:val="28"/>
          <w:lang w:val="zh-CN"/>
        </w:rPr>
        <w:t>2</w:t>
      </w:r>
      <w:r>
        <w:rPr>
          <w:kern w:val="0"/>
          <w:sz w:val="28"/>
          <w:szCs w:val="28"/>
          <w:lang w:val="zh-CN"/>
        </w:rPr>
        <w:t>、非常规水可供水量预测</w:t>
      </w:r>
    </w:p>
    <w:p w14:paraId="6A23FE33">
      <w:pPr>
        <w:autoSpaceDE w:val="0"/>
        <w:autoSpaceDN w:val="0"/>
        <w:spacing w:line="600" w:lineRule="exact"/>
        <w:ind w:firstLine="560" w:firstLineChars="200"/>
        <w:textAlignment w:val="baseline"/>
        <w:rPr>
          <w:kern w:val="0"/>
          <w:sz w:val="28"/>
          <w:szCs w:val="28"/>
          <w:lang w:val="zh-CN"/>
        </w:rPr>
      </w:pPr>
      <w:r>
        <w:rPr>
          <w:kern w:val="0"/>
          <w:sz w:val="28"/>
          <w:szCs w:val="28"/>
          <w:lang w:val="zh-CN"/>
        </w:rPr>
        <w:t>城市污水处理回用开辟了新水源，减少了城市供水不足的压力和供需矛盾，还减少了污水排放量，改善水体环境。城市污水量大且集中，水量水质相对比较稳定，且不受季节、降雨量等影响，经污水处理厂二级处理后出水，经过适当的补充措施完全可以达到回用水水质要求，没有技术上的障碍。污水处理后可回用于对水质要求不高的工业用水、农业灌溉用水和城区河湖环境用水等。雨水集蓄利用主要指收集储存屋顶、场院、道路等场所的降雨或径流的微型蓄水工程，包括水池、水塘等。</w:t>
      </w:r>
    </w:p>
    <w:p w14:paraId="2B759457">
      <w:pPr>
        <w:autoSpaceDE w:val="0"/>
        <w:autoSpaceDN w:val="0"/>
        <w:spacing w:line="600" w:lineRule="exact"/>
        <w:ind w:firstLine="560" w:firstLineChars="200"/>
        <w:textAlignment w:val="baseline"/>
        <w:rPr>
          <w:kern w:val="0"/>
          <w:sz w:val="28"/>
          <w:szCs w:val="28"/>
          <w:lang w:val="zh-CN"/>
        </w:rPr>
      </w:pPr>
      <w:r>
        <w:rPr>
          <w:kern w:val="0"/>
          <w:sz w:val="28"/>
          <w:szCs w:val="28"/>
          <w:lang w:val="zh-CN"/>
        </w:rPr>
        <w:t>根据《平阴县202</w:t>
      </w:r>
      <w:r>
        <w:rPr>
          <w:rFonts w:hint="eastAsia"/>
          <w:kern w:val="0"/>
          <w:sz w:val="28"/>
          <w:szCs w:val="28"/>
          <w:lang w:val="zh-CN"/>
        </w:rPr>
        <w:t>3年</w:t>
      </w:r>
      <w:r>
        <w:rPr>
          <w:kern w:val="0"/>
          <w:sz w:val="28"/>
          <w:szCs w:val="28"/>
          <w:lang w:val="zh-CN"/>
        </w:rPr>
        <w:t>水资源公报表》</w:t>
      </w:r>
      <w:r>
        <w:rPr>
          <w:rFonts w:hint="eastAsia"/>
          <w:sz w:val="28"/>
          <w:szCs w:val="28"/>
        </w:rPr>
        <w:t>《平阴县水资源综合利用中长期规划（2016—2030）》</w:t>
      </w:r>
      <w:r>
        <w:rPr>
          <w:rFonts w:hint="eastAsia"/>
          <w:kern w:val="0"/>
          <w:sz w:val="28"/>
          <w:szCs w:val="28"/>
          <w:lang w:val="zh-CN"/>
        </w:rPr>
        <w:t>和《平阴县城乡污水统筹规划（2</w:t>
      </w:r>
      <w:r>
        <w:rPr>
          <w:kern w:val="0"/>
          <w:sz w:val="28"/>
          <w:szCs w:val="28"/>
          <w:lang w:val="zh-CN"/>
        </w:rPr>
        <w:t>017</w:t>
      </w:r>
      <w:r>
        <w:rPr>
          <w:rFonts w:hint="eastAsia"/>
          <w:kern w:val="0"/>
          <w:sz w:val="28"/>
          <w:szCs w:val="28"/>
          <w:lang w:val="zh-CN"/>
        </w:rPr>
        <w:t>—</w:t>
      </w:r>
      <w:r>
        <w:rPr>
          <w:kern w:val="0"/>
          <w:sz w:val="28"/>
          <w:szCs w:val="28"/>
          <w:lang w:val="zh-CN"/>
        </w:rPr>
        <w:t>2030</w:t>
      </w:r>
      <w:r>
        <w:rPr>
          <w:rFonts w:hint="eastAsia"/>
          <w:kern w:val="0"/>
          <w:sz w:val="28"/>
          <w:szCs w:val="28"/>
          <w:lang w:val="zh-CN"/>
        </w:rPr>
        <w:t>）》等</w:t>
      </w:r>
      <w:r>
        <w:rPr>
          <w:kern w:val="0"/>
          <w:sz w:val="28"/>
          <w:szCs w:val="28"/>
          <w:lang w:val="zh-CN"/>
        </w:rPr>
        <w:t>可知，全县通过</w:t>
      </w:r>
      <w:r>
        <w:rPr>
          <w:rFonts w:hint="eastAsia"/>
          <w:kern w:val="0"/>
          <w:sz w:val="28"/>
          <w:szCs w:val="28"/>
          <w:lang w:val="zh-CN"/>
        </w:rPr>
        <w:t>实施</w:t>
      </w:r>
      <w:r>
        <w:rPr>
          <w:kern w:val="0"/>
          <w:sz w:val="28"/>
          <w:szCs w:val="28"/>
          <w:lang w:val="zh-CN"/>
        </w:rPr>
        <w:t>建设污水处理厂和雨水资源利用工程以增加非常规水源的利用量</w:t>
      </w:r>
      <w:r>
        <w:rPr>
          <w:rFonts w:hint="eastAsia"/>
          <w:kern w:val="0"/>
          <w:sz w:val="28"/>
          <w:szCs w:val="28"/>
          <w:lang w:val="zh-CN"/>
        </w:rPr>
        <w:t>。参照《济南市水资源配置规划》及城市污水处理回用工程建设需要，</w:t>
      </w:r>
      <w:r>
        <w:rPr>
          <w:kern w:val="0"/>
          <w:sz w:val="28"/>
          <w:szCs w:val="28"/>
          <w:lang w:val="zh-CN"/>
        </w:rPr>
        <w:t>在202</w:t>
      </w:r>
      <w:r>
        <w:rPr>
          <w:rFonts w:hint="eastAsia"/>
          <w:kern w:val="0"/>
          <w:sz w:val="28"/>
          <w:szCs w:val="28"/>
          <w:lang w:val="zh-CN"/>
        </w:rPr>
        <w:t>3</w:t>
      </w:r>
      <w:r>
        <w:rPr>
          <w:kern w:val="0"/>
          <w:sz w:val="28"/>
          <w:szCs w:val="28"/>
          <w:lang w:val="zh-CN"/>
        </w:rPr>
        <w:t>年非常规水源利用量864万m</w:t>
      </w:r>
      <w:r>
        <w:rPr>
          <w:kern w:val="0"/>
          <w:sz w:val="28"/>
          <w:szCs w:val="28"/>
          <w:vertAlign w:val="superscript"/>
          <w:lang w:val="zh-CN"/>
        </w:rPr>
        <w:t>3</w:t>
      </w:r>
      <w:r>
        <w:rPr>
          <w:kern w:val="0"/>
          <w:sz w:val="28"/>
          <w:szCs w:val="28"/>
          <w:lang w:val="zh-CN"/>
        </w:rPr>
        <w:t>基础上，预测到20</w:t>
      </w:r>
      <w:r>
        <w:rPr>
          <w:rFonts w:hint="eastAsia"/>
          <w:kern w:val="0"/>
          <w:sz w:val="28"/>
          <w:szCs w:val="28"/>
          <w:lang w:val="zh-CN"/>
        </w:rPr>
        <w:t>30</w:t>
      </w:r>
      <w:r>
        <w:rPr>
          <w:kern w:val="0"/>
          <w:sz w:val="28"/>
          <w:szCs w:val="28"/>
          <w:lang w:val="zh-CN"/>
        </w:rPr>
        <w:t>和2035年利用量分别达到</w:t>
      </w:r>
      <w:r>
        <w:rPr>
          <w:rFonts w:hint="eastAsia"/>
          <w:kern w:val="0"/>
          <w:sz w:val="28"/>
          <w:szCs w:val="28"/>
          <w:lang w:val="zh-CN"/>
        </w:rPr>
        <w:t>100</w:t>
      </w:r>
      <w:r>
        <w:rPr>
          <w:kern w:val="0"/>
          <w:sz w:val="28"/>
          <w:szCs w:val="28"/>
          <w:lang w:val="zh-CN"/>
        </w:rPr>
        <w:t>0万m</w:t>
      </w:r>
      <w:r>
        <w:rPr>
          <w:kern w:val="0"/>
          <w:sz w:val="28"/>
          <w:szCs w:val="28"/>
          <w:vertAlign w:val="superscript"/>
          <w:lang w:val="zh-CN"/>
        </w:rPr>
        <w:t>3</w:t>
      </w:r>
      <w:r>
        <w:rPr>
          <w:kern w:val="0"/>
          <w:sz w:val="28"/>
          <w:szCs w:val="28"/>
          <w:lang w:val="zh-CN"/>
        </w:rPr>
        <w:t>和1500万m</w:t>
      </w:r>
      <w:r>
        <w:rPr>
          <w:kern w:val="0"/>
          <w:sz w:val="28"/>
          <w:szCs w:val="28"/>
          <w:vertAlign w:val="superscript"/>
          <w:lang w:val="zh-CN"/>
        </w:rPr>
        <w:t>3</w:t>
      </w:r>
      <w:r>
        <w:rPr>
          <w:rFonts w:hint="eastAsia"/>
          <w:kern w:val="0"/>
          <w:sz w:val="28"/>
          <w:szCs w:val="28"/>
          <w:lang w:val="zh-CN"/>
        </w:rPr>
        <w:t>。</w:t>
      </w:r>
    </w:p>
    <w:p w14:paraId="54C52BE2">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3、可供水量预测</w:t>
      </w:r>
    </w:p>
    <w:p w14:paraId="1D53EBF9">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根据以上各项水源供水预测成果，将各项目供水相加即得平阴县不同规划年总可供水量，详见表2.3.4-9。</w:t>
      </w:r>
    </w:p>
    <w:p w14:paraId="21E1188F">
      <w:pPr>
        <w:tabs>
          <w:tab w:val="left" w:pos="5400"/>
        </w:tabs>
        <w:spacing w:line="600" w:lineRule="exact"/>
        <w:jc w:val="right"/>
        <w:rPr>
          <w:b/>
          <w:sz w:val="24"/>
          <w:vertAlign w:val="superscript"/>
        </w:rPr>
      </w:pPr>
      <w:r>
        <w:rPr>
          <w:b/>
          <w:sz w:val="24"/>
        </w:rPr>
        <w:t>表</w:t>
      </w:r>
      <w:r>
        <w:rPr>
          <w:rFonts w:hint="eastAsia"/>
          <w:b/>
          <w:sz w:val="24"/>
        </w:rPr>
        <w:t>2.3.4-9</w:t>
      </w:r>
      <w:r>
        <w:rPr>
          <w:b/>
          <w:sz w:val="24"/>
        </w:rPr>
        <w:t xml:space="preserve">  平阴县</w:t>
      </w:r>
      <w:r>
        <w:rPr>
          <w:rFonts w:hint="eastAsia"/>
          <w:b/>
          <w:sz w:val="24"/>
        </w:rPr>
        <w:t>不同规划年各水源可供水量</w:t>
      </w:r>
      <w:r>
        <w:rPr>
          <w:b/>
          <w:sz w:val="24"/>
        </w:rPr>
        <w:t>预测成果表</w:t>
      </w:r>
      <w:r>
        <w:rPr>
          <w:rFonts w:hint="eastAsia"/>
          <w:b/>
          <w:sz w:val="24"/>
        </w:rPr>
        <w:t xml:space="preserve">  单位：万m</w:t>
      </w:r>
      <w:r>
        <w:rPr>
          <w:rFonts w:hint="eastAsia"/>
          <w:b/>
          <w:sz w:val="24"/>
          <w:vertAlign w:val="superscript"/>
        </w:rPr>
        <w:t>3</w:t>
      </w:r>
    </w:p>
    <w:tbl>
      <w:tblPr>
        <w:tblStyle w:val="46"/>
        <w:tblW w:w="8780" w:type="dxa"/>
        <w:tblInd w:w="113" w:type="dxa"/>
        <w:tblLayout w:type="autofit"/>
        <w:tblCellMar>
          <w:top w:w="0" w:type="dxa"/>
          <w:left w:w="108" w:type="dxa"/>
          <w:bottom w:w="0" w:type="dxa"/>
          <w:right w:w="108" w:type="dxa"/>
        </w:tblCellMar>
      </w:tblPr>
      <w:tblGrid>
        <w:gridCol w:w="912"/>
        <w:gridCol w:w="960"/>
        <w:gridCol w:w="933"/>
        <w:gridCol w:w="911"/>
        <w:gridCol w:w="1116"/>
        <w:gridCol w:w="1356"/>
        <w:gridCol w:w="1356"/>
        <w:gridCol w:w="1236"/>
      </w:tblGrid>
      <w:tr w14:paraId="4437DF2A">
        <w:tblPrEx>
          <w:tblCellMar>
            <w:top w:w="0" w:type="dxa"/>
            <w:left w:w="108" w:type="dxa"/>
            <w:bottom w:w="0" w:type="dxa"/>
            <w:right w:w="108" w:type="dxa"/>
          </w:tblCellMar>
        </w:tblPrEx>
        <w:trPr>
          <w:trHeight w:val="510" w:hRule="atLeast"/>
        </w:trPr>
        <w:tc>
          <w:tcPr>
            <w:tcW w:w="912" w:type="dxa"/>
            <w:vMerge w:val="restart"/>
            <w:tcBorders>
              <w:top w:val="single" w:color="auto" w:sz="4" w:space="0"/>
              <w:left w:val="single" w:color="auto" w:sz="4" w:space="0"/>
              <w:bottom w:val="single" w:color="auto" w:sz="4" w:space="0"/>
              <w:right w:val="single" w:color="auto" w:sz="4" w:space="0"/>
            </w:tcBorders>
            <w:vAlign w:val="center"/>
          </w:tcPr>
          <w:p w14:paraId="3E51746D">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水平年</w:t>
            </w:r>
          </w:p>
        </w:tc>
        <w:tc>
          <w:tcPr>
            <w:tcW w:w="2804" w:type="dxa"/>
            <w:gridSpan w:val="3"/>
            <w:tcBorders>
              <w:top w:val="single" w:color="auto" w:sz="4" w:space="0"/>
              <w:left w:val="nil"/>
              <w:bottom w:val="single" w:color="auto" w:sz="4" w:space="0"/>
              <w:right w:val="single" w:color="auto" w:sz="4" w:space="0"/>
            </w:tcBorders>
            <w:vAlign w:val="center"/>
          </w:tcPr>
          <w:p w14:paraId="55EC4294">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常规水源可供水量</w:t>
            </w:r>
          </w:p>
        </w:tc>
        <w:tc>
          <w:tcPr>
            <w:tcW w:w="1116" w:type="dxa"/>
            <w:vMerge w:val="restart"/>
            <w:tcBorders>
              <w:top w:val="single" w:color="auto" w:sz="4" w:space="0"/>
              <w:left w:val="single" w:color="auto" w:sz="4" w:space="0"/>
              <w:bottom w:val="single" w:color="auto" w:sz="4" w:space="0"/>
              <w:right w:val="single" w:color="auto" w:sz="4" w:space="0"/>
            </w:tcBorders>
            <w:vAlign w:val="center"/>
          </w:tcPr>
          <w:p w14:paraId="63C2FE75">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非常规水可供水量</w:t>
            </w:r>
          </w:p>
        </w:tc>
        <w:tc>
          <w:tcPr>
            <w:tcW w:w="3948" w:type="dxa"/>
            <w:gridSpan w:val="3"/>
            <w:tcBorders>
              <w:top w:val="single" w:color="auto" w:sz="4" w:space="0"/>
              <w:left w:val="nil"/>
              <w:bottom w:val="single" w:color="auto" w:sz="4" w:space="0"/>
              <w:right w:val="single" w:color="auto" w:sz="4" w:space="0"/>
            </w:tcBorders>
            <w:vAlign w:val="center"/>
          </w:tcPr>
          <w:p w14:paraId="4AA8AE69">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总可供水</w:t>
            </w:r>
          </w:p>
        </w:tc>
      </w:tr>
      <w:tr w14:paraId="0E640F00">
        <w:tblPrEx>
          <w:tblCellMar>
            <w:top w:w="0" w:type="dxa"/>
            <w:left w:w="108" w:type="dxa"/>
            <w:bottom w:w="0" w:type="dxa"/>
            <w:right w:w="108" w:type="dxa"/>
          </w:tblCellMar>
        </w:tblPrEx>
        <w:trPr>
          <w:trHeight w:val="510" w:hRule="atLeast"/>
        </w:trPr>
        <w:tc>
          <w:tcPr>
            <w:tcW w:w="912" w:type="dxa"/>
            <w:vMerge w:val="continue"/>
            <w:tcBorders>
              <w:top w:val="single" w:color="auto" w:sz="4" w:space="0"/>
              <w:left w:val="single" w:color="auto" w:sz="4" w:space="0"/>
              <w:bottom w:val="single" w:color="auto" w:sz="4" w:space="0"/>
              <w:right w:val="single" w:color="auto" w:sz="4" w:space="0"/>
            </w:tcBorders>
            <w:vAlign w:val="center"/>
          </w:tcPr>
          <w:p w14:paraId="2E79331D">
            <w:pPr>
              <w:widowControl/>
              <w:jc w:val="center"/>
              <w:rPr>
                <w:rFonts w:hint="eastAsia" w:ascii="宋体" w:hAnsi="宋体" w:cs="宋体"/>
                <w:color w:val="000000"/>
                <w:kern w:val="0"/>
                <w:sz w:val="22"/>
                <w:szCs w:val="22"/>
              </w:rPr>
            </w:pPr>
          </w:p>
        </w:tc>
        <w:tc>
          <w:tcPr>
            <w:tcW w:w="960" w:type="dxa"/>
            <w:tcBorders>
              <w:top w:val="nil"/>
              <w:left w:val="nil"/>
              <w:bottom w:val="single" w:color="auto" w:sz="4" w:space="0"/>
              <w:right w:val="single" w:color="auto" w:sz="4" w:space="0"/>
            </w:tcBorders>
            <w:vAlign w:val="center"/>
          </w:tcPr>
          <w:p w14:paraId="7AAAA5BD">
            <w:pPr>
              <w:widowControl/>
              <w:jc w:val="center"/>
              <w:rPr>
                <w:rFonts w:eastAsia="等线"/>
                <w:color w:val="000000"/>
                <w:kern w:val="0"/>
                <w:sz w:val="22"/>
                <w:szCs w:val="22"/>
              </w:rPr>
            </w:pPr>
            <w:r>
              <w:rPr>
                <w:rFonts w:eastAsia="等线"/>
                <w:color w:val="000000"/>
                <w:kern w:val="0"/>
                <w:sz w:val="22"/>
                <w:szCs w:val="22"/>
              </w:rPr>
              <w:t>50%</w:t>
            </w:r>
          </w:p>
        </w:tc>
        <w:tc>
          <w:tcPr>
            <w:tcW w:w="933" w:type="dxa"/>
            <w:tcBorders>
              <w:top w:val="nil"/>
              <w:left w:val="nil"/>
              <w:bottom w:val="single" w:color="auto" w:sz="4" w:space="0"/>
              <w:right w:val="single" w:color="auto" w:sz="4" w:space="0"/>
            </w:tcBorders>
            <w:vAlign w:val="center"/>
          </w:tcPr>
          <w:p w14:paraId="7FA54B6D">
            <w:pPr>
              <w:widowControl/>
              <w:jc w:val="center"/>
              <w:rPr>
                <w:rFonts w:eastAsia="等线"/>
                <w:color w:val="000000"/>
                <w:kern w:val="0"/>
                <w:sz w:val="22"/>
                <w:szCs w:val="22"/>
              </w:rPr>
            </w:pPr>
            <w:r>
              <w:rPr>
                <w:rFonts w:eastAsia="等线"/>
                <w:color w:val="000000"/>
                <w:kern w:val="0"/>
                <w:sz w:val="22"/>
                <w:szCs w:val="22"/>
              </w:rPr>
              <w:t>75%</w:t>
            </w:r>
          </w:p>
        </w:tc>
        <w:tc>
          <w:tcPr>
            <w:tcW w:w="911" w:type="dxa"/>
            <w:tcBorders>
              <w:top w:val="nil"/>
              <w:left w:val="nil"/>
              <w:bottom w:val="single" w:color="auto" w:sz="4" w:space="0"/>
              <w:right w:val="single" w:color="auto" w:sz="4" w:space="0"/>
            </w:tcBorders>
            <w:vAlign w:val="center"/>
          </w:tcPr>
          <w:p w14:paraId="034B99E6">
            <w:pPr>
              <w:widowControl/>
              <w:jc w:val="center"/>
              <w:rPr>
                <w:rFonts w:eastAsia="等线"/>
                <w:color w:val="000000"/>
                <w:kern w:val="0"/>
                <w:sz w:val="22"/>
                <w:szCs w:val="22"/>
              </w:rPr>
            </w:pPr>
            <w:r>
              <w:rPr>
                <w:rFonts w:eastAsia="等线"/>
                <w:color w:val="000000"/>
                <w:kern w:val="0"/>
                <w:sz w:val="22"/>
                <w:szCs w:val="22"/>
              </w:rPr>
              <w:t>95%</w:t>
            </w:r>
          </w:p>
        </w:tc>
        <w:tc>
          <w:tcPr>
            <w:tcW w:w="1116" w:type="dxa"/>
            <w:vMerge w:val="continue"/>
            <w:tcBorders>
              <w:top w:val="single" w:color="auto" w:sz="4" w:space="0"/>
              <w:left w:val="single" w:color="auto" w:sz="4" w:space="0"/>
              <w:bottom w:val="single" w:color="auto" w:sz="4" w:space="0"/>
              <w:right w:val="single" w:color="auto" w:sz="4" w:space="0"/>
            </w:tcBorders>
            <w:vAlign w:val="center"/>
          </w:tcPr>
          <w:p w14:paraId="065BC56E">
            <w:pPr>
              <w:widowControl/>
              <w:jc w:val="center"/>
              <w:rPr>
                <w:rFonts w:hint="eastAsia" w:ascii="宋体" w:hAnsi="宋体" w:cs="宋体"/>
                <w:color w:val="000000"/>
                <w:kern w:val="0"/>
                <w:sz w:val="22"/>
                <w:szCs w:val="22"/>
              </w:rPr>
            </w:pPr>
          </w:p>
        </w:tc>
        <w:tc>
          <w:tcPr>
            <w:tcW w:w="1356" w:type="dxa"/>
            <w:tcBorders>
              <w:top w:val="nil"/>
              <w:left w:val="nil"/>
              <w:bottom w:val="single" w:color="auto" w:sz="4" w:space="0"/>
              <w:right w:val="single" w:color="auto" w:sz="4" w:space="0"/>
            </w:tcBorders>
            <w:vAlign w:val="center"/>
          </w:tcPr>
          <w:p w14:paraId="09B1BB46">
            <w:pPr>
              <w:widowControl/>
              <w:jc w:val="center"/>
              <w:rPr>
                <w:rFonts w:eastAsia="等线"/>
                <w:color w:val="000000"/>
                <w:kern w:val="0"/>
                <w:sz w:val="22"/>
                <w:szCs w:val="22"/>
              </w:rPr>
            </w:pPr>
            <w:r>
              <w:rPr>
                <w:rFonts w:eastAsia="等线"/>
                <w:color w:val="000000"/>
                <w:kern w:val="0"/>
                <w:sz w:val="22"/>
                <w:szCs w:val="22"/>
              </w:rPr>
              <w:t>50%</w:t>
            </w:r>
          </w:p>
        </w:tc>
        <w:tc>
          <w:tcPr>
            <w:tcW w:w="1356" w:type="dxa"/>
            <w:tcBorders>
              <w:top w:val="nil"/>
              <w:left w:val="nil"/>
              <w:bottom w:val="single" w:color="auto" w:sz="4" w:space="0"/>
              <w:right w:val="single" w:color="auto" w:sz="4" w:space="0"/>
            </w:tcBorders>
            <w:vAlign w:val="center"/>
          </w:tcPr>
          <w:p w14:paraId="026A1A48">
            <w:pPr>
              <w:widowControl/>
              <w:jc w:val="center"/>
              <w:rPr>
                <w:rFonts w:eastAsia="等线"/>
                <w:color w:val="000000"/>
                <w:kern w:val="0"/>
                <w:sz w:val="22"/>
                <w:szCs w:val="22"/>
              </w:rPr>
            </w:pPr>
            <w:r>
              <w:rPr>
                <w:rFonts w:eastAsia="等线"/>
                <w:color w:val="000000"/>
                <w:kern w:val="0"/>
                <w:sz w:val="22"/>
                <w:szCs w:val="22"/>
              </w:rPr>
              <w:t>75%</w:t>
            </w:r>
          </w:p>
        </w:tc>
        <w:tc>
          <w:tcPr>
            <w:tcW w:w="1236" w:type="dxa"/>
            <w:tcBorders>
              <w:top w:val="nil"/>
              <w:left w:val="nil"/>
              <w:bottom w:val="single" w:color="auto" w:sz="4" w:space="0"/>
              <w:right w:val="single" w:color="auto" w:sz="4" w:space="0"/>
            </w:tcBorders>
            <w:vAlign w:val="center"/>
          </w:tcPr>
          <w:p w14:paraId="3B7EE6AB">
            <w:pPr>
              <w:widowControl/>
              <w:jc w:val="center"/>
              <w:rPr>
                <w:rFonts w:eastAsia="等线"/>
                <w:color w:val="000000"/>
                <w:kern w:val="0"/>
                <w:sz w:val="22"/>
                <w:szCs w:val="22"/>
              </w:rPr>
            </w:pPr>
            <w:r>
              <w:rPr>
                <w:rFonts w:eastAsia="等线"/>
                <w:color w:val="000000"/>
                <w:kern w:val="0"/>
                <w:sz w:val="22"/>
                <w:szCs w:val="22"/>
              </w:rPr>
              <w:t>95%</w:t>
            </w:r>
          </w:p>
        </w:tc>
      </w:tr>
      <w:tr w14:paraId="3440A0AF">
        <w:tblPrEx>
          <w:tblCellMar>
            <w:top w:w="0" w:type="dxa"/>
            <w:left w:w="108" w:type="dxa"/>
            <w:bottom w:w="0" w:type="dxa"/>
            <w:right w:w="108" w:type="dxa"/>
          </w:tblCellMar>
        </w:tblPrEx>
        <w:trPr>
          <w:trHeight w:val="510" w:hRule="atLeast"/>
        </w:trPr>
        <w:tc>
          <w:tcPr>
            <w:tcW w:w="912" w:type="dxa"/>
            <w:tcBorders>
              <w:top w:val="nil"/>
              <w:left w:val="single" w:color="auto" w:sz="4" w:space="0"/>
              <w:bottom w:val="single" w:color="auto" w:sz="4" w:space="0"/>
              <w:right w:val="single" w:color="auto" w:sz="4" w:space="0"/>
            </w:tcBorders>
            <w:vAlign w:val="center"/>
          </w:tcPr>
          <w:p w14:paraId="2FA028E0">
            <w:pPr>
              <w:widowControl/>
              <w:jc w:val="center"/>
              <w:rPr>
                <w:rFonts w:eastAsia="等线"/>
                <w:color w:val="000000"/>
                <w:kern w:val="0"/>
                <w:sz w:val="22"/>
                <w:szCs w:val="22"/>
              </w:rPr>
            </w:pPr>
            <w:r>
              <w:rPr>
                <w:rFonts w:eastAsia="等线"/>
                <w:color w:val="000000"/>
                <w:kern w:val="0"/>
                <w:sz w:val="22"/>
                <w:szCs w:val="22"/>
              </w:rPr>
              <w:t>2023</w:t>
            </w:r>
          </w:p>
        </w:tc>
        <w:tc>
          <w:tcPr>
            <w:tcW w:w="960" w:type="dxa"/>
            <w:tcBorders>
              <w:top w:val="nil"/>
              <w:left w:val="nil"/>
              <w:bottom w:val="single" w:color="auto" w:sz="4" w:space="0"/>
              <w:right w:val="single" w:color="auto" w:sz="4" w:space="0"/>
            </w:tcBorders>
            <w:noWrap/>
            <w:vAlign w:val="center"/>
          </w:tcPr>
          <w:p w14:paraId="2E4CE3DB">
            <w:pPr>
              <w:widowControl/>
              <w:jc w:val="center"/>
              <w:rPr>
                <w:rFonts w:eastAsia="等线"/>
                <w:color w:val="000000"/>
                <w:kern w:val="0"/>
                <w:sz w:val="22"/>
                <w:szCs w:val="22"/>
              </w:rPr>
            </w:pPr>
            <w:r>
              <w:rPr>
                <w:rFonts w:eastAsia="等线"/>
                <w:color w:val="000000"/>
                <w:kern w:val="0"/>
                <w:sz w:val="22"/>
                <w:szCs w:val="22"/>
                <w:lang w:val="zh-CN"/>
              </w:rPr>
              <w:t>10100</w:t>
            </w:r>
          </w:p>
        </w:tc>
        <w:tc>
          <w:tcPr>
            <w:tcW w:w="933" w:type="dxa"/>
            <w:tcBorders>
              <w:top w:val="nil"/>
              <w:left w:val="nil"/>
              <w:bottom w:val="single" w:color="auto" w:sz="4" w:space="0"/>
              <w:right w:val="single" w:color="auto" w:sz="4" w:space="0"/>
            </w:tcBorders>
            <w:vAlign w:val="center"/>
          </w:tcPr>
          <w:p w14:paraId="56CE112A">
            <w:pPr>
              <w:widowControl/>
              <w:jc w:val="center"/>
              <w:rPr>
                <w:rFonts w:eastAsia="等线"/>
                <w:color w:val="000000"/>
                <w:kern w:val="0"/>
                <w:sz w:val="22"/>
                <w:szCs w:val="22"/>
              </w:rPr>
            </w:pPr>
            <w:r>
              <w:rPr>
                <w:rFonts w:eastAsia="等线"/>
                <w:color w:val="000000"/>
                <w:kern w:val="0"/>
                <w:sz w:val="22"/>
                <w:szCs w:val="22"/>
              </w:rPr>
              <w:t>10024</w:t>
            </w:r>
          </w:p>
        </w:tc>
        <w:tc>
          <w:tcPr>
            <w:tcW w:w="911" w:type="dxa"/>
            <w:tcBorders>
              <w:top w:val="nil"/>
              <w:left w:val="nil"/>
              <w:bottom w:val="single" w:color="auto" w:sz="4" w:space="0"/>
              <w:right w:val="single" w:color="auto" w:sz="4" w:space="0"/>
            </w:tcBorders>
            <w:vAlign w:val="center"/>
          </w:tcPr>
          <w:p w14:paraId="3A755279">
            <w:pPr>
              <w:widowControl/>
              <w:jc w:val="center"/>
              <w:rPr>
                <w:rFonts w:eastAsia="等线"/>
                <w:color w:val="000000"/>
                <w:kern w:val="0"/>
                <w:sz w:val="22"/>
                <w:szCs w:val="22"/>
              </w:rPr>
            </w:pPr>
            <w:r>
              <w:rPr>
                <w:rFonts w:eastAsia="等线"/>
                <w:color w:val="000000"/>
                <w:kern w:val="0"/>
                <w:sz w:val="22"/>
                <w:szCs w:val="22"/>
              </w:rPr>
              <w:t>7604</w:t>
            </w:r>
          </w:p>
        </w:tc>
        <w:tc>
          <w:tcPr>
            <w:tcW w:w="1116" w:type="dxa"/>
            <w:tcBorders>
              <w:top w:val="nil"/>
              <w:left w:val="nil"/>
              <w:bottom w:val="single" w:color="auto" w:sz="4" w:space="0"/>
              <w:right w:val="single" w:color="auto" w:sz="4" w:space="0"/>
            </w:tcBorders>
            <w:vAlign w:val="center"/>
          </w:tcPr>
          <w:p w14:paraId="41E9BA1C">
            <w:pPr>
              <w:widowControl/>
              <w:jc w:val="center"/>
              <w:rPr>
                <w:rFonts w:eastAsia="等线"/>
                <w:color w:val="000000"/>
                <w:kern w:val="0"/>
                <w:sz w:val="22"/>
                <w:szCs w:val="22"/>
              </w:rPr>
            </w:pPr>
            <w:r>
              <w:rPr>
                <w:rFonts w:eastAsia="等线"/>
                <w:color w:val="000000"/>
                <w:kern w:val="0"/>
                <w:sz w:val="22"/>
                <w:szCs w:val="22"/>
                <w:lang w:val="zh-CN"/>
              </w:rPr>
              <w:t>864</w:t>
            </w:r>
          </w:p>
        </w:tc>
        <w:tc>
          <w:tcPr>
            <w:tcW w:w="1356" w:type="dxa"/>
            <w:tcBorders>
              <w:top w:val="nil"/>
              <w:left w:val="nil"/>
              <w:bottom w:val="single" w:color="auto" w:sz="4" w:space="0"/>
              <w:right w:val="single" w:color="auto" w:sz="4" w:space="0"/>
            </w:tcBorders>
            <w:vAlign w:val="center"/>
          </w:tcPr>
          <w:p w14:paraId="3E9588F5">
            <w:pPr>
              <w:widowControl/>
              <w:jc w:val="center"/>
              <w:rPr>
                <w:rFonts w:eastAsia="等线"/>
                <w:color w:val="000000"/>
                <w:kern w:val="0"/>
                <w:sz w:val="22"/>
                <w:szCs w:val="22"/>
              </w:rPr>
            </w:pPr>
            <w:r>
              <w:rPr>
                <w:rFonts w:eastAsia="等线"/>
                <w:color w:val="000000"/>
                <w:kern w:val="0"/>
                <w:sz w:val="22"/>
                <w:szCs w:val="22"/>
              </w:rPr>
              <w:t>10964</w:t>
            </w:r>
          </w:p>
        </w:tc>
        <w:tc>
          <w:tcPr>
            <w:tcW w:w="1356" w:type="dxa"/>
            <w:tcBorders>
              <w:top w:val="nil"/>
              <w:left w:val="nil"/>
              <w:bottom w:val="single" w:color="auto" w:sz="4" w:space="0"/>
              <w:right w:val="single" w:color="auto" w:sz="4" w:space="0"/>
            </w:tcBorders>
            <w:vAlign w:val="center"/>
          </w:tcPr>
          <w:p w14:paraId="09B3EF1B">
            <w:pPr>
              <w:widowControl/>
              <w:jc w:val="center"/>
              <w:rPr>
                <w:rFonts w:eastAsia="等线"/>
                <w:color w:val="000000"/>
                <w:kern w:val="0"/>
                <w:sz w:val="22"/>
                <w:szCs w:val="22"/>
              </w:rPr>
            </w:pPr>
            <w:r>
              <w:rPr>
                <w:rFonts w:eastAsia="等线"/>
                <w:color w:val="000000"/>
                <w:kern w:val="0"/>
                <w:sz w:val="22"/>
                <w:szCs w:val="22"/>
              </w:rPr>
              <w:t>10888</w:t>
            </w:r>
          </w:p>
        </w:tc>
        <w:tc>
          <w:tcPr>
            <w:tcW w:w="1236" w:type="dxa"/>
            <w:tcBorders>
              <w:top w:val="nil"/>
              <w:left w:val="nil"/>
              <w:bottom w:val="single" w:color="auto" w:sz="4" w:space="0"/>
              <w:right w:val="single" w:color="auto" w:sz="4" w:space="0"/>
            </w:tcBorders>
            <w:vAlign w:val="center"/>
          </w:tcPr>
          <w:p w14:paraId="56E898F4">
            <w:pPr>
              <w:widowControl/>
              <w:jc w:val="center"/>
              <w:rPr>
                <w:rFonts w:eastAsia="等线"/>
                <w:color w:val="000000"/>
                <w:kern w:val="0"/>
                <w:sz w:val="22"/>
                <w:szCs w:val="22"/>
              </w:rPr>
            </w:pPr>
            <w:r>
              <w:rPr>
                <w:rFonts w:eastAsia="等线"/>
                <w:color w:val="000000"/>
                <w:kern w:val="0"/>
                <w:sz w:val="22"/>
                <w:szCs w:val="22"/>
              </w:rPr>
              <w:t>8468</w:t>
            </w:r>
          </w:p>
        </w:tc>
      </w:tr>
      <w:tr w14:paraId="70148766">
        <w:tblPrEx>
          <w:tblCellMar>
            <w:top w:w="0" w:type="dxa"/>
            <w:left w:w="108" w:type="dxa"/>
            <w:bottom w:w="0" w:type="dxa"/>
            <w:right w:w="108" w:type="dxa"/>
          </w:tblCellMar>
        </w:tblPrEx>
        <w:trPr>
          <w:trHeight w:val="510" w:hRule="atLeast"/>
        </w:trPr>
        <w:tc>
          <w:tcPr>
            <w:tcW w:w="912" w:type="dxa"/>
            <w:tcBorders>
              <w:top w:val="nil"/>
              <w:left w:val="single" w:color="auto" w:sz="4" w:space="0"/>
              <w:bottom w:val="single" w:color="auto" w:sz="4" w:space="0"/>
              <w:right w:val="single" w:color="auto" w:sz="4" w:space="0"/>
            </w:tcBorders>
            <w:vAlign w:val="center"/>
          </w:tcPr>
          <w:p w14:paraId="2E611D76">
            <w:pPr>
              <w:widowControl/>
              <w:jc w:val="center"/>
              <w:rPr>
                <w:rFonts w:eastAsia="等线"/>
                <w:color w:val="000000"/>
                <w:kern w:val="0"/>
                <w:sz w:val="22"/>
                <w:szCs w:val="22"/>
              </w:rPr>
            </w:pPr>
            <w:r>
              <w:rPr>
                <w:rFonts w:eastAsia="等线"/>
                <w:color w:val="000000"/>
                <w:kern w:val="0"/>
                <w:sz w:val="22"/>
                <w:szCs w:val="22"/>
              </w:rPr>
              <w:t>2030</w:t>
            </w:r>
          </w:p>
        </w:tc>
        <w:tc>
          <w:tcPr>
            <w:tcW w:w="960" w:type="dxa"/>
            <w:tcBorders>
              <w:top w:val="nil"/>
              <w:left w:val="nil"/>
              <w:bottom w:val="single" w:color="auto" w:sz="4" w:space="0"/>
              <w:right w:val="single" w:color="auto" w:sz="4" w:space="0"/>
            </w:tcBorders>
            <w:noWrap/>
            <w:vAlign w:val="center"/>
          </w:tcPr>
          <w:p w14:paraId="5EB40112">
            <w:pPr>
              <w:widowControl/>
              <w:jc w:val="center"/>
              <w:rPr>
                <w:rFonts w:eastAsia="等线"/>
                <w:color w:val="000000"/>
                <w:kern w:val="0"/>
                <w:sz w:val="22"/>
                <w:szCs w:val="22"/>
              </w:rPr>
            </w:pPr>
            <w:r>
              <w:rPr>
                <w:rFonts w:eastAsia="等线"/>
                <w:color w:val="000000"/>
                <w:kern w:val="0"/>
                <w:sz w:val="22"/>
                <w:szCs w:val="22"/>
              </w:rPr>
              <w:t>10100</w:t>
            </w:r>
          </w:p>
        </w:tc>
        <w:tc>
          <w:tcPr>
            <w:tcW w:w="933" w:type="dxa"/>
            <w:tcBorders>
              <w:top w:val="nil"/>
              <w:left w:val="nil"/>
              <w:bottom w:val="single" w:color="auto" w:sz="4" w:space="0"/>
              <w:right w:val="single" w:color="auto" w:sz="4" w:space="0"/>
            </w:tcBorders>
            <w:vAlign w:val="center"/>
          </w:tcPr>
          <w:p w14:paraId="3A99FB23">
            <w:pPr>
              <w:widowControl/>
              <w:jc w:val="center"/>
              <w:rPr>
                <w:rFonts w:eastAsia="等线"/>
                <w:color w:val="000000"/>
                <w:kern w:val="0"/>
                <w:sz w:val="22"/>
                <w:szCs w:val="22"/>
              </w:rPr>
            </w:pPr>
            <w:r>
              <w:rPr>
                <w:rFonts w:eastAsia="等线"/>
                <w:color w:val="000000"/>
                <w:kern w:val="0"/>
                <w:sz w:val="22"/>
                <w:szCs w:val="22"/>
              </w:rPr>
              <w:t>10024</w:t>
            </w:r>
          </w:p>
        </w:tc>
        <w:tc>
          <w:tcPr>
            <w:tcW w:w="911" w:type="dxa"/>
            <w:tcBorders>
              <w:top w:val="nil"/>
              <w:left w:val="nil"/>
              <w:bottom w:val="single" w:color="auto" w:sz="4" w:space="0"/>
              <w:right w:val="single" w:color="auto" w:sz="4" w:space="0"/>
            </w:tcBorders>
            <w:vAlign w:val="center"/>
          </w:tcPr>
          <w:p w14:paraId="40444143">
            <w:pPr>
              <w:widowControl/>
              <w:jc w:val="center"/>
              <w:rPr>
                <w:rFonts w:eastAsia="等线"/>
                <w:color w:val="000000"/>
                <w:kern w:val="0"/>
                <w:sz w:val="22"/>
                <w:szCs w:val="22"/>
              </w:rPr>
            </w:pPr>
            <w:r>
              <w:rPr>
                <w:rFonts w:eastAsia="等线"/>
                <w:color w:val="000000"/>
                <w:kern w:val="0"/>
                <w:sz w:val="22"/>
                <w:szCs w:val="22"/>
              </w:rPr>
              <w:t>7604</w:t>
            </w:r>
          </w:p>
        </w:tc>
        <w:tc>
          <w:tcPr>
            <w:tcW w:w="1116" w:type="dxa"/>
            <w:tcBorders>
              <w:top w:val="nil"/>
              <w:left w:val="nil"/>
              <w:bottom w:val="single" w:color="auto" w:sz="4" w:space="0"/>
              <w:right w:val="single" w:color="auto" w:sz="4" w:space="0"/>
            </w:tcBorders>
            <w:vAlign w:val="center"/>
          </w:tcPr>
          <w:p w14:paraId="15886F20">
            <w:pPr>
              <w:widowControl/>
              <w:jc w:val="center"/>
              <w:rPr>
                <w:rFonts w:eastAsia="等线"/>
                <w:color w:val="000000"/>
                <w:kern w:val="0"/>
                <w:sz w:val="22"/>
                <w:szCs w:val="22"/>
              </w:rPr>
            </w:pPr>
            <w:r>
              <w:rPr>
                <w:rFonts w:eastAsia="等线"/>
                <w:color w:val="000000"/>
                <w:kern w:val="0"/>
                <w:sz w:val="22"/>
                <w:szCs w:val="22"/>
              </w:rPr>
              <w:t>1000</w:t>
            </w:r>
          </w:p>
        </w:tc>
        <w:tc>
          <w:tcPr>
            <w:tcW w:w="1356" w:type="dxa"/>
            <w:tcBorders>
              <w:top w:val="nil"/>
              <w:left w:val="nil"/>
              <w:bottom w:val="single" w:color="auto" w:sz="4" w:space="0"/>
              <w:right w:val="single" w:color="auto" w:sz="4" w:space="0"/>
            </w:tcBorders>
            <w:vAlign w:val="center"/>
          </w:tcPr>
          <w:p w14:paraId="2E1BD28D">
            <w:pPr>
              <w:widowControl/>
              <w:jc w:val="center"/>
              <w:rPr>
                <w:rFonts w:eastAsia="等线"/>
                <w:color w:val="000000"/>
                <w:kern w:val="0"/>
                <w:sz w:val="22"/>
                <w:szCs w:val="22"/>
              </w:rPr>
            </w:pPr>
            <w:r>
              <w:rPr>
                <w:rFonts w:eastAsia="等线"/>
                <w:color w:val="000000"/>
                <w:kern w:val="0"/>
                <w:sz w:val="22"/>
                <w:szCs w:val="22"/>
              </w:rPr>
              <w:t>11100</w:t>
            </w:r>
          </w:p>
        </w:tc>
        <w:tc>
          <w:tcPr>
            <w:tcW w:w="1356" w:type="dxa"/>
            <w:tcBorders>
              <w:top w:val="nil"/>
              <w:left w:val="nil"/>
              <w:bottom w:val="single" w:color="auto" w:sz="4" w:space="0"/>
              <w:right w:val="single" w:color="auto" w:sz="4" w:space="0"/>
            </w:tcBorders>
            <w:vAlign w:val="center"/>
          </w:tcPr>
          <w:p w14:paraId="7C694056">
            <w:pPr>
              <w:widowControl/>
              <w:jc w:val="center"/>
              <w:rPr>
                <w:rFonts w:eastAsia="等线"/>
                <w:color w:val="000000"/>
                <w:kern w:val="0"/>
                <w:sz w:val="22"/>
                <w:szCs w:val="22"/>
              </w:rPr>
            </w:pPr>
            <w:r>
              <w:rPr>
                <w:rFonts w:eastAsia="等线"/>
                <w:color w:val="000000"/>
                <w:kern w:val="0"/>
                <w:sz w:val="22"/>
                <w:szCs w:val="22"/>
              </w:rPr>
              <w:t>11024</w:t>
            </w:r>
          </w:p>
        </w:tc>
        <w:tc>
          <w:tcPr>
            <w:tcW w:w="1236" w:type="dxa"/>
            <w:tcBorders>
              <w:top w:val="nil"/>
              <w:left w:val="nil"/>
              <w:bottom w:val="single" w:color="auto" w:sz="4" w:space="0"/>
              <w:right w:val="single" w:color="auto" w:sz="4" w:space="0"/>
            </w:tcBorders>
            <w:vAlign w:val="center"/>
          </w:tcPr>
          <w:p w14:paraId="6CD630A1">
            <w:pPr>
              <w:widowControl/>
              <w:jc w:val="center"/>
              <w:rPr>
                <w:rFonts w:eastAsia="等线"/>
                <w:color w:val="000000"/>
                <w:kern w:val="0"/>
                <w:sz w:val="22"/>
                <w:szCs w:val="22"/>
              </w:rPr>
            </w:pPr>
            <w:r>
              <w:rPr>
                <w:rFonts w:eastAsia="等线"/>
                <w:color w:val="000000"/>
                <w:kern w:val="0"/>
                <w:sz w:val="22"/>
                <w:szCs w:val="22"/>
              </w:rPr>
              <w:t>8604</w:t>
            </w:r>
          </w:p>
        </w:tc>
      </w:tr>
      <w:tr w14:paraId="4F037264">
        <w:tblPrEx>
          <w:tblCellMar>
            <w:top w:w="0" w:type="dxa"/>
            <w:left w:w="108" w:type="dxa"/>
            <w:bottom w:w="0" w:type="dxa"/>
            <w:right w:w="108" w:type="dxa"/>
          </w:tblCellMar>
        </w:tblPrEx>
        <w:trPr>
          <w:trHeight w:val="510" w:hRule="atLeast"/>
        </w:trPr>
        <w:tc>
          <w:tcPr>
            <w:tcW w:w="912" w:type="dxa"/>
            <w:tcBorders>
              <w:top w:val="nil"/>
              <w:left w:val="single" w:color="auto" w:sz="4" w:space="0"/>
              <w:bottom w:val="single" w:color="auto" w:sz="4" w:space="0"/>
              <w:right w:val="single" w:color="auto" w:sz="4" w:space="0"/>
            </w:tcBorders>
            <w:vAlign w:val="center"/>
          </w:tcPr>
          <w:p w14:paraId="5E9B3815">
            <w:pPr>
              <w:widowControl/>
              <w:jc w:val="center"/>
              <w:rPr>
                <w:rFonts w:eastAsia="等线"/>
                <w:color w:val="000000"/>
                <w:kern w:val="0"/>
                <w:sz w:val="22"/>
                <w:szCs w:val="22"/>
              </w:rPr>
            </w:pPr>
            <w:r>
              <w:rPr>
                <w:rFonts w:eastAsia="等线"/>
                <w:color w:val="000000"/>
                <w:kern w:val="0"/>
                <w:sz w:val="22"/>
                <w:szCs w:val="22"/>
              </w:rPr>
              <w:t>2035</w:t>
            </w:r>
          </w:p>
        </w:tc>
        <w:tc>
          <w:tcPr>
            <w:tcW w:w="960" w:type="dxa"/>
            <w:tcBorders>
              <w:top w:val="nil"/>
              <w:left w:val="nil"/>
              <w:bottom w:val="single" w:color="auto" w:sz="4" w:space="0"/>
              <w:right w:val="single" w:color="auto" w:sz="4" w:space="0"/>
            </w:tcBorders>
            <w:noWrap/>
            <w:vAlign w:val="center"/>
          </w:tcPr>
          <w:p w14:paraId="03C36A5B">
            <w:pPr>
              <w:widowControl/>
              <w:jc w:val="center"/>
              <w:rPr>
                <w:rFonts w:eastAsia="等线"/>
                <w:color w:val="000000"/>
                <w:kern w:val="0"/>
                <w:sz w:val="22"/>
                <w:szCs w:val="22"/>
              </w:rPr>
            </w:pPr>
            <w:r>
              <w:rPr>
                <w:rFonts w:eastAsia="等线"/>
                <w:color w:val="000000"/>
                <w:kern w:val="0"/>
                <w:sz w:val="22"/>
                <w:szCs w:val="22"/>
              </w:rPr>
              <w:t>10100</w:t>
            </w:r>
          </w:p>
        </w:tc>
        <w:tc>
          <w:tcPr>
            <w:tcW w:w="933" w:type="dxa"/>
            <w:tcBorders>
              <w:top w:val="nil"/>
              <w:left w:val="nil"/>
              <w:bottom w:val="single" w:color="auto" w:sz="4" w:space="0"/>
              <w:right w:val="single" w:color="auto" w:sz="4" w:space="0"/>
            </w:tcBorders>
            <w:vAlign w:val="center"/>
          </w:tcPr>
          <w:p w14:paraId="7AD3C7AC">
            <w:pPr>
              <w:widowControl/>
              <w:jc w:val="center"/>
              <w:rPr>
                <w:rFonts w:eastAsia="等线"/>
                <w:color w:val="000000"/>
                <w:kern w:val="0"/>
                <w:sz w:val="22"/>
                <w:szCs w:val="22"/>
              </w:rPr>
            </w:pPr>
            <w:r>
              <w:rPr>
                <w:rFonts w:eastAsia="等线"/>
                <w:color w:val="000000"/>
                <w:kern w:val="0"/>
                <w:sz w:val="22"/>
                <w:szCs w:val="22"/>
              </w:rPr>
              <w:t>10024</w:t>
            </w:r>
          </w:p>
        </w:tc>
        <w:tc>
          <w:tcPr>
            <w:tcW w:w="911" w:type="dxa"/>
            <w:tcBorders>
              <w:top w:val="nil"/>
              <w:left w:val="nil"/>
              <w:bottom w:val="single" w:color="auto" w:sz="4" w:space="0"/>
              <w:right w:val="single" w:color="auto" w:sz="4" w:space="0"/>
            </w:tcBorders>
            <w:vAlign w:val="center"/>
          </w:tcPr>
          <w:p w14:paraId="29A00E8B">
            <w:pPr>
              <w:widowControl/>
              <w:jc w:val="center"/>
              <w:rPr>
                <w:rFonts w:eastAsia="等线"/>
                <w:color w:val="000000"/>
                <w:kern w:val="0"/>
                <w:sz w:val="22"/>
                <w:szCs w:val="22"/>
              </w:rPr>
            </w:pPr>
            <w:r>
              <w:rPr>
                <w:rFonts w:eastAsia="等线"/>
                <w:color w:val="000000"/>
                <w:kern w:val="0"/>
                <w:sz w:val="22"/>
                <w:szCs w:val="22"/>
              </w:rPr>
              <w:t>7604</w:t>
            </w:r>
          </w:p>
        </w:tc>
        <w:tc>
          <w:tcPr>
            <w:tcW w:w="1116" w:type="dxa"/>
            <w:tcBorders>
              <w:top w:val="nil"/>
              <w:left w:val="nil"/>
              <w:bottom w:val="single" w:color="auto" w:sz="4" w:space="0"/>
              <w:right w:val="single" w:color="auto" w:sz="4" w:space="0"/>
            </w:tcBorders>
            <w:vAlign w:val="center"/>
          </w:tcPr>
          <w:p w14:paraId="7C5AA41D">
            <w:pPr>
              <w:widowControl/>
              <w:jc w:val="center"/>
              <w:rPr>
                <w:rFonts w:eastAsia="等线"/>
                <w:color w:val="000000"/>
                <w:kern w:val="0"/>
                <w:sz w:val="22"/>
                <w:szCs w:val="22"/>
              </w:rPr>
            </w:pPr>
            <w:r>
              <w:rPr>
                <w:rFonts w:eastAsia="等线"/>
                <w:color w:val="000000"/>
                <w:kern w:val="0"/>
                <w:sz w:val="22"/>
                <w:szCs w:val="22"/>
              </w:rPr>
              <w:t>1500</w:t>
            </w:r>
          </w:p>
        </w:tc>
        <w:tc>
          <w:tcPr>
            <w:tcW w:w="1356" w:type="dxa"/>
            <w:tcBorders>
              <w:top w:val="nil"/>
              <w:left w:val="nil"/>
              <w:bottom w:val="single" w:color="auto" w:sz="4" w:space="0"/>
              <w:right w:val="single" w:color="auto" w:sz="4" w:space="0"/>
            </w:tcBorders>
            <w:vAlign w:val="center"/>
          </w:tcPr>
          <w:p w14:paraId="3C56E086">
            <w:pPr>
              <w:widowControl/>
              <w:jc w:val="center"/>
              <w:rPr>
                <w:rFonts w:eastAsia="等线"/>
                <w:color w:val="000000"/>
                <w:kern w:val="0"/>
                <w:sz w:val="22"/>
                <w:szCs w:val="22"/>
              </w:rPr>
            </w:pPr>
            <w:r>
              <w:rPr>
                <w:rFonts w:eastAsia="等线"/>
                <w:color w:val="000000"/>
                <w:kern w:val="0"/>
                <w:sz w:val="22"/>
                <w:szCs w:val="22"/>
              </w:rPr>
              <w:t>11600</w:t>
            </w:r>
          </w:p>
        </w:tc>
        <w:tc>
          <w:tcPr>
            <w:tcW w:w="1356" w:type="dxa"/>
            <w:tcBorders>
              <w:top w:val="nil"/>
              <w:left w:val="nil"/>
              <w:bottom w:val="single" w:color="auto" w:sz="4" w:space="0"/>
              <w:right w:val="single" w:color="auto" w:sz="4" w:space="0"/>
            </w:tcBorders>
            <w:vAlign w:val="center"/>
          </w:tcPr>
          <w:p w14:paraId="6BF05569">
            <w:pPr>
              <w:widowControl/>
              <w:jc w:val="center"/>
              <w:rPr>
                <w:rFonts w:eastAsia="等线"/>
                <w:color w:val="000000"/>
                <w:kern w:val="0"/>
                <w:sz w:val="22"/>
                <w:szCs w:val="22"/>
              </w:rPr>
            </w:pPr>
            <w:r>
              <w:rPr>
                <w:rFonts w:eastAsia="等线"/>
                <w:color w:val="000000"/>
                <w:kern w:val="0"/>
                <w:sz w:val="22"/>
                <w:szCs w:val="22"/>
              </w:rPr>
              <w:t>11524</w:t>
            </w:r>
          </w:p>
        </w:tc>
        <w:tc>
          <w:tcPr>
            <w:tcW w:w="1236" w:type="dxa"/>
            <w:tcBorders>
              <w:top w:val="nil"/>
              <w:left w:val="nil"/>
              <w:bottom w:val="single" w:color="auto" w:sz="4" w:space="0"/>
              <w:right w:val="single" w:color="auto" w:sz="4" w:space="0"/>
            </w:tcBorders>
            <w:vAlign w:val="center"/>
          </w:tcPr>
          <w:p w14:paraId="7E098A16">
            <w:pPr>
              <w:widowControl/>
              <w:jc w:val="center"/>
              <w:rPr>
                <w:rFonts w:eastAsia="等线"/>
                <w:color w:val="000000"/>
                <w:kern w:val="0"/>
                <w:sz w:val="22"/>
                <w:szCs w:val="22"/>
              </w:rPr>
            </w:pPr>
            <w:r>
              <w:rPr>
                <w:rFonts w:eastAsia="等线"/>
                <w:color w:val="000000"/>
                <w:kern w:val="0"/>
                <w:sz w:val="22"/>
                <w:szCs w:val="22"/>
              </w:rPr>
              <w:t>9104</w:t>
            </w:r>
          </w:p>
        </w:tc>
      </w:tr>
    </w:tbl>
    <w:p w14:paraId="24866719">
      <w:pPr>
        <w:autoSpaceDE w:val="0"/>
        <w:autoSpaceDN w:val="0"/>
        <w:spacing w:line="600" w:lineRule="exact"/>
        <w:ind w:firstLine="560" w:firstLineChars="200"/>
        <w:textAlignment w:val="baseline"/>
        <w:rPr>
          <w:kern w:val="0"/>
          <w:sz w:val="28"/>
          <w:szCs w:val="28"/>
          <w:lang w:val="zh-CN"/>
        </w:rPr>
      </w:pPr>
      <w:r>
        <w:rPr>
          <w:kern w:val="0"/>
          <w:sz w:val="28"/>
          <w:szCs w:val="28"/>
          <w:lang w:val="zh-CN"/>
        </w:rPr>
        <w:t>由</w:t>
      </w:r>
      <w:r>
        <w:rPr>
          <w:rFonts w:hint="eastAsia"/>
          <w:kern w:val="0"/>
          <w:sz w:val="28"/>
          <w:szCs w:val="28"/>
          <w:lang w:val="zh-CN"/>
        </w:rPr>
        <w:t>表2.3.4-9</w:t>
      </w:r>
      <w:r>
        <w:rPr>
          <w:kern w:val="0"/>
          <w:sz w:val="28"/>
          <w:szCs w:val="28"/>
          <w:lang w:val="zh-CN"/>
        </w:rPr>
        <w:t>可知，</w:t>
      </w:r>
      <w:r>
        <w:rPr>
          <w:rFonts w:hint="eastAsia"/>
          <w:kern w:val="0"/>
          <w:sz w:val="28"/>
          <w:szCs w:val="28"/>
          <w:lang w:val="zh-CN"/>
        </w:rPr>
        <w:t>2</w:t>
      </w:r>
      <w:r>
        <w:rPr>
          <w:kern w:val="0"/>
          <w:sz w:val="28"/>
          <w:szCs w:val="28"/>
          <w:lang w:val="zh-CN"/>
        </w:rPr>
        <w:t>02</w:t>
      </w:r>
      <w:r>
        <w:rPr>
          <w:rFonts w:hint="eastAsia"/>
          <w:kern w:val="0"/>
          <w:sz w:val="28"/>
          <w:szCs w:val="28"/>
          <w:lang w:val="zh-CN"/>
        </w:rPr>
        <w:t>3</w:t>
      </w:r>
      <w:r>
        <w:rPr>
          <w:kern w:val="0"/>
          <w:sz w:val="28"/>
          <w:szCs w:val="28"/>
          <w:lang w:val="zh-CN"/>
        </w:rPr>
        <w:t>年</w:t>
      </w:r>
      <w:r>
        <w:rPr>
          <w:rFonts w:hint="eastAsia"/>
          <w:sz w:val="28"/>
          <w:szCs w:val="28"/>
        </w:rPr>
        <w:t>平阴</w:t>
      </w:r>
      <w:r>
        <w:rPr>
          <w:rFonts w:hint="eastAsia"/>
          <w:kern w:val="0"/>
          <w:sz w:val="28"/>
          <w:szCs w:val="28"/>
          <w:lang w:val="zh-CN"/>
        </w:rPr>
        <w:t>县</w:t>
      </w:r>
      <w:r>
        <w:rPr>
          <w:kern w:val="0"/>
          <w:sz w:val="28"/>
          <w:szCs w:val="28"/>
          <w:lang w:val="zh-CN"/>
        </w:rPr>
        <w:t>50%、75%、95%保证率可供水量分别为10964万m</w:t>
      </w:r>
      <w:r>
        <w:rPr>
          <w:kern w:val="0"/>
          <w:sz w:val="28"/>
          <w:szCs w:val="28"/>
          <w:vertAlign w:val="superscript"/>
          <w:lang w:val="zh-CN"/>
        </w:rPr>
        <w:t>3</w:t>
      </w:r>
      <w:r>
        <w:rPr>
          <w:kern w:val="0"/>
          <w:sz w:val="28"/>
          <w:szCs w:val="28"/>
          <w:lang w:val="zh-CN"/>
        </w:rPr>
        <w:t>、10888万m</w:t>
      </w:r>
      <w:r>
        <w:rPr>
          <w:kern w:val="0"/>
          <w:sz w:val="28"/>
          <w:szCs w:val="28"/>
          <w:vertAlign w:val="superscript"/>
          <w:lang w:val="zh-CN"/>
        </w:rPr>
        <w:t>3</w:t>
      </w:r>
      <w:r>
        <w:rPr>
          <w:kern w:val="0"/>
          <w:sz w:val="28"/>
          <w:szCs w:val="28"/>
          <w:lang w:val="zh-CN"/>
        </w:rPr>
        <w:t>、8468万m</w:t>
      </w:r>
      <w:r>
        <w:rPr>
          <w:kern w:val="0"/>
          <w:sz w:val="28"/>
          <w:szCs w:val="28"/>
          <w:vertAlign w:val="superscript"/>
          <w:lang w:val="zh-CN"/>
        </w:rPr>
        <w:t>3</w:t>
      </w:r>
      <w:r>
        <w:rPr>
          <w:rFonts w:hint="eastAsia"/>
          <w:kern w:val="0"/>
          <w:sz w:val="28"/>
          <w:szCs w:val="28"/>
          <w:lang w:val="zh-CN"/>
        </w:rPr>
        <w:t>，2</w:t>
      </w:r>
      <w:r>
        <w:rPr>
          <w:kern w:val="0"/>
          <w:sz w:val="28"/>
          <w:szCs w:val="28"/>
          <w:lang w:val="zh-CN"/>
        </w:rPr>
        <w:t>0</w:t>
      </w:r>
      <w:r>
        <w:rPr>
          <w:rFonts w:hint="eastAsia"/>
          <w:kern w:val="0"/>
          <w:sz w:val="28"/>
          <w:szCs w:val="28"/>
          <w:lang w:val="zh-CN"/>
        </w:rPr>
        <w:t>30</w:t>
      </w:r>
      <w:r>
        <w:rPr>
          <w:kern w:val="0"/>
          <w:sz w:val="28"/>
          <w:szCs w:val="28"/>
          <w:lang w:val="zh-CN"/>
        </w:rPr>
        <w:t>年</w:t>
      </w:r>
      <w:r>
        <w:rPr>
          <w:rFonts w:hint="eastAsia"/>
          <w:sz w:val="28"/>
          <w:szCs w:val="28"/>
        </w:rPr>
        <w:t>平阴</w:t>
      </w:r>
      <w:r>
        <w:rPr>
          <w:rFonts w:hint="eastAsia"/>
          <w:kern w:val="0"/>
          <w:sz w:val="28"/>
          <w:szCs w:val="28"/>
          <w:lang w:val="zh-CN"/>
        </w:rPr>
        <w:t>县</w:t>
      </w:r>
      <w:r>
        <w:rPr>
          <w:kern w:val="0"/>
          <w:sz w:val="28"/>
          <w:szCs w:val="28"/>
          <w:lang w:val="zh-CN"/>
        </w:rPr>
        <w:t>50%、75%、95%保证率可供水量分别为11100万m</w:t>
      </w:r>
      <w:r>
        <w:rPr>
          <w:kern w:val="0"/>
          <w:sz w:val="28"/>
          <w:szCs w:val="28"/>
          <w:vertAlign w:val="superscript"/>
          <w:lang w:val="zh-CN"/>
        </w:rPr>
        <w:t>3</w:t>
      </w:r>
      <w:r>
        <w:rPr>
          <w:rFonts w:hint="eastAsia"/>
          <w:kern w:val="0"/>
          <w:sz w:val="28"/>
          <w:szCs w:val="28"/>
          <w:lang w:val="zh-CN"/>
        </w:rPr>
        <w:t>、</w:t>
      </w:r>
      <w:r>
        <w:rPr>
          <w:kern w:val="0"/>
          <w:sz w:val="28"/>
          <w:szCs w:val="28"/>
          <w:lang w:val="zh-CN"/>
        </w:rPr>
        <w:t>11024万m</w:t>
      </w:r>
      <w:r>
        <w:rPr>
          <w:kern w:val="0"/>
          <w:sz w:val="28"/>
          <w:szCs w:val="28"/>
          <w:vertAlign w:val="superscript"/>
          <w:lang w:val="zh-CN"/>
        </w:rPr>
        <w:t>3</w:t>
      </w:r>
      <w:r>
        <w:rPr>
          <w:rFonts w:hint="eastAsia"/>
          <w:kern w:val="0"/>
          <w:sz w:val="28"/>
          <w:szCs w:val="28"/>
          <w:lang w:val="zh-CN"/>
        </w:rPr>
        <w:t>、</w:t>
      </w:r>
      <w:r>
        <w:rPr>
          <w:kern w:val="0"/>
          <w:sz w:val="28"/>
          <w:szCs w:val="28"/>
          <w:lang w:val="zh-CN"/>
        </w:rPr>
        <w:t>8604万m</w:t>
      </w:r>
      <w:r>
        <w:rPr>
          <w:kern w:val="0"/>
          <w:sz w:val="28"/>
          <w:szCs w:val="28"/>
          <w:vertAlign w:val="superscript"/>
          <w:lang w:val="zh-CN"/>
        </w:rPr>
        <w:t>3</w:t>
      </w:r>
      <w:r>
        <w:rPr>
          <w:rFonts w:hint="eastAsia"/>
          <w:kern w:val="0"/>
          <w:sz w:val="28"/>
          <w:szCs w:val="28"/>
          <w:lang w:val="zh-CN"/>
        </w:rPr>
        <w:t>，2</w:t>
      </w:r>
      <w:r>
        <w:rPr>
          <w:kern w:val="0"/>
          <w:sz w:val="28"/>
          <w:szCs w:val="28"/>
          <w:lang w:val="zh-CN"/>
        </w:rPr>
        <w:t>035年</w:t>
      </w:r>
      <w:r>
        <w:rPr>
          <w:rFonts w:hint="eastAsia"/>
          <w:sz w:val="28"/>
          <w:szCs w:val="28"/>
        </w:rPr>
        <w:t>平阴</w:t>
      </w:r>
      <w:r>
        <w:rPr>
          <w:rFonts w:hint="eastAsia"/>
          <w:kern w:val="0"/>
          <w:sz w:val="28"/>
          <w:szCs w:val="28"/>
          <w:lang w:val="zh-CN"/>
        </w:rPr>
        <w:t>县</w:t>
      </w:r>
      <w:r>
        <w:rPr>
          <w:kern w:val="0"/>
          <w:sz w:val="28"/>
          <w:szCs w:val="28"/>
          <w:lang w:val="zh-CN"/>
        </w:rPr>
        <w:t>50%、75%、95%保证率可供水量分别为11600万m</w:t>
      </w:r>
      <w:r>
        <w:rPr>
          <w:kern w:val="0"/>
          <w:sz w:val="28"/>
          <w:szCs w:val="28"/>
          <w:vertAlign w:val="superscript"/>
          <w:lang w:val="zh-CN"/>
        </w:rPr>
        <w:t>3</w:t>
      </w:r>
      <w:r>
        <w:rPr>
          <w:rFonts w:hint="eastAsia"/>
          <w:kern w:val="0"/>
          <w:sz w:val="28"/>
          <w:szCs w:val="28"/>
          <w:lang w:val="zh-CN"/>
        </w:rPr>
        <w:t>、</w:t>
      </w:r>
      <w:r>
        <w:rPr>
          <w:kern w:val="0"/>
          <w:sz w:val="28"/>
          <w:szCs w:val="28"/>
          <w:lang w:val="zh-CN"/>
        </w:rPr>
        <w:t>11524万m</w:t>
      </w:r>
      <w:r>
        <w:rPr>
          <w:kern w:val="0"/>
          <w:sz w:val="28"/>
          <w:szCs w:val="28"/>
          <w:vertAlign w:val="superscript"/>
          <w:lang w:val="zh-CN"/>
        </w:rPr>
        <w:t>3</w:t>
      </w:r>
      <w:r>
        <w:rPr>
          <w:rFonts w:hint="eastAsia"/>
          <w:kern w:val="0"/>
          <w:sz w:val="28"/>
          <w:szCs w:val="28"/>
          <w:lang w:val="zh-CN"/>
        </w:rPr>
        <w:t>、</w:t>
      </w:r>
      <w:r>
        <w:rPr>
          <w:kern w:val="0"/>
          <w:sz w:val="28"/>
          <w:szCs w:val="28"/>
          <w:lang w:val="zh-CN"/>
        </w:rPr>
        <w:t>9104万m</w:t>
      </w:r>
      <w:r>
        <w:rPr>
          <w:kern w:val="0"/>
          <w:sz w:val="28"/>
          <w:szCs w:val="28"/>
          <w:vertAlign w:val="superscript"/>
          <w:lang w:val="zh-CN"/>
        </w:rPr>
        <w:t>3</w:t>
      </w:r>
      <w:r>
        <w:rPr>
          <w:rFonts w:hint="eastAsia"/>
          <w:kern w:val="0"/>
          <w:sz w:val="28"/>
          <w:szCs w:val="28"/>
          <w:lang w:val="zh-CN"/>
        </w:rPr>
        <w:t>。</w:t>
      </w:r>
    </w:p>
    <w:p w14:paraId="5E2939C3">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三、水资源供需平衡分析</w:t>
      </w:r>
    </w:p>
    <w:p w14:paraId="3A835DC0">
      <w:pPr>
        <w:tabs>
          <w:tab w:val="left" w:pos="5400"/>
        </w:tabs>
        <w:spacing w:line="600" w:lineRule="exact"/>
        <w:ind w:firstLine="560" w:firstLineChars="200"/>
        <w:rPr>
          <w:color w:val="000000" w:themeColor="text1"/>
          <w:sz w:val="28"/>
          <w:szCs w:val="28"/>
          <w:lang w:val="zh-CN"/>
        </w:rPr>
      </w:pPr>
      <w:r>
        <w:rPr>
          <w:rFonts w:hint="eastAsia"/>
          <w:color w:val="000000" w:themeColor="text1"/>
          <w:sz w:val="28"/>
          <w:szCs w:val="28"/>
          <w:lang w:val="zh-CN"/>
        </w:rPr>
        <w:t>依据上述平阴县不同水平年可供水量和需水量预测结果，对平阴县水资源供需平衡进行分析计算，分析结果详见表2.3.4-10。</w:t>
      </w:r>
    </w:p>
    <w:p w14:paraId="5FBFE2DB">
      <w:pPr>
        <w:autoSpaceDE w:val="0"/>
        <w:autoSpaceDN w:val="0"/>
        <w:spacing w:line="600" w:lineRule="exact"/>
        <w:ind w:firstLine="560" w:firstLineChars="200"/>
        <w:textAlignment w:val="baseline"/>
        <w:rPr>
          <w:kern w:val="0"/>
          <w:sz w:val="28"/>
          <w:szCs w:val="28"/>
          <w:lang w:val="zh-CN"/>
        </w:rPr>
      </w:pPr>
      <w:r>
        <w:rPr>
          <w:rFonts w:hint="eastAsia"/>
          <w:kern w:val="0"/>
          <w:sz w:val="28"/>
          <w:szCs w:val="28"/>
          <w:lang w:val="zh-CN"/>
        </w:rPr>
        <w:t>由</w:t>
      </w:r>
      <w:r>
        <w:rPr>
          <w:kern w:val="0"/>
          <w:sz w:val="28"/>
          <w:szCs w:val="28"/>
          <w:lang w:val="zh-CN"/>
        </w:rPr>
        <w:t>表</w:t>
      </w:r>
      <w:r>
        <w:rPr>
          <w:rFonts w:hint="eastAsia"/>
          <w:kern w:val="0"/>
          <w:sz w:val="28"/>
          <w:szCs w:val="28"/>
          <w:lang w:val="zh-CN"/>
        </w:rPr>
        <w:t>2.3.4-10</w:t>
      </w:r>
      <w:r>
        <w:rPr>
          <w:kern w:val="0"/>
          <w:sz w:val="28"/>
          <w:szCs w:val="28"/>
          <w:lang w:val="zh-CN"/>
        </w:rPr>
        <w:t>可知，</w:t>
      </w:r>
      <w:r>
        <w:rPr>
          <w:rFonts w:hint="eastAsia"/>
          <w:kern w:val="0"/>
          <w:sz w:val="28"/>
          <w:szCs w:val="28"/>
          <w:lang w:val="zh-CN"/>
        </w:rPr>
        <w:t>在2030年，当保证率为50%时平阴县水资源供水量基本满足全县用水需求，但是在75%（95%）时，平阴县缺水量分别为1457.8</w:t>
      </w:r>
      <w:r>
        <w:rPr>
          <w:kern w:val="0"/>
          <w:sz w:val="28"/>
          <w:szCs w:val="28"/>
          <w:lang w:val="zh-CN"/>
        </w:rPr>
        <w:t>万m</w:t>
      </w:r>
      <w:r>
        <w:rPr>
          <w:kern w:val="0"/>
          <w:sz w:val="28"/>
          <w:szCs w:val="28"/>
          <w:vertAlign w:val="superscript"/>
          <w:lang w:val="zh-CN"/>
        </w:rPr>
        <w:t>3</w:t>
      </w:r>
      <w:r>
        <w:rPr>
          <w:rFonts w:hint="eastAsia"/>
          <w:kern w:val="0"/>
          <w:sz w:val="28"/>
          <w:szCs w:val="28"/>
          <w:lang w:val="zh-CN"/>
        </w:rPr>
        <w:t>和3877.8</w:t>
      </w:r>
      <w:r>
        <w:rPr>
          <w:kern w:val="0"/>
          <w:sz w:val="28"/>
          <w:szCs w:val="28"/>
          <w:lang w:val="zh-CN"/>
        </w:rPr>
        <w:t>万m</w:t>
      </w:r>
      <w:r>
        <w:rPr>
          <w:kern w:val="0"/>
          <w:sz w:val="28"/>
          <w:szCs w:val="28"/>
          <w:vertAlign w:val="superscript"/>
          <w:lang w:val="zh-CN"/>
        </w:rPr>
        <w:t>3</w:t>
      </w:r>
      <w:r>
        <w:rPr>
          <w:rFonts w:hint="eastAsia"/>
          <w:kern w:val="0"/>
          <w:sz w:val="28"/>
          <w:szCs w:val="28"/>
          <w:lang w:val="zh-CN"/>
        </w:rPr>
        <w:t>，缺水率分别为11.68%和31.07%；在2035年，在50%、75%（95%）时平阴县水资源供水量尚不能满足全县用水需求，缺水量分别为489.7</w:t>
      </w:r>
      <w:r>
        <w:rPr>
          <w:kern w:val="0"/>
          <w:sz w:val="28"/>
          <w:szCs w:val="28"/>
          <w:lang w:val="zh-CN"/>
        </w:rPr>
        <w:t>万m</w:t>
      </w:r>
      <w:r>
        <w:rPr>
          <w:kern w:val="0"/>
          <w:sz w:val="28"/>
          <w:szCs w:val="28"/>
          <w:vertAlign w:val="superscript"/>
          <w:lang w:val="zh-CN"/>
        </w:rPr>
        <w:t>3</w:t>
      </w:r>
      <w:r>
        <w:rPr>
          <w:rFonts w:hint="eastAsia"/>
          <w:kern w:val="0"/>
          <w:sz w:val="28"/>
          <w:szCs w:val="28"/>
          <w:lang w:val="zh-CN"/>
        </w:rPr>
        <w:t>、1795.5</w:t>
      </w:r>
      <w:r>
        <w:rPr>
          <w:kern w:val="0"/>
          <w:sz w:val="28"/>
          <w:szCs w:val="28"/>
          <w:lang w:val="zh-CN"/>
        </w:rPr>
        <w:t>万m</w:t>
      </w:r>
      <w:r>
        <w:rPr>
          <w:kern w:val="0"/>
          <w:sz w:val="28"/>
          <w:szCs w:val="28"/>
          <w:vertAlign w:val="superscript"/>
          <w:lang w:val="zh-CN"/>
        </w:rPr>
        <w:t>3</w:t>
      </w:r>
      <w:r>
        <w:rPr>
          <w:rFonts w:hint="eastAsia"/>
          <w:kern w:val="0"/>
          <w:sz w:val="28"/>
          <w:szCs w:val="28"/>
          <w:lang w:val="zh-CN"/>
        </w:rPr>
        <w:t>和4215.5</w:t>
      </w:r>
      <w:r>
        <w:rPr>
          <w:kern w:val="0"/>
          <w:sz w:val="28"/>
          <w:szCs w:val="28"/>
          <w:lang w:val="zh-CN"/>
        </w:rPr>
        <w:t>万m</w:t>
      </w:r>
      <w:r>
        <w:rPr>
          <w:kern w:val="0"/>
          <w:sz w:val="28"/>
          <w:szCs w:val="28"/>
          <w:vertAlign w:val="superscript"/>
          <w:lang w:val="zh-CN"/>
        </w:rPr>
        <w:t>3</w:t>
      </w:r>
      <w:r>
        <w:rPr>
          <w:rFonts w:hint="eastAsia"/>
          <w:kern w:val="0"/>
          <w:sz w:val="28"/>
          <w:szCs w:val="28"/>
          <w:lang w:val="zh-CN"/>
        </w:rPr>
        <w:t>，缺水率分别为4.05%、13.48%和31.65%。</w:t>
      </w:r>
    </w:p>
    <w:p w14:paraId="183D36EB">
      <w:pPr>
        <w:tabs>
          <w:tab w:val="left" w:pos="5400"/>
        </w:tabs>
        <w:spacing w:line="600" w:lineRule="exact"/>
        <w:jc w:val="center"/>
        <w:rPr>
          <w:b/>
          <w:sz w:val="24"/>
        </w:rPr>
      </w:pPr>
      <w:r>
        <w:rPr>
          <w:b/>
          <w:sz w:val="24"/>
        </w:rPr>
        <w:t>表</w:t>
      </w:r>
      <w:r>
        <w:rPr>
          <w:rFonts w:hint="eastAsia"/>
          <w:b/>
          <w:sz w:val="24"/>
        </w:rPr>
        <w:t>2.3.4-10</w:t>
      </w:r>
      <w:r>
        <w:rPr>
          <w:b/>
          <w:sz w:val="24"/>
        </w:rPr>
        <w:t xml:space="preserve">  平阴县</w:t>
      </w:r>
      <w:r>
        <w:rPr>
          <w:rFonts w:hint="eastAsia"/>
          <w:b/>
          <w:sz w:val="24"/>
        </w:rPr>
        <w:t>不同规划年水资源供需平衡分析成果表</w:t>
      </w:r>
    </w:p>
    <w:tbl>
      <w:tblPr>
        <w:tblStyle w:val="46"/>
        <w:tblW w:w="5000" w:type="pct"/>
        <w:tblInd w:w="0" w:type="dxa"/>
        <w:tblLayout w:type="autofit"/>
        <w:tblCellMar>
          <w:top w:w="0" w:type="dxa"/>
          <w:left w:w="108" w:type="dxa"/>
          <w:bottom w:w="0" w:type="dxa"/>
          <w:right w:w="108" w:type="dxa"/>
        </w:tblCellMar>
      </w:tblPr>
      <w:tblGrid>
        <w:gridCol w:w="1951"/>
        <w:gridCol w:w="1418"/>
        <w:gridCol w:w="1906"/>
        <w:gridCol w:w="1623"/>
        <w:gridCol w:w="1624"/>
      </w:tblGrid>
      <w:tr w14:paraId="094D221E">
        <w:tblPrEx>
          <w:tblCellMar>
            <w:top w:w="0" w:type="dxa"/>
            <w:left w:w="108" w:type="dxa"/>
            <w:bottom w:w="0" w:type="dxa"/>
            <w:right w:w="108" w:type="dxa"/>
          </w:tblCellMar>
        </w:tblPrEx>
        <w:trPr>
          <w:trHeight w:val="454" w:hRule="atLeast"/>
        </w:trPr>
        <w:tc>
          <w:tcPr>
            <w:tcW w:w="1145" w:type="pct"/>
            <w:vMerge w:val="restart"/>
            <w:tcBorders>
              <w:top w:val="single" w:color="auto" w:sz="4" w:space="0"/>
              <w:left w:val="single" w:color="auto" w:sz="4" w:space="0"/>
              <w:bottom w:val="single" w:color="auto" w:sz="4" w:space="0"/>
              <w:right w:val="single" w:color="auto" w:sz="4" w:space="0"/>
            </w:tcBorders>
            <w:vAlign w:val="center"/>
          </w:tcPr>
          <w:p w14:paraId="75EADAA5">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项目</w:t>
            </w:r>
          </w:p>
        </w:tc>
        <w:tc>
          <w:tcPr>
            <w:tcW w:w="832" w:type="pct"/>
            <w:vMerge w:val="restart"/>
            <w:tcBorders>
              <w:top w:val="single" w:color="auto" w:sz="4" w:space="0"/>
              <w:left w:val="single" w:color="auto" w:sz="4" w:space="0"/>
              <w:bottom w:val="single" w:color="auto" w:sz="4" w:space="0"/>
              <w:right w:val="single" w:color="auto" w:sz="4" w:space="0"/>
            </w:tcBorders>
            <w:vAlign w:val="center"/>
          </w:tcPr>
          <w:p w14:paraId="4DD2F4D6">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不同保证率</w:t>
            </w:r>
          </w:p>
        </w:tc>
        <w:tc>
          <w:tcPr>
            <w:tcW w:w="3023" w:type="pct"/>
            <w:gridSpan w:val="3"/>
            <w:tcBorders>
              <w:top w:val="single" w:color="auto" w:sz="4" w:space="0"/>
              <w:left w:val="nil"/>
              <w:bottom w:val="single" w:color="auto" w:sz="4" w:space="0"/>
              <w:right w:val="single" w:color="auto" w:sz="4" w:space="0"/>
            </w:tcBorders>
            <w:vAlign w:val="center"/>
          </w:tcPr>
          <w:p w14:paraId="31078A30">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不同水平年</w:t>
            </w:r>
          </w:p>
        </w:tc>
      </w:tr>
      <w:tr w14:paraId="3FF54D2A">
        <w:tblPrEx>
          <w:tblCellMar>
            <w:top w:w="0" w:type="dxa"/>
            <w:left w:w="108" w:type="dxa"/>
            <w:bottom w:w="0" w:type="dxa"/>
            <w:right w:w="108" w:type="dxa"/>
          </w:tblCellMar>
        </w:tblPrEx>
        <w:trPr>
          <w:trHeight w:val="454" w:hRule="atLeast"/>
        </w:trPr>
        <w:tc>
          <w:tcPr>
            <w:tcW w:w="1145" w:type="pct"/>
            <w:vMerge w:val="continue"/>
            <w:tcBorders>
              <w:top w:val="single" w:color="auto" w:sz="4" w:space="0"/>
              <w:left w:val="single" w:color="auto" w:sz="4" w:space="0"/>
              <w:bottom w:val="single" w:color="auto" w:sz="4" w:space="0"/>
              <w:right w:val="single" w:color="auto" w:sz="4" w:space="0"/>
            </w:tcBorders>
            <w:vAlign w:val="center"/>
          </w:tcPr>
          <w:p w14:paraId="6F2281BB">
            <w:pPr>
              <w:widowControl/>
              <w:jc w:val="left"/>
              <w:rPr>
                <w:rFonts w:hint="eastAsia" w:ascii="宋体" w:hAnsi="宋体" w:cs="宋体"/>
                <w:color w:val="000000"/>
                <w:kern w:val="0"/>
                <w:sz w:val="22"/>
                <w:szCs w:val="22"/>
              </w:rPr>
            </w:pP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19D7E2EA">
            <w:pPr>
              <w:widowControl/>
              <w:jc w:val="left"/>
              <w:rPr>
                <w:rFonts w:hint="eastAsia" w:ascii="宋体" w:hAnsi="宋体" w:cs="宋体"/>
                <w:color w:val="000000"/>
                <w:kern w:val="0"/>
                <w:sz w:val="22"/>
                <w:szCs w:val="22"/>
              </w:rPr>
            </w:pPr>
          </w:p>
        </w:tc>
        <w:tc>
          <w:tcPr>
            <w:tcW w:w="1118" w:type="pct"/>
            <w:tcBorders>
              <w:top w:val="nil"/>
              <w:left w:val="nil"/>
              <w:bottom w:val="single" w:color="auto" w:sz="4" w:space="0"/>
              <w:right w:val="single" w:color="auto" w:sz="4" w:space="0"/>
            </w:tcBorders>
            <w:vAlign w:val="center"/>
          </w:tcPr>
          <w:p w14:paraId="0A28E7C7">
            <w:pPr>
              <w:widowControl/>
              <w:jc w:val="center"/>
              <w:rPr>
                <w:rFonts w:eastAsia="等线"/>
                <w:color w:val="000000"/>
                <w:kern w:val="0"/>
                <w:sz w:val="22"/>
                <w:szCs w:val="22"/>
              </w:rPr>
            </w:pPr>
            <w:r>
              <w:rPr>
                <w:rFonts w:eastAsia="等线"/>
                <w:color w:val="000000"/>
                <w:kern w:val="0"/>
                <w:sz w:val="22"/>
                <w:szCs w:val="22"/>
              </w:rPr>
              <w:t>2023</w:t>
            </w:r>
            <w:r>
              <w:rPr>
                <w:rFonts w:hint="eastAsia" w:ascii="宋体" w:hAnsi="宋体"/>
                <w:color w:val="000000"/>
                <w:kern w:val="0"/>
                <w:sz w:val="22"/>
                <w:szCs w:val="22"/>
              </w:rPr>
              <w:t>年</w:t>
            </w:r>
          </w:p>
        </w:tc>
        <w:tc>
          <w:tcPr>
            <w:tcW w:w="952" w:type="pct"/>
            <w:tcBorders>
              <w:top w:val="nil"/>
              <w:left w:val="nil"/>
              <w:bottom w:val="single" w:color="auto" w:sz="4" w:space="0"/>
              <w:right w:val="single" w:color="auto" w:sz="4" w:space="0"/>
            </w:tcBorders>
            <w:vAlign w:val="center"/>
          </w:tcPr>
          <w:p w14:paraId="5E507CAE">
            <w:pPr>
              <w:widowControl/>
              <w:jc w:val="center"/>
              <w:rPr>
                <w:rFonts w:eastAsia="等线"/>
                <w:color w:val="000000"/>
                <w:kern w:val="0"/>
                <w:sz w:val="22"/>
                <w:szCs w:val="22"/>
              </w:rPr>
            </w:pPr>
            <w:r>
              <w:rPr>
                <w:rFonts w:eastAsia="等线"/>
                <w:color w:val="000000"/>
                <w:kern w:val="0"/>
                <w:sz w:val="22"/>
                <w:szCs w:val="22"/>
              </w:rPr>
              <w:t>2030</w:t>
            </w:r>
            <w:r>
              <w:rPr>
                <w:rFonts w:hint="eastAsia" w:ascii="宋体" w:hAnsi="宋体"/>
                <w:color w:val="000000"/>
                <w:kern w:val="0"/>
                <w:sz w:val="22"/>
                <w:szCs w:val="22"/>
              </w:rPr>
              <w:t>年</w:t>
            </w:r>
          </w:p>
        </w:tc>
        <w:tc>
          <w:tcPr>
            <w:tcW w:w="953" w:type="pct"/>
            <w:tcBorders>
              <w:top w:val="nil"/>
              <w:left w:val="nil"/>
              <w:bottom w:val="single" w:color="auto" w:sz="4" w:space="0"/>
              <w:right w:val="single" w:color="auto" w:sz="4" w:space="0"/>
            </w:tcBorders>
            <w:vAlign w:val="center"/>
          </w:tcPr>
          <w:p w14:paraId="50CC12AD">
            <w:pPr>
              <w:widowControl/>
              <w:jc w:val="center"/>
              <w:rPr>
                <w:rFonts w:eastAsia="等线"/>
                <w:color w:val="000000"/>
                <w:kern w:val="0"/>
                <w:sz w:val="22"/>
                <w:szCs w:val="22"/>
              </w:rPr>
            </w:pPr>
            <w:r>
              <w:rPr>
                <w:rFonts w:eastAsia="等线"/>
                <w:color w:val="000000"/>
                <w:kern w:val="0"/>
                <w:sz w:val="22"/>
                <w:szCs w:val="22"/>
              </w:rPr>
              <w:t>2035</w:t>
            </w:r>
            <w:r>
              <w:rPr>
                <w:rFonts w:hint="eastAsia" w:ascii="宋体" w:hAnsi="宋体"/>
                <w:color w:val="000000"/>
                <w:kern w:val="0"/>
                <w:sz w:val="22"/>
                <w:szCs w:val="22"/>
              </w:rPr>
              <w:t>年</w:t>
            </w:r>
          </w:p>
        </w:tc>
      </w:tr>
      <w:tr w14:paraId="4EF7A22C">
        <w:tblPrEx>
          <w:tblCellMar>
            <w:top w:w="0" w:type="dxa"/>
            <w:left w:w="108" w:type="dxa"/>
            <w:bottom w:w="0" w:type="dxa"/>
            <w:right w:w="108" w:type="dxa"/>
          </w:tblCellMar>
        </w:tblPrEx>
        <w:trPr>
          <w:trHeight w:val="454" w:hRule="atLeast"/>
        </w:trPr>
        <w:tc>
          <w:tcPr>
            <w:tcW w:w="1145" w:type="pct"/>
            <w:vMerge w:val="restart"/>
            <w:tcBorders>
              <w:top w:val="nil"/>
              <w:left w:val="single" w:color="auto" w:sz="4" w:space="0"/>
              <w:bottom w:val="single" w:color="auto" w:sz="4" w:space="0"/>
              <w:right w:val="single" w:color="auto" w:sz="4" w:space="0"/>
            </w:tcBorders>
            <w:vAlign w:val="center"/>
          </w:tcPr>
          <w:p w14:paraId="409E27B0">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可供水量</w:t>
            </w:r>
            <w:r>
              <w:rPr>
                <w:rFonts w:hint="eastAsia" w:ascii="宋体" w:hAnsi="宋体" w:cs="宋体"/>
                <w:color w:val="000000"/>
                <w:kern w:val="0"/>
                <w:sz w:val="22"/>
                <w:szCs w:val="22"/>
                <w:lang w:eastAsia="zh-CN"/>
              </w:rPr>
              <w:t>（</w:t>
            </w:r>
            <w:r>
              <w:rPr>
                <w:rFonts w:hint="eastAsia" w:ascii="宋体" w:hAnsi="宋体" w:cs="宋体"/>
                <w:color w:val="000000"/>
                <w:kern w:val="0"/>
                <w:sz w:val="22"/>
                <w:szCs w:val="22"/>
              </w:rPr>
              <w:t>万</w:t>
            </w:r>
            <w:r>
              <w:rPr>
                <w:color w:val="000000"/>
                <w:kern w:val="0"/>
                <w:sz w:val="22"/>
                <w:szCs w:val="22"/>
              </w:rPr>
              <w:t>m</w:t>
            </w:r>
            <w:r>
              <w:rPr>
                <w:color w:val="000000"/>
                <w:kern w:val="0"/>
                <w:sz w:val="22"/>
                <w:szCs w:val="22"/>
                <w:vertAlign w:val="superscript"/>
              </w:rPr>
              <w:t>3</w:t>
            </w:r>
            <w:r>
              <w:rPr>
                <w:rFonts w:hint="eastAsia"/>
                <w:color w:val="000000"/>
                <w:kern w:val="0"/>
                <w:sz w:val="22"/>
                <w:szCs w:val="22"/>
                <w:vertAlign w:val="superscript"/>
                <w:lang w:eastAsia="zh-CN"/>
              </w:rPr>
              <w:t>）</w:t>
            </w:r>
          </w:p>
        </w:tc>
        <w:tc>
          <w:tcPr>
            <w:tcW w:w="832" w:type="pct"/>
            <w:tcBorders>
              <w:top w:val="nil"/>
              <w:left w:val="nil"/>
              <w:bottom w:val="single" w:color="auto" w:sz="4" w:space="0"/>
              <w:right w:val="single" w:color="auto" w:sz="4" w:space="0"/>
            </w:tcBorders>
            <w:vAlign w:val="center"/>
          </w:tcPr>
          <w:p w14:paraId="0E656634">
            <w:pPr>
              <w:widowControl/>
              <w:jc w:val="center"/>
              <w:rPr>
                <w:rFonts w:eastAsia="等线"/>
                <w:color w:val="000000"/>
                <w:kern w:val="0"/>
                <w:sz w:val="22"/>
                <w:szCs w:val="22"/>
              </w:rPr>
            </w:pPr>
            <w:r>
              <w:rPr>
                <w:rFonts w:eastAsia="等线"/>
                <w:color w:val="000000"/>
                <w:kern w:val="0"/>
                <w:sz w:val="22"/>
                <w:szCs w:val="22"/>
              </w:rPr>
              <w:t>50%</w:t>
            </w:r>
          </w:p>
        </w:tc>
        <w:tc>
          <w:tcPr>
            <w:tcW w:w="1118" w:type="pct"/>
            <w:tcBorders>
              <w:top w:val="nil"/>
              <w:left w:val="nil"/>
              <w:bottom w:val="single" w:color="auto" w:sz="4" w:space="0"/>
              <w:right w:val="single" w:color="auto" w:sz="4" w:space="0"/>
            </w:tcBorders>
            <w:vAlign w:val="center"/>
          </w:tcPr>
          <w:p w14:paraId="630E9581">
            <w:pPr>
              <w:widowControl/>
              <w:jc w:val="center"/>
              <w:rPr>
                <w:rFonts w:eastAsia="等线"/>
                <w:color w:val="000000"/>
                <w:kern w:val="0"/>
                <w:sz w:val="22"/>
                <w:szCs w:val="22"/>
              </w:rPr>
            </w:pPr>
            <w:r>
              <w:rPr>
                <w:rFonts w:eastAsia="等线"/>
                <w:color w:val="000000"/>
              </w:rPr>
              <w:t>10964.428</w:t>
            </w:r>
          </w:p>
        </w:tc>
        <w:tc>
          <w:tcPr>
            <w:tcW w:w="952" w:type="pct"/>
            <w:tcBorders>
              <w:top w:val="nil"/>
              <w:left w:val="nil"/>
              <w:bottom w:val="single" w:color="auto" w:sz="4" w:space="0"/>
              <w:right w:val="single" w:color="auto" w:sz="4" w:space="0"/>
            </w:tcBorders>
            <w:vAlign w:val="center"/>
          </w:tcPr>
          <w:p w14:paraId="418A740B">
            <w:pPr>
              <w:widowControl/>
              <w:jc w:val="center"/>
              <w:rPr>
                <w:rFonts w:eastAsia="等线"/>
                <w:color w:val="000000"/>
                <w:kern w:val="0"/>
                <w:sz w:val="22"/>
                <w:szCs w:val="22"/>
              </w:rPr>
            </w:pPr>
            <w:r>
              <w:rPr>
                <w:rFonts w:eastAsia="等线"/>
                <w:color w:val="000000"/>
              </w:rPr>
              <w:t>11100</w:t>
            </w:r>
          </w:p>
        </w:tc>
        <w:tc>
          <w:tcPr>
            <w:tcW w:w="953" w:type="pct"/>
            <w:tcBorders>
              <w:top w:val="nil"/>
              <w:left w:val="nil"/>
              <w:bottom w:val="single" w:color="auto" w:sz="4" w:space="0"/>
              <w:right w:val="single" w:color="auto" w:sz="4" w:space="0"/>
            </w:tcBorders>
            <w:vAlign w:val="center"/>
          </w:tcPr>
          <w:p w14:paraId="77929F56">
            <w:pPr>
              <w:widowControl/>
              <w:jc w:val="center"/>
              <w:rPr>
                <w:rFonts w:eastAsia="等线"/>
                <w:color w:val="000000"/>
                <w:kern w:val="0"/>
                <w:sz w:val="22"/>
                <w:szCs w:val="22"/>
              </w:rPr>
            </w:pPr>
            <w:r>
              <w:rPr>
                <w:rFonts w:eastAsia="等线"/>
                <w:color w:val="000000"/>
              </w:rPr>
              <w:t>11600</w:t>
            </w:r>
          </w:p>
        </w:tc>
      </w:tr>
      <w:tr w14:paraId="13A6A664">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0D155C9C">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078E925C">
            <w:pPr>
              <w:widowControl/>
              <w:jc w:val="center"/>
              <w:rPr>
                <w:rFonts w:eastAsia="等线"/>
                <w:color w:val="000000"/>
                <w:kern w:val="0"/>
                <w:sz w:val="22"/>
                <w:szCs w:val="22"/>
              </w:rPr>
            </w:pPr>
            <w:r>
              <w:rPr>
                <w:rFonts w:eastAsia="等线"/>
                <w:color w:val="000000"/>
                <w:kern w:val="0"/>
                <w:sz w:val="22"/>
                <w:szCs w:val="22"/>
              </w:rPr>
              <w:t>75%</w:t>
            </w:r>
          </w:p>
        </w:tc>
        <w:tc>
          <w:tcPr>
            <w:tcW w:w="1118" w:type="pct"/>
            <w:tcBorders>
              <w:top w:val="nil"/>
              <w:left w:val="nil"/>
              <w:bottom w:val="single" w:color="auto" w:sz="4" w:space="0"/>
              <w:right w:val="single" w:color="auto" w:sz="4" w:space="0"/>
            </w:tcBorders>
            <w:vAlign w:val="center"/>
          </w:tcPr>
          <w:p w14:paraId="0391840E">
            <w:pPr>
              <w:widowControl/>
              <w:jc w:val="center"/>
              <w:rPr>
                <w:rFonts w:eastAsia="等线"/>
                <w:color w:val="000000"/>
                <w:kern w:val="0"/>
                <w:sz w:val="22"/>
                <w:szCs w:val="22"/>
              </w:rPr>
            </w:pPr>
            <w:r>
              <w:rPr>
                <w:rFonts w:eastAsia="等线"/>
                <w:color w:val="000000"/>
              </w:rPr>
              <w:t>10888.428</w:t>
            </w:r>
          </w:p>
        </w:tc>
        <w:tc>
          <w:tcPr>
            <w:tcW w:w="952" w:type="pct"/>
            <w:tcBorders>
              <w:top w:val="nil"/>
              <w:left w:val="nil"/>
              <w:bottom w:val="single" w:color="auto" w:sz="4" w:space="0"/>
              <w:right w:val="single" w:color="auto" w:sz="4" w:space="0"/>
            </w:tcBorders>
            <w:vAlign w:val="center"/>
          </w:tcPr>
          <w:p w14:paraId="0083BC25">
            <w:pPr>
              <w:widowControl/>
              <w:jc w:val="center"/>
              <w:rPr>
                <w:rFonts w:eastAsia="等线"/>
                <w:color w:val="000000"/>
                <w:kern w:val="0"/>
                <w:sz w:val="22"/>
                <w:szCs w:val="22"/>
              </w:rPr>
            </w:pPr>
            <w:r>
              <w:rPr>
                <w:rFonts w:eastAsia="等线"/>
                <w:color w:val="000000"/>
              </w:rPr>
              <w:t>11024</w:t>
            </w:r>
          </w:p>
        </w:tc>
        <w:tc>
          <w:tcPr>
            <w:tcW w:w="953" w:type="pct"/>
            <w:tcBorders>
              <w:top w:val="nil"/>
              <w:left w:val="nil"/>
              <w:bottom w:val="single" w:color="auto" w:sz="4" w:space="0"/>
              <w:right w:val="single" w:color="auto" w:sz="4" w:space="0"/>
            </w:tcBorders>
            <w:vAlign w:val="center"/>
          </w:tcPr>
          <w:p w14:paraId="58D58D9D">
            <w:pPr>
              <w:widowControl/>
              <w:jc w:val="center"/>
              <w:rPr>
                <w:rFonts w:eastAsia="等线"/>
                <w:color w:val="000000"/>
                <w:kern w:val="0"/>
                <w:sz w:val="22"/>
                <w:szCs w:val="22"/>
              </w:rPr>
            </w:pPr>
            <w:r>
              <w:rPr>
                <w:rFonts w:eastAsia="等线"/>
                <w:color w:val="000000"/>
              </w:rPr>
              <w:t>11524</w:t>
            </w:r>
          </w:p>
        </w:tc>
      </w:tr>
      <w:tr w14:paraId="7871B5CD">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7B4A0DE9">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63049DB3">
            <w:pPr>
              <w:widowControl/>
              <w:jc w:val="center"/>
              <w:rPr>
                <w:rFonts w:eastAsia="等线"/>
                <w:color w:val="000000"/>
                <w:kern w:val="0"/>
                <w:sz w:val="22"/>
                <w:szCs w:val="22"/>
              </w:rPr>
            </w:pPr>
            <w:r>
              <w:rPr>
                <w:rFonts w:eastAsia="等线"/>
                <w:color w:val="000000"/>
                <w:kern w:val="0"/>
                <w:sz w:val="22"/>
                <w:szCs w:val="22"/>
              </w:rPr>
              <w:t>95%</w:t>
            </w:r>
          </w:p>
        </w:tc>
        <w:tc>
          <w:tcPr>
            <w:tcW w:w="1118" w:type="pct"/>
            <w:tcBorders>
              <w:top w:val="nil"/>
              <w:left w:val="nil"/>
              <w:bottom w:val="single" w:color="auto" w:sz="4" w:space="0"/>
              <w:right w:val="single" w:color="auto" w:sz="4" w:space="0"/>
            </w:tcBorders>
            <w:vAlign w:val="center"/>
          </w:tcPr>
          <w:p w14:paraId="4322D82F">
            <w:pPr>
              <w:widowControl/>
              <w:jc w:val="center"/>
              <w:rPr>
                <w:rFonts w:eastAsia="等线"/>
                <w:color w:val="000000"/>
                <w:kern w:val="0"/>
                <w:sz w:val="22"/>
                <w:szCs w:val="22"/>
              </w:rPr>
            </w:pPr>
            <w:r>
              <w:rPr>
                <w:rFonts w:eastAsia="等线"/>
                <w:color w:val="000000"/>
              </w:rPr>
              <w:t>8468.4281</w:t>
            </w:r>
          </w:p>
        </w:tc>
        <w:tc>
          <w:tcPr>
            <w:tcW w:w="952" w:type="pct"/>
            <w:tcBorders>
              <w:top w:val="nil"/>
              <w:left w:val="nil"/>
              <w:bottom w:val="single" w:color="auto" w:sz="4" w:space="0"/>
              <w:right w:val="single" w:color="auto" w:sz="4" w:space="0"/>
            </w:tcBorders>
            <w:vAlign w:val="center"/>
          </w:tcPr>
          <w:p w14:paraId="2ACC5C17">
            <w:pPr>
              <w:widowControl/>
              <w:jc w:val="center"/>
              <w:rPr>
                <w:rFonts w:eastAsia="等线"/>
                <w:color w:val="000000"/>
                <w:kern w:val="0"/>
                <w:sz w:val="22"/>
                <w:szCs w:val="22"/>
              </w:rPr>
            </w:pPr>
            <w:r>
              <w:rPr>
                <w:rFonts w:eastAsia="等线"/>
                <w:color w:val="000000"/>
              </w:rPr>
              <w:t>8604</w:t>
            </w:r>
          </w:p>
        </w:tc>
        <w:tc>
          <w:tcPr>
            <w:tcW w:w="953" w:type="pct"/>
            <w:tcBorders>
              <w:top w:val="nil"/>
              <w:left w:val="nil"/>
              <w:bottom w:val="single" w:color="auto" w:sz="4" w:space="0"/>
              <w:right w:val="single" w:color="auto" w:sz="4" w:space="0"/>
            </w:tcBorders>
            <w:vAlign w:val="center"/>
          </w:tcPr>
          <w:p w14:paraId="7CF5B019">
            <w:pPr>
              <w:widowControl/>
              <w:jc w:val="center"/>
              <w:rPr>
                <w:rFonts w:eastAsia="等线"/>
                <w:color w:val="000000"/>
                <w:kern w:val="0"/>
                <w:sz w:val="22"/>
                <w:szCs w:val="22"/>
              </w:rPr>
            </w:pPr>
            <w:r>
              <w:rPr>
                <w:rFonts w:eastAsia="等线"/>
                <w:color w:val="000000"/>
              </w:rPr>
              <w:t>9104</w:t>
            </w:r>
          </w:p>
        </w:tc>
      </w:tr>
      <w:tr w14:paraId="75C020FE">
        <w:tblPrEx>
          <w:tblCellMar>
            <w:top w:w="0" w:type="dxa"/>
            <w:left w:w="108" w:type="dxa"/>
            <w:bottom w:w="0" w:type="dxa"/>
            <w:right w:w="108" w:type="dxa"/>
          </w:tblCellMar>
        </w:tblPrEx>
        <w:trPr>
          <w:trHeight w:val="454" w:hRule="atLeast"/>
        </w:trPr>
        <w:tc>
          <w:tcPr>
            <w:tcW w:w="1145" w:type="pct"/>
            <w:vMerge w:val="restart"/>
            <w:tcBorders>
              <w:top w:val="nil"/>
              <w:left w:val="single" w:color="auto" w:sz="4" w:space="0"/>
              <w:bottom w:val="single" w:color="auto" w:sz="4" w:space="0"/>
              <w:right w:val="single" w:color="auto" w:sz="4" w:space="0"/>
            </w:tcBorders>
            <w:vAlign w:val="center"/>
          </w:tcPr>
          <w:p w14:paraId="3D586A17">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需水量</w:t>
            </w:r>
            <w:r>
              <w:rPr>
                <w:rFonts w:hint="eastAsia" w:ascii="宋体" w:hAnsi="宋体" w:cs="宋体"/>
                <w:color w:val="000000"/>
                <w:kern w:val="0"/>
                <w:sz w:val="22"/>
                <w:szCs w:val="22"/>
                <w:lang w:eastAsia="zh-CN"/>
              </w:rPr>
              <w:t>（</w:t>
            </w:r>
            <w:r>
              <w:rPr>
                <w:rFonts w:hint="eastAsia" w:ascii="宋体" w:hAnsi="宋体" w:cs="宋体"/>
                <w:color w:val="000000"/>
                <w:kern w:val="0"/>
                <w:sz w:val="22"/>
                <w:szCs w:val="22"/>
              </w:rPr>
              <w:t>万</w:t>
            </w:r>
            <w:r>
              <w:rPr>
                <w:color w:val="000000"/>
                <w:kern w:val="0"/>
                <w:sz w:val="22"/>
                <w:szCs w:val="22"/>
              </w:rPr>
              <w:t>m</w:t>
            </w:r>
            <w:r>
              <w:rPr>
                <w:color w:val="000000"/>
                <w:kern w:val="0"/>
                <w:sz w:val="22"/>
                <w:szCs w:val="22"/>
                <w:vertAlign w:val="superscript"/>
              </w:rPr>
              <w:t>3</w:t>
            </w:r>
            <w:r>
              <w:rPr>
                <w:rFonts w:hint="eastAsia"/>
                <w:color w:val="000000"/>
                <w:kern w:val="0"/>
                <w:sz w:val="22"/>
                <w:szCs w:val="22"/>
                <w:vertAlign w:val="superscript"/>
                <w:lang w:eastAsia="zh-CN"/>
              </w:rPr>
              <w:t>）</w:t>
            </w:r>
          </w:p>
        </w:tc>
        <w:tc>
          <w:tcPr>
            <w:tcW w:w="832" w:type="pct"/>
            <w:tcBorders>
              <w:top w:val="nil"/>
              <w:left w:val="nil"/>
              <w:bottom w:val="single" w:color="auto" w:sz="4" w:space="0"/>
              <w:right w:val="single" w:color="auto" w:sz="4" w:space="0"/>
            </w:tcBorders>
            <w:vAlign w:val="center"/>
          </w:tcPr>
          <w:p w14:paraId="03EACE80">
            <w:pPr>
              <w:widowControl/>
              <w:jc w:val="center"/>
              <w:rPr>
                <w:rFonts w:eastAsia="等线"/>
                <w:color w:val="000000"/>
                <w:kern w:val="0"/>
                <w:sz w:val="22"/>
                <w:szCs w:val="22"/>
              </w:rPr>
            </w:pPr>
            <w:r>
              <w:rPr>
                <w:rFonts w:eastAsia="等线"/>
                <w:color w:val="000000"/>
                <w:kern w:val="0"/>
                <w:sz w:val="22"/>
                <w:szCs w:val="22"/>
              </w:rPr>
              <w:t>50%</w:t>
            </w:r>
          </w:p>
        </w:tc>
        <w:tc>
          <w:tcPr>
            <w:tcW w:w="1118" w:type="pct"/>
            <w:tcBorders>
              <w:top w:val="nil"/>
              <w:left w:val="nil"/>
              <w:bottom w:val="single" w:color="auto" w:sz="4" w:space="0"/>
              <w:right w:val="single" w:color="auto" w:sz="4" w:space="0"/>
            </w:tcBorders>
            <w:vAlign w:val="center"/>
          </w:tcPr>
          <w:p w14:paraId="6200A551">
            <w:pPr>
              <w:widowControl/>
              <w:jc w:val="center"/>
              <w:rPr>
                <w:rFonts w:eastAsia="等线"/>
                <w:color w:val="000000"/>
                <w:kern w:val="0"/>
                <w:sz w:val="22"/>
                <w:szCs w:val="22"/>
              </w:rPr>
            </w:pPr>
            <w:r>
              <w:rPr>
                <w:rFonts w:eastAsia="等线"/>
                <w:color w:val="000000"/>
              </w:rPr>
              <w:t>9690.5</w:t>
            </w:r>
          </w:p>
        </w:tc>
        <w:tc>
          <w:tcPr>
            <w:tcW w:w="952" w:type="pct"/>
            <w:tcBorders>
              <w:top w:val="nil"/>
              <w:left w:val="nil"/>
              <w:bottom w:val="single" w:color="auto" w:sz="4" w:space="0"/>
              <w:right w:val="single" w:color="auto" w:sz="4" w:space="0"/>
            </w:tcBorders>
            <w:vAlign w:val="center"/>
          </w:tcPr>
          <w:p w14:paraId="4DD303B2">
            <w:pPr>
              <w:widowControl/>
              <w:jc w:val="center"/>
              <w:rPr>
                <w:rFonts w:eastAsia="等线"/>
                <w:color w:val="000000"/>
                <w:kern w:val="0"/>
                <w:sz w:val="22"/>
                <w:szCs w:val="22"/>
              </w:rPr>
            </w:pPr>
            <w:r>
              <w:rPr>
                <w:rFonts w:eastAsia="等线"/>
                <w:color w:val="000000"/>
              </w:rPr>
              <w:t>11034.9</w:t>
            </w:r>
          </w:p>
        </w:tc>
        <w:tc>
          <w:tcPr>
            <w:tcW w:w="953" w:type="pct"/>
            <w:tcBorders>
              <w:top w:val="nil"/>
              <w:left w:val="nil"/>
              <w:bottom w:val="single" w:color="auto" w:sz="4" w:space="0"/>
              <w:right w:val="single" w:color="auto" w:sz="4" w:space="0"/>
            </w:tcBorders>
            <w:vAlign w:val="center"/>
          </w:tcPr>
          <w:p w14:paraId="33419364">
            <w:pPr>
              <w:widowControl/>
              <w:jc w:val="center"/>
              <w:rPr>
                <w:rFonts w:eastAsia="等线"/>
                <w:color w:val="000000"/>
                <w:kern w:val="0"/>
                <w:sz w:val="22"/>
                <w:szCs w:val="22"/>
              </w:rPr>
            </w:pPr>
            <w:r>
              <w:rPr>
                <w:rFonts w:eastAsia="等线"/>
                <w:color w:val="000000"/>
              </w:rPr>
              <w:t>12089.7</w:t>
            </w:r>
          </w:p>
        </w:tc>
      </w:tr>
      <w:tr w14:paraId="2F6A661C">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66BE9CEB">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3996CBE6">
            <w:pPr>
              <w:widowControl/>
              <w:jc w:val="center"/>
              <w:rPr>
                <w:rFonts w:eastAsia="等线"/>
                <w:color w:val="000000"/>
                <w:kern w:val="0"/>
                <w:sz w:val="22"/>
                <w:szCs w:val="22"/>
              </w:rPr>
            </w:pPr>
            <w:r>
              <w:rPr>
                <w:rFonts w:eastAsia="等线"/>
                <w:color w:val="000000"/>
                <w:kern w:val="0"/>
                <w:sz w:val="22"/>
                <w:szCs w:val="22"/>
              </w:rPr>
              <w:t>75%</w:t>
            </w:r>
          </w:p>
        </w:tc>
        <w:tc>
          <w:tcPr>
            <w:tcW w:w="1118" w:type="pct"/>
            <w:tcBorders>
              <w:top w:val="nil"/>
              <w:left w:val="nil"/>
              <w:bottom w:val="single" w:color="auto" w:sz="4" w:space="0"/>
              <w:right w:val="single" w:color="auto" w:sz="4" w:space="0"/>
            </w:tcBorders>
            <w:vAlign w:val="center"/>
          </w:tcPr>
          <w:p w14:paraId="6918F8F0">
            <w:pPr>
              <w:widowControl/>
              <w:jc w:val="center"/>
              <w:rPr>
                <w:rFonts w:eastAsia="等线"/>
                <w:color w:val="000000"/>
                <w:kern w:val="0"/>
                <w:sz w:val="22"/>
                <w:szCs w:val="22"/>
              </w:rPr>
            </w:pPr>
            <w:r>
              <w:rPr>
                <w:rFonts w:eastAsia="等线"/>
                <w:color w:val="000000"/>
              </w:rPr>
              <w:t>11085.7</w:t>
            </w:r>
          </w:p>
        </w:tc>
        <w:tc>
          <w:tcPr>
            <w:tcW w:w="952" w:type="pct"/>
            <w:tcBorders>
              <w:top w:val="nil"/>
              <w:left w:val="nil"/>
              <w:bottom w:val="single" w:color="auto" w:sz="4" w:space="0"/>
              <w:right w:val="single" w:color="auto" w:sz="4" w:space="0"/>
            </w:tcBorders>
            <w:vAlign w:val="center"/>
          </w:tcPr>
          <w:p w14:paraId="7E130CD7">
            <w:pPr>
              <w:widowControl/>
              <w:jc w:val="center"/>
              <w:rPr>
                <w:rFonts w:eastAsia="等线"/>
                <w:color w:val="000000"/>
                <w:kern w:val="0"/>
                <w:sz w:val="22"/>
                <w:szCs w:val="22"/>
              </w:rPr>
            </w:pPr>
            <w:r>
              <w:rPr>
                <w:rFonts w:eastAsia="等线"/>
                <w:color w:val="000000"/>
              </w:rPr>
              <w:t>12481.8</w:t>
            </w:r>
          </w:p>
        </w:tc>
        <w:tc>
          <w:tcPr>
            <w:tcW w:w="953" w:type="pct"/>
            <w:tcBorders>
              <w:top w:val="nil"/>
              <w:left w:val="nil"/>
              <w:bottom w:val="single" w:color="auto" w:sz="4" w:space="0"/>
              <w:right w:val="single" w:color="auto" w:sz="4" w:space="0"/>
            </w:tcBorders>
            <w:vAlign w:val="center"/>
          </w:tcPr>
          <w:p w14:paraId="3BE08566">
            <w:pPr>
              <w:widowControl/>
              <w:jc w:val="center"/>
              <w:rPr>
                <w:rFonts w:eastAsia="等线"/>
                <w:color w:val="000000"/>
                <w:kern w:val="0"/>
                <w:sz w:val="22"/>
                <w:szCs w:val="22"/>
              </w:rPr>
            </w:pPr>
            <w:r>
              <w:rPr>
                <w:rFonts w:eastAsia="等线"/>
                <w:color w:val="000000"/>
              </w:rPr>
              <w:t>13319.5</w:t>
            </w:r>
          </w:p>
        </w:tc>
      </w:tr>
      <w:tr w14:paraId="06714D31">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1FDC01A9">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563880CB">
            <w:pPr>
              <w:widowControl/>
              <w:jc w:val="center"/>
              <w:rPr>
                <w:rFonts w:eastAsia="等线"/>
                <w:color w:val="000000"/>
                <w:kern w:val="0"/>
                <w:sz w:val="22"/>
                <w:szCs w:val="22"/>
              </w:rPr>
            </w:pPr>
            <w:r>
              <w:rPr>
                <w:rFonts w:eastAsia="等线"/>
                <w:color w:val="000000"/>
                <w:kern w:val="0"/>
                <w:sz w:val="22"/>
                <w:szCs w:val="22"/>
              </w:rPr>
              <w:t>95%</w:t>
            </w:r>
          </w:p>
        </w:tc>
        <w:tc>
          <w:tcPr>
            <w:tcW w:w="1118" w:type="pct"/>
            <w:tcBorders>
              <w:top w:val="nil"/>
              <w:left w:val="nil"/>
              <w:bottom w:val="single" w:color="auto" w:sz="4" w:space="0"/>
              <w:right w:val="single" w:color="auto" w:sz="4" w:space="0"/>
            </w:tcBorders>
            <w:vAlign w:val="center"/>
          </w:tcPr>
          <w:p w14:paraId="50B1C1C3">
            <w:pPr>
              <w:widowControl/>
              <w:jc w:val="center"/>
              <w:rPr>
                <w:rFonts w:eastAsia="等线"/>
                <w:color w:val="000000"/>
                <w:kern w:val="0"/>
                <w:sz w:val="22"/>
                <w:szCs w:val="22"/>
              </w:rPr>
            </w:pPr>
            <w:r>
              <w:rPr>
                <w:rFonts w:eastAsia="等线"/>
                <w:color w:val="000000"/>
              </w:rPr>
              <w:t>11085.7</w:t>
            </w:r>
          </w:p>
        </w:tc>
        <w:tc>
          <w:tcPr>
            <w:tcW w:w="952" w:type="pct"/>
            <w:tcBorders>
              <w:top w:val="nil"/>
              <w:left w:val="nil"/>
              <w:bottom w:val="single" w:color="auto" w:sz="4" w:space="0"/>
              <w:right w:val="single" w:color="auto" w:sz="4" w:space="0"/>
            </w:tcBorders>
            <w:vAlign w:val="center"/>
          </w:tcPr>
          <w:p w14:paraId="4E6343C2">
            <w:pPr>
              <w:widowControl/>
              <w:jc w:val="center"/>
              <w:rPr>
                <w:rFonts w:eastAsia="等线"/>
                <w:color w:val="000000"/>
                <w:kern w:val="0"/>
                <w:sz w:val="22"/>
                <w:szCs w:val="22"/>
              </w:rPr>
            </w:pPr>
            <w:r>
              <w:rPr>
                <w:rFonts w:eastAsia="等线"/>
                <w:color w:val="000000"/>
              </w:rPr>
              <w:t>12481.8</w:t>
            </w:r>
          </w:p>
        </w:tc>
        <w:tc>
          <w:tcPr>
            <w:tcW w:w="953" w:type="pct"/>
            <w:tcBorders>
              <w:top w:val="nil"/>
              <w:left w:val="nil"/>
              <w:bottom w:val="single" w:color="auto" w:sz="4" w:space="0"/>
              <w:right w:val="single" w:color="auto" w:sz="4" w:space="0"/>
            </w:tcBorders>
            <w:vAlign w:val="center"/>
          </w:tcPr>
          <w:p w14:paraId="512B5539">
            <w:pPr>
              <w:widowControl/>
              <w:jc w:val="center"/>
              <w:rPr>
                <w:rFonts w:eastAsia="等线"/>
                <w:color w:val="000000"/>
                <w:kern w:val="0"/>
                <w:sz w:val="22"/>
                <w:szCs w:val="22"/>
              </w:rPr>
            </w:pPr>
            <w:r>
              <w:rPr>
                <w:rFonts w:eastAsia="等线"/>
                <w:color w:val="000000"/>
              </w:rPr>
              <w:t>13319.5</w:t>
            </w:r>
          </w:p>
        </w:tc>
      </w:tr>
      <w:tr w14:paraId="116522AD">
        <w:tblPrEx>
          <w:tblCellMar>
            <w:top w:w="0" w:type="dxa"/>
            <w:left w:w="108" w:type="dxa"/>
            <w:bottom w:w="0" w:type="dxa"/>
            <w:right w:w="108" w:type="dxa"/>
          </w:tblCellMar>
        </w:tblPrEx>
        <w:trPr>
          <w:trHeight w:val="454" w:hRule="atLeast"/>
        </w:trPr>
        <w:tc>
          <w:tcPr>
            <w:tcW w:w="1145" w:type="pct"/>
            <w:vMerge w:val="restart"/>
            <w:tcBorders>
              <w:top w:val="nil"/>
              <w:left w:val="single" w:color="auto" w:sz="4" w:space="0"/>
              <w:bottom w:val="single" w:color="auto" w:sz="4" w:space="0"/>
              <w:right w:val="single" w:color="auto" w:sz="4" w:space="0"/>
            </w:tcBorders>
            <w:vAlign w:val="center"/>
          </w:tcPr>
          <w:p w14:paraId="43AB1057">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余缺水量</w:t>
            </w:r>
            <w:r>
              <w:rPr>
                <w:rFonts w:hint="eastAsia" w:ascii="宋体" w:hAnsi="宋体" w:cs="宋体"/>
                <w:color w:val="000000"/>
                <w:kern w:val="0"/>
                <w:sz w:val="22"/>
                <w:szCs w:val="22"/>
                <w:lang w:eastAsia="zh-CN"/>
              </w:rPr>
              <w:t>（</w:t>
            </w:r>
            <w:r>
              <w:rPr>
                <w:rFonts w:hint="eastAsia" w:ascii="宋体" w:hAnsi="宋体" w:cs="宋体"/>
                <w:color w:val="000000"/>
                <w:kern w:val="0"/>
                <w:sz w:val="22"/>
                <w:szCs w:val="22"/>
              </w:rPr>
              <w:t>万</w:t>
            </w:r>
            <w:r>
              <w:rPr>
                <w:color w:val="000000"/>
                <w:kern w:val="0"/>
                <w:sz w:val="22"/>
                <w:szCs w:val="22"/>
              </w:rPr>
              <w:t>m</w:t>
            </w:r>
            <w:r>
              <w:rPr>
                <w:color w:val="000000"/>
                <w:kern w:val="0"/>
                <w:sz w:val="22"/>
                <w:szCs w:val="22"/>
                <w:vertAlign w:val="superscript"/>
              </w:rPr>
              <w:t>3</w:t>
            </w:r>
            <w:r>
              <w:rPr>
                <w:rFonts w:hint="eastAsia"/>
                <w:color w:val="000000"/>
                <w:kern w:val="0"/>
                <w:sz w:val="22"/>
                <w:szCs w:val="22"/>
                <w:vertAlign w:val="superscript"/>
                <w:lang w:eastAsia="zh-CN"/>
              </w:rPr>
              <w:t>）</w:t>
            </w:r>
          </w:p>
        </w:tc>
        <w:tc>
          <w:tcPr>
            <w:tcW w:w="832" w:type="pct"/>
            <w:tcBorders>
              <w:top w:val="nil"/>
              <w:left w:val="nil"/>
              <w:bottom w:val="single" w:color="auto" w:sz="4" w:space="0"/>
              <w:right w:val="single" w:color="auto" w:sz="4" w:space="0"/>
            </w:tcBorders>
            <w:vAlign w:val="center"/>
          </w:tcPr>
          <w:p w14:paraId="149EB4A5">
            <w:pPr>
              <w:widowControl/>
              <w:jc w:val="center"/>
              <w:rPr>
                <w:rFonts w:eastAsia="等线"/>
                <w:color w:val="000000"/>
                <w:kern w:val="0"/>
                <w:sz w:val="22"/>
                <w:szCs w:val="22"/>
              </w:rPr>
            </w:pPr>
            <w:r>
              <w:rPr>
                <w:rFonts w:eastAsia="等线"/>
                <w:color w:val="000000"/>
                <w:kern w:val="0"/>
                <w:sz w:val="22"/>
                <w:szCs w:val="22"/>
              </w:rPr>
              <w:t>50%</w:t>
            </w:r>
          </w:p>
        </w:tc>
        <w:tc>
          <w:tcPr>
            <w:tcW w:w="1118" w:type="pct"/>
            <w:tcBorders>
              <w:top w:val="nil"/>
              <w:left w:val="nil"/>
              <w:bottom w:val="single" w:color="auto" w:sz="4" w:space="0"/>
              <w:right w:val="single" w:color="auto" w:sz="4" w:space="0"/>
            </w:tcBorders>
            <w:vAlign w:val="center"/>
          </w:tcPr>
          <w:p w14:paraId="2784EC05">
            <w:pPr>
              <w:widowControl/>
              <w:jc w:val="center"/>
              <w:rPr>
                <w:rFonts w:eastAsia="等线"/>
                <w:color w:val="000000"/>
                <w:kern w:val="0"/>
                <w:sz w:val="22"/>
                <w:szCs w:val="22"/>
              </w:rPr>
            </w:pPr>
            <w:r>
              <w:rPr>
                <w:rFonts w:eastAsia="等线"/>
                <w:color w:val="000000"/>
              </w:rPr>
              <w:t>1273.9281</w:t>
            </w:r>
          </w:p>
        </w:tc>
        <w:tc>
          <w:tcPr>
            <w:tcW w:w="952" w:type="pct"/>
            <w:tcBorders>
              <w:top w:val="nil"/>
              <w:left w:val="nil"/>
              <w:bottom w:val="single" w:color="auto" w:sz="4" w:space="0"/>
              <w:right w:val="single" w:color="auto" w:sz="4" w:space="0"/>
            </w:tcBorders>
            <w:vAlign w:val="center"/>
          </w:tcPr>
          <w:p w14:paraId="315F39A2">
            <w:pPr>
              <w:widowControl/>
              <w:jc w:val="center"/>
              <w:rPr>
                <w:rFonts w:eastAsia="等线"/>
                <w:color w:val="000000"/>
                <w:kern w:val="0"/>
                <w:sz w:val="22"/>
                <w:szCs w:val="22"/>
              </w:rPr>
            </w:pPr>
            <w:r>
              <w:rPr>
                <w:rFonts w:eastAsia="等线"/>
                <w:color w:val="000000"/>
              </w:rPr>
              <w:t>65.1</w:t>
            </w:r>
          </w:p>
        </w:tc>
        <w:tc>
          <w:tcPr>
            <w:tcW w:w="953" w:type="pct"/>
            <w:tcBorders>
              <w:top w:val="nil"/>
              <w:left w:val="nil"/>
              <w:bottom w:val="single" w:color="auto" w:sz="4" w:space="0"/>
              <w:right w:val="single" w:color="auto" w:sz="4" w:space="0"/>
            </w:tcBorders>
            <w:vAlign w:val="center"/>
          </w:tcPr>
          <w:p w14:paraId="2D32D013">
            <w:pPr>
              <w:widowControl/>
              <w:jc w:val="center"/>
              <w:rPr>
                <w:rFonts w:eastAsia="等线"/>
                <w:color w:val="000000"/>
                <w:kern w:val="0"/>
                <w:sz w:val="22"/>
                <w:szCs w:val="22"/>
              </w:rPr>
            </w:pPr>
            <w:r>
              <w:rPr>
                <w:rFonts w:eastAsia="等线"/>
                <w:color w:val="000000"/>
              </w:rPr>
              <w:t>-489.7</w:t>
            </w:r>
          </w:p>
        </w:tc>
      </w:tr>
      <w:tr w14:paraId="7641FAE4">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6FEFFC0B">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64A530D9">
            <w:pPr>
              <w:widowControl/>
              <w:jc w:val="center"/>
              <w:rPr>
                <w:rFonts w:eastAsia="等线"/>
                <w:color w:val="000000"/>
                <w:kern w:val="0"/>
                <w:sz w:val="22"/>
                <w:szCs w:val="22"/>
              </w:rPr>
            </w:pPr>
            <w:r>
              <w:rPr>
                <w:rFonts w:eastAsia="等线"/>
                <w:color w:val="000000"/>
                <w:kern w:val="0"/>
                <w:sz w:val="22"/>
                <w:szCs w:val="22"/>
              </w:rPr>
              <w:t>75%</w:t>
            </w:r>
          </w:p>
        </w:tc>
        <w:tc>
          <w:tcPr>
            <w:tcW w:w="1118" w:type="pct"/>
            <w:tcBorders>
              <w:top w:val="nil"/>
              <w:left w:val="nil"/>
              <w:bottom w:val="single" w:color="auto" w:sz="4" w:space="0"/>
              <w:right w:val="single" w:color="auto" w:sz="4" w:space="0"/>
            </w:tcBorders>
            <w:vAlign w:val="center"/>
          </w:tcPr>
          <w:p w14:paraId="304FE29A">
            <w:pPr>
              <w:widowControl/>
              <w:jc w:val="center"/>
              <w:rPr>
                <w:rFonts w:eastAsia="等线"/>
                <w:color w:val="000000"/>
                <w:kern w:val="0"/>
                <w:sz w:val="22"/>
                <w:szCs w:val="22"/>
              </w:rPr>
            </w:pPr>
            <w:r>
              <w:rPr>
                <w:rFonts w:eastAsia="等线"/>
                <w:color w:val="000000"/>
              </w:rPr>
              <w:t>-197.2719</w:t>
            </w:r>
          </w:p>
        </w:tc>
        <w:tc>
          <w:tcPr>
            <w:tcW w:w="952" w:type="pct"/>
            <w:tcBorders>
              <w:top w:val="nil"/>
              <w:left w:val="nil"/>
              <w:bottom w:val="single" w:color="auto" w:sz="4" w:space="0"/>
              <w:right w:val="single" w:color="auto" w:sz="4" w:space="0"/>
            </w:tcBorders>
            <w:vAlign w:val="center"/>
          </w:tcPr>
          <w:p w14:paraId="03B50BC2">
            <w:pPr>
              <w:widowControl/>
              <w:jc w:val="center"/>
              <w:rPr>
                <w:rFonts w:eastAsia="等线"/>
                <w:color w:val="000000"/>
                <w:kern w:val="0"/>
                <w:sz w:val="22"/>
                <w:szCs w:val="22"/>
              </w:rPr>
            </w:pPr>
            <w:r>
              <w:rPr>
                <w:rFonts w:eastAsia="等线"/>
                <w:color w:val="000000"/>
              </w:rPr>
              <w:t>-1457.8</w:t>
            </w:r>
          </w:p>
        </w:tc>
        <w:tc>
          <w:tcPr>
            <w:tcW w:w="953" w:type="pct"/>
            <w:tcBorders>
              <w:top w:val="nil"/>
              <w:left w:val="nil"/>
              <w:bottom w:val="single" w:color="auto" w:sz="4" w:space="0"/>
              <w:right w:val="single" w:color="auto" w:sz="4" w:space="0"/>
            </w:tcBorders>
            <w:vAlign w:val="center"/>
          </w:tcPr>
          <w:p w14:paraId="5390D4D6">
            <w:pPr>
              <w:widowControl/>
              <w:jc w:val="center"/>
              <w:rPr>
                <w:rFonts w:eastAsia="等线"/>
                <w:color w:val="000000"/>
                <w:kern w:val="0"/>
                <w:sz w:val="22"/>
                <w:szCs w:val="22"/>
              </w:rPr>
            </w:pPr>
            <w:r>
              <w:rPr>
                <w:rFonts w:eastAsia="等线"/>
                <w:color w:val="000000"/>
              </w:rPr>
              <w:t>-1795.5</w:t>
            </w:r>
          </w:p>
        </w:tc>
      </w:tr>
      <w:tr w14:paraId="1F33AC7E">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5C430545">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122E1F6E">
            <w:pPr>
              <w:widowControl/>
              <w:jc w:val="center"/>
              <w:rPr>
                <w:rFonts w:eastAsia="等线"/>
                <w:color w:val="000000"/>
                <w:kern w:val="0"/>
                <w:sz w:val="22"/>
                <w:szCs w:val="22"/>
              </w:rPr>
            </w:pPr>
            <w:r>
              <w:rPr>
                <w:rFonts w:eastAsia="等线"/>
                <w:color w:val="000000"/>
                <w:kern w:val="0"/>
                <w:sz w:val="22"/>
                <w:szCs w:val="22"/>
              </w:rPr>
              <w:t>95%</w:t>
            </w:r>
          </w:p>
        </w:tc>
        <w:tc>
          <w:tcPr>
            <w:tcW w:w="1118" w:type="pct"/>
            <w:tcBorders>
              <w:top w:val="nil"/>
              <w:left w:val="nil"/>
              <w:bottom w:val="single" w:color="auto" w:sz="4" w:space="0"/>
              <w:right w:val="single" w:color="auto" w:sz="4" w:space="0"/>
            </w:tcBorders>
            <w:vAlign w:val="center"/>
          </w:tcPr>
          <w:p w14:paraId="0E788001">
            <w:pPr>
              <w:widowControl/>
              <w:jc w:val="center"/>
              <w:rPr>
                <w:rFonts w:eastAsia="等线"/>
                <w:color w:val="000000"/>
                <w:kern w:val="0"/>
                <w:sz w:val="22"/>
                <w:szCs w:val="22"/>
              </w:rPr>
            </w:pPr>
            <w:r>
              <w:rPr>
                <w:rFonts w:eastAsia="等线"/>
                <w:color w:val="000000"/>
              </w:rPr>
              <w:t>-2617.272</w:t>
            </w:r>
          </w:p>
        </w:tc>
        <w:tc>
          <w:tcPr>
            <w:tcW w:w="952" w:type="pct"/>
            <w:tcBorders>
              <w:top w:val="nil"/>
              <w:left w:val="nil"/>
              <w:bottom w:val="single" w:color="auto" w:sz="4" w:space="0"/>
              <w:right w:val="single" w:color="auto" w:sz="4" w:space="0"/>
            </w:tcBorders>
            <w:vAlign w:val="center"/>
          </w:tcPr>
          <w:p w14:paraId="3FD34CF4">
            <w:pPr>
              <w:widowControl/>
              <w:jc w:val="center"/>
              <w:rPr>
                <w:rFonts w:eastAsia="等线"/>
                <w:color w:val="000000"/>
                <w:kern w:val="0"/>
                <w:sz w:val="22"/>
                <w:szCs w:val="22"/>
              </w:rPr>
            </w:pPr>
            <w:r>
              <w:rPr>
                <w:rFonts w:eastAsia="等线"/>
                <w:color w:val="000000"/>
              </w:rPr>
              <w:t>-3877.8</w:t>
            </w:r>
          </w:p>
        </w:tc>
        <w:tc>
          <w:tcPr>
            <w:tcW w:w="953" w:type="pct"/>
            <w:tcBorders>
              <w:top w:val="nil"/>
              <w:left w:val="nil"/>
              <w:bottom w:val="single" w:color="auto" w:sz="4" w:space="0"/>
              <w:right w:val="single" w:color="auto" w:sz="4" w:space="0"/>
            </w:tcBorders>
            <w:vAlign w:val="center"/>
          </w:tcPr>
          <w:p w14:paraId="283BF506">
            <w:pPr>
              <w:widowControl/>
              <w:jc w:val="center"/>
              <w:rPr>
                <w:rFonts w:eastAsia="等线"/>
                <w:color w:val="000000"/>
                <w:kern w:val="0"/>
                <w:sz w:val="22"/>
                <w:szCs w:val="22"/>
              </w:rPr>
            </w:pPr>
            <w:r>
              <w:rPr>
                <w:rFonts w:eastAsia="等线"/>
                <w:color w:val="000000"/>
              </w:rPr>
              <w:t>-4215.5</w:t>
            </w:r>
          </w:p>
        </w:tc>
      </w:tr>
      <w:tr w14:paraId="4C18476A">
        <w:tblPrEx>
          <w:tblCellMar>
            <w:top w:w="0" w:type="dxa"/>
            <w:left w:w="108" w:type="dxa"/>
            <w:bottom w:w="0" w:type="dxa"/>
            <w:right w:w="108" w:type="dxa"/>
          </w:tblCellMar>
        </w:tblPrEx>
        <w:trPr>
          <w:trHeight w:val="454" w:hRule="atLeast"/>
        </w:trPr>
        <w:tc>
          <w:tcPr>
            <w:tcW w:w="1145" w:type="pct"/>
            <w:vMerge w:val="restart"/>
            <w:tcBorders>
              <w:top w:val="nil"/>
              <w:left w:val="single" w:color="auto" w:sz="4" w:space="0"/>
              <w:bottom w:val="single" w:color="auto" w:sz="4" w:space="0"/>
              <w:right w:val="single" w:color="auto" w:sz="4" w:space="0"/>
            </w:tcBorders>
            <w:vAlign w:val="center"/>
          </w:tcPr>
          <w:p w14:paraId="1C6D11ED">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余缺水率</w:t>
            </w:r>
          </w:p>
        </w:tc>
        <w:tc>
          <w:tcPr>
            <w:tcW w:w="832" w:type="pct"/>
            <w:tcBorders>
              <w:top w:val="nil"/>
              <w:left w:val="nil"/>
              <w:bottom w:val="single" w:color="auto" w:sz="4" w:space="0"/>
              <w:right w:val="single" w:color="auto" w:sz="4" w:space="0"/>
            </w:tcBorders>
            <w:vAlign w:val="center"/>
          </w:tcPr>
          <w:p w14:paraId="1F5574C3">
            <w:pPr>
              <w:widowControl/>
              <w:jc w:val="center"/>
              <w:rPr>
                <w:rFonts w:eastAsia="等线"/>
                <w:color w:val="000000"/>
                <w:kern w:val="0"/>
                <w:sz w:val="22"/>
                <w:szCs w:val="22"/>
              </w:rPr>
            </w:pPr>
            <w:r>
              <w:rPr>
                <w:rFonts w:eastAsia="等线"/>
                <w:color w:val="000000"/>
                <w:kern w:val="0"/>
                <w:sz w:val="22"/>
                <w:szCs w:val="22"/>
              </w:rPr>
              <w:t>50%</w:t>
            </w:r>
          </w:p>
        </w:tc>
        <w:tc>
          <w:tcPr>
            <w:tcW w:w="1118" w:type="pct"/>
            <w:tcBorders>
              <w:top w:val="nil"/>
              <w:left w:val="nil"/>
              <w:bottom w:val="single" w:color="auto" w:sz="4" w:space="0"/>
              <w:right w:val="single" w:color="auto" w:sz="4" w:space="0"/>
            </w:tcBorders>
            <w:vAlign w:val="center"/>
          </w:tcPr>
          <w:p w14:paraId="2C6D1124">
            <w:pPr>
              <w:widowControl/>
              <w:jc w:val="center"/>
              <w:rPr>
                <w:rFonts w:eastAsia="等线"/>
                <w:color w:val="000000"/>
                <w:kern w:val="0"/>
                <w:sz w:val="22"/>
                <w:szCs w:val="22"/>
              </w:rPr>
            </w:pPr>
            <w:r>
              <w:rPr>
                <w:rFonts w:eastAsia="等线"/>
                <w:color w:val="000000"/>
              </w:rPr>
              <w:t>13.15%</w:t>
            </w:r>
          </w:p>
        </w:tc>
        <w:tc>
          <w:tcPr>
            <w:tcW w:w="952" w:type="pct"/>
            <w:tcBorders>
              <w:top w:val="nil"/>
              <w:left w:val="nil"/>
              <w:bottom w:val="single" w:color="auto" w:sz="4" w:space="0"/>
              <w:right w:val="single" w:color="auto" w:sz="4" w:space="0"/>
            </w:tcBorders>
            <w:vAlign w:val="center"/>
          </w:tcPr>
          <w:p w14:paraId="6F3763AC">
            <w:pPr>
              <w:widowControl/>
              <w:jc w:val="center"/>
              <w:rPr>
                <w:rFonts w:eastAsia="等线"/>
                <w:color w:val="000000"/>
                <w:kern w:val="0"/>
                <w:sz w:val="22"/>
                <w:szCs w:val="22"/>
              </w:rPr>
            </w:pPr>
            <w:r>
              <w:rPr>
                <w:rFonts w:eastAsia="等线"/>
                <w:color w:val="000000"/>
              </w:rPr>
              <w:t>0.59%</w:t>
            </w:r>
          </w:p>
        </w:tc>
        <w:tc>
          <w:tcPr>
            <w:tcW w:w="953" w:type="pct"/>
            <w:tcBorders>
              <w:top w:val="nil"/>
              <w:left w:val="nil"/>
              <w:bottom w:val="single" w:color="auto" w:sz="4" w:space="0"/>
              <w:right w:val="single" w:color="auto" w:sz="4" w:space="0"/>
            </w:tcBorders>
            <w:vAlign w:val="center"/>
          </w:tcPr>
          <w:p w14:paraId="3AF7B645">
            <w:pPr>
              <w:widowControl/>
              <w:jc w:val="center"/>
              <w:rPr>
                <w:rFonts w:eastAsia="等线"/>
                <w:color w:val="000000"/>
                <w:kern w:val="0"/>
                <w:sz w:val="22"/>
                <w:szCs w:val="22"/>
              </w:rPr>
            </w:pPr>
            <w:r>
              <w:rPr>
                <w:rFonts w:eastAsia="等线"/>
                <w:color w:val="000000"/>
              </w:rPr>
              <w:t>-4.05%</w:t>
            </w:r>
          </w:p>
        </w:tc>
      </w:tr>
      <w:tr w14:paraId="24BF0D55">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5A7878E2">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5AC26BF6">
            <w:pPr>
              <w:widowControl/>
              <w:jc w:val="center"/>
              <w:rPr>
                <w:rFonts w:eastAsia="等线"/>
                <w:color w:val="000000"/>
                <w:kern w:val="0"/>
                <w:sz w:val="22"/>
                <w:szCs w:val="22"/>
              </w:rPr>
            </w:pPr>
            <w:r>
              <w:rPr>
                <w:rFonts w:eastAsia="等线"/>
                <w:color w:val="000000"/>
                <w:kern w:val="0"/>
                <w:sz w:val="22"/>
                <w:szCs w:val="22"/>
              </w:rPr>
              <w:t>75%</w:t>
            </w:r>
          </w:p>
        </w:tc>
        <w:tc>
          <w:tcPr>
            <w:tcW w:w="1118" w:type="pct"/>
            <w:tcBorders>
              <w:top w:val="nil"/>
              <w:left w:val="nil"/>
              <w:bottom w:val="single" w:color="auto" w:sz="4" w:space="0"/>
              <w:right w:val="single" w:color="auto" w:sz="4" w:space="0"/>
            </w:tcBorders>
            <w:vAlign w:val="center"/>
          </w:tcPr>
          <w:p w14:paraId="6FB4B1DA">
            <w:pPr>
              <w:widowControl/>
              <w:jc w:val="center"/>
              <w:rPr>
                <w:rFonts w:eastAsia="等线"/>
                <w:color w:val="000000"/>
                <w:kern w:val="0"/>
                <w:sz w:val="22"/>
                <w:szCs w:val="22"/>
              </w:rPr>
            </w:pPr>
            <w:r>
              <w:rPr>
                <w:rFonts w:eastAsia="等线"/>
                <w:color w:val="000000"/>
              </w:rPr>
              <w:t>-1.78%</w:t>
            </w:r>
          </w:p>
        </w:tc>
        <w:tc>
          <w:tcPr>
            <w:tcW w:w="952" w:type="pct"/>
            <w:tcBorders>
              <w:top w:val="nil"/>
              <w:left w:val="nil"/>
              <w:bottom w:val="single" w:color="auto" w:sz="4" w:space="0"/>
              <w:right w:val="single" w:color="auto" w:sz="4" w:space="0"/>
            </w:tcBorders>
            <w:vAlign w:val="center"/>
          </w:tcPr>
          <w:p w14:paraId="0217F135">
            <w:pPr>
              <w:widowControl/>
              <w:jc w:val="center"/>
              <w:rPr>
                <w:rFonts w:eastAsia="等线"/>
                <w:color w:val="000000"/>
                <w:kern w:val="0"/>
                <w:sz w:val="22"/>
                <w:szCs w:val="22"/>
              </w:rPr>
            </w:pPr>
            <w:r>
              <w:rPr>
                <w:rFonts w:eastAsia="等线"/>
                <w:color w:val="000000"/>
              </w:rPr>
              <w:t>-11.68%</w:t>
            </w:r>
          </w:p>
        </w:tc>
        <w:tc>
          <w:tcPr>
            <w:tcW w:w="953" w:type="pct"/>
            <w:tcBorders>
              <w:top w:val="nil"/>
              <w:left w:val="nil"/>
              <w:bottom w:val="single" w:color="auto" w:sz="4" w:space="0"/>
              <w:right w:val="single" w:color="auto" w:sz="4" w:space="0"/>
            </w:tcBorders>
            <w:vAlign w:val="center"/>
          </w:tcPr>
          <w:p w14:paraId="6B8D3F37">
            <w:pPr>
              <w:widowControl/>
              <w:jc w:val="center"/>
              <w:rPr>
                <w:rFonts w:eastAsia="等线"/>
                <w:color w:val="000000"/>
                <w:kern w:val="0"/>
                <w:sz w:val="22"/>
                <w:szCs w:val="22"/>
              </w:rPr>
            </w:pPr>
            <w:r>
              <w:rPr>
                <w:rFonts w:eastAsia="等线"/>
                <w:color w:val="000000"/>
              </w:rPr>
              <w:t>-13.48%</w:t>
            </w:r>
          </w:p>
        </w:tc>
      </w:tr>
      <w:tr w14:paraId="716C0C16">
        <w:tblPrEx>
          <w:tblCellMar>
            <w:top w:w="0" w:type="dxa"/>
            <w:left w:w="108" w:type="dxa"/>
            <w:bottom w:w="0" w:type="dxa"/>
            <w:right w:w="108" w:type="dxa"/>
          </w:tblCellMar>
        </w:tblPrEx>
        <w:trPr>
          <w:trHeight w:val="454" w:hRule="atLeast"/>
        </w:trPr>
        <w:tc>
          <w:tcPr>
            <w:tcW w:w="1145" w:type="pct"/>
            <w:vMerge w:val="continue"/>
            <w:tcBorders>
              <w:top w:val="nil"/>
              <w:left w:val="single" w:color="auto" w:sz="4" w:space="0"/>
              <w:bottom w:val="single" w:color="auto" w:sz="4" w:space="0"/>
              <w:right w:val="single" w:color="auto" w:sz="4" w:space="0"/>
            </w:tcBorders>
            <w:vAlign w:val="center"/>
          </w:tcPr>
          <w:p w14:paraId="506F3318">
            <w:pPr>
              <w:widowControl/>
              <w:jc w:val="left"/>
              <w:rPr>
                <w:rFonts w:hint="eastAsia" w:ascii="宋体" w:hAnsi="宋体" w:cs="宋体"/>
                <w:color w:val="000000"/>
                <w:kern w:val="0"/>
                <w:sz w:val="22"/>
                <w:szCs w:val="22"/>
              </w:rPr>
            </w:pPr>
          </w:p>
        </w:tc>
        <w:tc>
          <w:tcPr>
            <w:tcW w:w="832" w:type="pct"/>
            <w:tcBorders>
              <w:top w:val="nil"/>
              <w:left w:val="nil"/>
              <w:bottom w:val="single" w:color="auto" w:sz="4" w:space="0"/>
              <w:right w:val="single" w:color="auto" w:sz="4" w:space="0"/>
            </w:tcBorders>
            <w:vAlign w:val="center"/>
          </w:tcPr>
          <w:p w14:paraId="550808EB">
            <w:pPr>
              <w:widowControl/>
              <w:jc w:val="center"/>
              <w:rPr>
                <w:rFonts w:eastAsia="等线"/>
                <w:color w:val="000000"/>
                <w:kern w:val="0"/>
                <w:sz w:val="22"/>
                <w:szCs w:val="22"/>
              </w:rPr>
            </w:pPr>
            <w:r>
              <w:rPr>
                <w:rFonts w:eastAsia="等线"/>
                <w:color w:val="000000"/>
                <w:kern w:val="0"/>
                <w:sz w:val="22"/>
                <w:szCs w:val="22"/>
              </w:rPr>
              <w:t>95%</w:t>
            </w:r>
          </w:p>
        </w:tc>
        <w:tc>
          <w:tcPr>
            <w:tcW w:w="1118" w:type="pct"/>
            <w:tcBorders>
              <w:top w:val="nil"/>
              <w:left w:val="nil"/>
              <w:bottom w:val="single" w:color="auto" w:sz="4" w:space="0"/>
              <w:right w:val="single" w:color="auto" w:sz="4" w:space="0"/>
            </w:tcBorders>
            <w:vAlign w:val="center"/>
          </w:tcPr>
          <w:p w14:paraId="304AFA1C">
            <w:pPr>
              <w:widowControl/>
              <w:jc w:val="center"/>
              <w:rPr>
                <w:rFonts w:eastAsia="等线"/>
                <w:color w:val="000000"/>
                <w:kern w:val="0"/>
                <w:sz w:val="22"/>
                <w:szCs w:val="22"/>
              </w:rPr>
            </w:pPr>
            <w:r>
              <w:rPr>
                <w:rFonts w:eastAsia="等线"/>
                <w:color w:val="000000"/>
              </w:rPr>
              <w:t>-23.61%</w:t>
            </w:r>
          </w:p>
        </w:tc>
        <w:tc>
          <w:tcPr>
            <w:tcW w:w="952" w:type="pct"/>
            <w:tcBorders>
              <w:top w:val="nil"/>
              <w:left w:val="nil"/>
              <w:bottom w:val="single" w:color="auto" w:sz="4" w:space="0"/>
              <w:right w:val="single" w:color="auto" w:sz="4" w:space="0"/>
            </w:tcBorders>
            <w:vAlign w:val="center"/>
          </w:tcPr>
          <w:p w14:paraId="4769DCBD">
            <w:pPr>
              <w:widowControl/>
              <w:jc w:val="center"/>
              <w:rPr>
                <w:rFonts w:eastAsia="等线"/>
                <w:color w:val="000000"/>
                <w:kern w:val="0"/>
                <w:sz w:val="22"/>
                <w:szCs w:val="22"/>
              </w:rPr>
            </w:pPr>
            <w:r>
              <w:rPr>
                <w:rFonts w:eastAsia="等线"/>
                <w:color w:val="000000"/>
              </w:rPr>
              <w:t>-31.07%</w:t>
            </w:r>
          </w:p>
        </w:tc>
        <w:tc>
          <w:tcPr>
            <w:tcW w:w="953" w:type="pct"/>
            <w:tcBorders>
              <w:top w:val="nil"/>
              <w:left w:val="nil"/>
              <w:bottom w:val="single" w:color="auto" w:sz="4" w:space="0"/>
              <w:right w:val="single" w:color="auto" w:sz="4" w:space="0"/>
            </w:tcBorders>
            <w:vAlign w:val="center"/>
          </w:tcPr>
          <w:p w14:paraId="43460CF6">
            <w:pPr>
              <w:widowControl/>
              <w:jc w:val="center"/>
              <w:rPr>
                <w:rFonts w:eastAsia="等线"/>
                <w:color w:val="000000"/>
                <w:kern w:val="0"/>
                <w:sz w:val="22"/>
                <w:szCs w:val="22"/>
              </w:rPr>
            </w:pPr>
            <w:r>
              <w:rPr>
                <w:rFonts w:eastAsia="等线"/>
                <w:color w:val="000000"/>
              </w:rPr>
              <w:t>-31.65%</w:t>
            </w:r>
          </w:p>
        </w:tc>
      </w:tr>
    </w:tbl>
    <w:p w14:paraId="08433E4B">
      <w:pPr>
        <w:autoSpaceDE w:val="0"/>
        <w:autoSpaceDN w:val="0"/>
        <w:spacing w:line="600" w:lineRule="exact"/>
        <w:ind w:firstLine="560" w:firstLineChars="200"/>
        <w:textAlignment w:val="baseline"/>
        <w:rPr>
          <w:sz w:val="28"/>
          <w:szCs w:val="28"/>
          <w:lang w:val="zh-CN"/>
        </w:rPr>
      </w:pPr>
      <w:r>
        <w:rPr>
          <w:kern w:val="0"/>
          <w:sz w:val="28"/>
          <w:szCs w:val="28"/>
          <w:lang w:val="zh-CN"/>
        </w:rPr>
        <w:t>随着平阴县社会经济的快速发展，仍将面临较为严峻的水资源供需矛盾</w:t>
      </w:r>
      <w:r>
        <w:rPr>
          <w:rFonts w:hint="eastAsia"/>
          <w:kern w:val="0"/>
          <w:sz w:val="28"/>
          <w:szCs w:val="28"/>
          <w:lang w:val="zh-CN"/>
        </w:rPr>
        <w:t>。</w:t>
      </w:r>
      <w:r>
        <w:rPr>
          <w:rFonts w:hint="eastAsia"/>
          <w:sz w:val="28"/>
          <w:szCs w:val="28"/>
          <w:lang w:val="zh-CN"/>
        </w:rPr>
        <w:t>因此，平阴县应通过</w:t>
      </w:r>
      <w:r>
        <w:rPr>
          <w:sz w:val="28"/>
          <w:szCs w:val="28"/>
          <w:lang w:val="zh-CN"/>
        </w:rPr>
        <w:t>对有限的水资源在各用水部门间进行合理配置，以发挥其最大效益；</w:t>
      </w:r>
      <w:r>
        <w:rPr>
          <w:rFonts w:hint="eastAsia"/>
          <w:sz w:val="28"/>
          <w:szCs w:val="28"/>
          <w:lang w:val="zh-CN"/>
        </w:rPr>
        <w:t>优化农业种植结构，积极开展输水渠道的修缮改造和配套灌溉工程，大力推广低压管道灌溉、喷灌、滴灌等节水灌溉技术，不断提高农田灌溉水有效利用系数；实施工业技术和用水工业改造，淘汰“三高”企业，转换“绿色”产业，提高工业节水和用水效率</w:t>
      </w:r>
      <w:r>
        <w:rPr>
          <w:sz w:val="28"/>
          <w:szCs w:val="28"/>
          <w:lang w:val="zh-CN"/>
        </w:rPr>
        <w:t>；积极兴建水资源开发利用工程，增加</w:t>
      </w:r>
      <w:r>
        <w:rPr>
          <w:rFonts w:hint="eastAsia"/>
          <w:sz w:val="28"/>
          <w:szCs w:val="28"/>
          <w:lang w:val="zh-CN"/>
        </w:rPr>
        <w:t>各类水源的</w:t>
      </w:r>
      <w:r>
        <w:rPr>
          <w:sz w:val="28"/>
          <w:szCs w:val="28"/>
          <w:lang w:val="zh-CN"/>
        </w:rPr>
        <w:t>可供水量；</w:t>
      </w:r>
      <w:r>
        <w:rPr>
          <w:rFonts w:hint="eastAsia"/>
          <w:sz w:val="28"/>
          <w:szCs w:val="28"/>
          <w:lang w:val="zh-CN"/>
        </w:rPr>
        <w:t>大力推进再生水等非常规水源的开发利用</w:t>
      </w:r>
      <w:r>
        <w:rPr>
          <w:sz w:val="28"/>
          <w:szCs w:val="28"/>
          <w:lang w:val="zh-CN"/>
        </w:rPr>
        <w:t>。</w:t>
      </w:r>
      <w:r>
        <w:rPr>
          <w:rFonts w:hint="eastAsia"/>
          <w:sz w:val="28"/>
          <w:szCs w:val="28"/>
          <w:lang w:val="zh-CN"/>
        </w:rPr>
        <w:t>由于</w:t>
      </w:r>
      <w:r>
        <w:rPr>
          <w:kern w:val="0"/>
          <w:sz w:val="28"/>
          <w:szCs w:val="28"/>
          <w:lang w:val="zh-CN"/>
        </w:rPr>
        <w:t>平阴县</w:t>
      </w:r>
      <w:r>
        <w:rPr>
          <w:rFonts w:hint="eastAsia"/>
          <w:sz w:val="28"/>
          <w:szCs w:val="28"/>
          <w:lang w:val="zh-CN"/>
        </w:rPr>
        <w:t>水资源时空分配不均，应</w:t>
      </w:r>
      <w:r>
        <w:rPr>
          <w:sz w:val="28"/>
          <w:szCs w:val="28"/>
          <w:lang w:val="zh-CN"/>
        </w:rPr>
        <w:t>采取综合措施，</w:t>
      </w:r>
      <w:r>
        <w:rPr>
          <w:rFonts w:hint="eastAsia"/>
          <w:sz w:val="28"/>
          <w:szCs w:val="28"/>
          <w:lang w:val="zh-CN"/>
        </w:rPr>
        <w:t>对全县水资源进行合理调配，优化水资源配置，</w:t>
      </w:r>
      <w:r>
        <w:rPr>
          <w:sz w:val="28"/>
          <w:szCs w:val="28"/>
          <w:lang w:val="zh-CN"/>
        </w:rPr>
        <w:t>逐步缓解</w:t>
      </w:r>
      <w:r>
        <w:rPr>
          <w:kern w:val="0"/>
          <w:sz w:val="28"/>
          <w:szCs w:val="28"/>
          <w:lang w:val="zh-CN"/>
        </w:rPr>
        <w:t>平阴县</w:t>
      </w:r>
      <w:r>
        <w:rPr>
          <w:sz w:val="28"/>
          <w:szCs w:val="28"/>
          <w:lang w:val="zh-CN"/>
        </w:rPr>
        <w:t>水资源供需矛盾，促进水资源的可持续利用，支撑</w:t>
      </w:r>
      <w:r>
        <w:rPr>
          <w:kern w:val="0"/>
          <w:sz w:val="28"/>
          <w:szCs w:val="28"/>
          <w:lang w:val="zh-CN"/>
        </w:rPr>
        <w:t>平阴县</w:t>
      </w:r>
      <w:r>
        <w:rPr>
          <w:rFonts w:hint="eastAsia"/>
          <w:sz w:val="28"/>
          <w:szCs w:val="28"/>
          <w:lang w:val="zh-CN"/>
        </w:rPr>
        <w:t>的</w:t>
      </w:r>
      <w:r>
        <w:rPr>
          <w:sz w:val="28"/>
          <w:szCs w:val="28"/>
          <w:lang w:val="zh-CN"/>
        </w:rPr>
        <w:t>经济、社会、环境的协调可持续发展。</w:t>
      </w:r>
    </w:p>
    <w:p w14:paraId="183B0161">
      <w:pPr>
        <w:autoSpaceDE w:val="0"/>
        <w:autoSpaceDN w:val="0"/>
        <w:adjustRightInd w:val="0"/>
        <w:snapToGrid w:val="0"/>
        <w:spacing w:line="600" w:lineRule="exact"/>
        <w:textAlignment w:val="bottom"/>
        <w:outlineLvl w:val="2"/>
        <w:rPr>
          <w:b/>
          <w:bCs/>
          <w:color w:val="000000" w:themeColor="text1"/>
          <w:sz w:val="28"/>
          <w:szCs w:val="28"/>
        </w:rPr>
      </w:pPr>
      <w:bookmarkStart w:id="99" w:name="_Toc144243709"/>
      <w:r>
        <w:rPr>
          <w:b/>
          <w:bCs/>
          <w:color w:val="000000" w:themeColor="text1"/>
          <w:sz w:val="28"/>
          <w:szCs w:val="28"/>
        </w:rPr>
        <w:t>2.3.</w:t>
      </w:r>
      <w:r>
        <w:rPr>
          <w:rFonts w:hint="eastAsia"/>
          <w:b/>
          <w:bCs/>
          <w:color w:val="000000" w:themeColor="text1"/>
          <w:sz w:val="28"/>
          <w:szCs w:val="28"/>
        </w:rPr>
        <w:t>5</w:t>
      </w:r>
      <w:r>
        <w:rPr>
          <w:b/>
          <w:bCs/>
          <w:color w:val="000000" w:themeColor="text1"/>
          <w:sz w:val="28"/>
          <w:szCs w:val="28"/>
        </w:rPr>
        <w:t xml:space="preserve"> </w:t>
      </w:r>
      <w:r>
        <w:rPr>
          <w:rFonts w:hint="eastAsia"/>
          <w:b/>
          <w:bCs/>
          <w:color w:val="000000" w:themeColor="text1"/>
          <w:sz w:val="28"/>
          <w:szCs w:val="28"/>
        </w:rPr>
        <w:t>水资源管理三条红线控制性指标情况</w:t>
      </w:r>
      <w:bookmarkEnd w:id="99"/>
    </w:p>
    <w:p w14:paraId="4786D687">
      <w:pPr>
        <w:tabs>
          <w:tab w:val="left" w:pos="5400"/>
        </w:tabs>
        <w:spacing w:line="600" w:lineRule="exact"/>
        <w:ind w:firstLine="560" w:firstLineChars="200"/>
        <w:rPr>
          <w:color w:val="000000" w:themeColor="text1"/>
          <w:sz w:val="28"/>
          <w:szCs w:val="28"/>
        </w:rPr>
      </w:pPr>
      <w:r>
        <w:rPr>
          <w:color w:val="000000" w:themeColor="text1"/>
          <w:sz w:val="28"/>
          <w:szCs w:val="28"/>
        </w:rPr>
        <w:t>1、用水总量控制指标</w:t>
      </w:r>
    </w:p>
    <w:p w14:paraId="1AE0C639">
      <w:pPr>
        <w:tabs>
          <w:tab w:val="left" w:pos="5400"/>
        </w:tabs>
        <w:spacing w:line="600" w:lineRule="exact"/>
        <w:ind w:firstLine="560" w:firstLineChars="200"/>
        <w:rPr>
          <w:color w:val="000000" w:themeColor="text1"/>
          <w:sz w:val="28"/>
          <w:szCs w:val="28"/>
        </w:rPr>
      </w:pPr>
      <w:r>
        <w:rPr>
          <w:color w:val="000000" w:themeColor="text1"/>
          <w:sz w:val="28"/>
          <w:szCs w:val="28"/>
        </w:rPr>
        <w:t>根据《济南市城乡水务局关于印发各区县202</w:t>
      </w:r>
      <w:r>
        <w:rPr>
          <w:rFonts w:hint="eastAsia"/>
          <w:color w:val="000000" w:themeColor="text1"/>
          <w:sz w:val="28"/>
          <w:szCs w:val="28"/>
        </w:rPr>
        <w:t>3</w:t>
      </w:r>
      <w:r>
        <w:rPr>
          <w:color w:val="000000" w:themeColor="text1"/>
          <w:sz w:val="28"/>
          <w:szCs w:val="28"/>
        </w:rPr>
        <w:t>年度水资源管理控制目标的通知》（济水发〔202</w:t>
      </w:r>
      <w:r>
        <w:rPr>
          <w:rFonts w:hint="eastAsia"/>
          <w:color w:val="000000" w:themeColor="text1"/>
          <w:sz w:val="28"/>
          <w:szCs w:val="28"/>
        </w:rPr>
        <w:t>3</w:t>
      </w:r>
      <w:r>
        <w:rPr>
          <w:color w:val="000000" w:themeColor="text1"/>
          <w:sz w:val="28"/>
          <w:szCs w:val="28"/>
        </w:rPr>
        <w:t>〕</w:t>
      </w:r>
      <w:r>
        <w:rPr>
          <w:rFonts w:hint="eastAsia"/>
          <w:color w:val="000000" w:themeColor="text1"/>
          <w:sz w:val="28"/>
          <w:szCs w:val="28"/>
        </w:rPr>
        <w:t>52</w:t>
      </w:r>
      <w:r>
        <w:rPr>
          <w:color w:val="000000" w:themeColor="text1"/>
          <w:sz w:val="28"/>
          <w:szCs w:val="28"/>
        </w:rPr>
        <w:t>号）可知，202</w:t>
      </w:r>
      <w:r>
        <w:rPr>
          <w:rFonts w:hint="eastAsia"/>
          <w:color w:val="000000" w:themeColor="text1"/>
          <w:sz w:val="28"/>
          <w:szCs w:val="28"/>
        </w:rPr>
        <w:t>3</w:t>
      </w:r>
      <w:r>
        <w:rPr>
          <w:color w:val="000000" w:themeColor="text1"/>
          <w:sz w:val="28"/>
          <w:szCs w:val="28"/>
        </w:rPr>
        <w:t>年平阴县用水总量控制指标1.07亿m</w:t>
      </w:r>
      <w:r>
        <w:rPr>
          <w:color w:val="000000" w:themeColor="text1"/>
          <w:sz w:val="28"/>
          <w:szCs w:val="28"/>
          <w:vertAlign w:val="superscript"/>
        </w:rPr>
        <w:t>3</w:t>
      </w:r>
      <w:r>
        <w:rPr>
          <w:color w:val="000000" w:themeColor="text1"/>
          <w:sz w:val="28"/>
          <w:szCs w:val="28"/>
        </w:rPr>
        <w:t>，其中非常规水源为0.05亿m</w:t>
      </w:r>
      <w:r>
        <w:rPr>
          <w:color w:val="000000" w:themeColor="text1"/>
          <w:sz w:val="28"/>
          <w:szCs w:val="28"/>
          <w:vertAlign w:val="superscript"/>
        </w:rPr>
        <w:t>3</w:t>
      </w:r>
      <w:r>
        <w:rPr>
          <w:color w:val="000000" w:themeColor="text1"/>
          <w:sz w:val="28"/>
          <w:szCs w:val="28"/>
        </w:rPr>
        <w:t>，常规水源为1.02亿m</w:t>
      </w:r>
      <w:r>
        <w:rPr>
          <w:color w:val="000000" w:themeColor="text1"/>
          <w:sz w:val="28"/>
          <w:szCs w:val="28"/>
          <w:vertAlign w:val="superscript"/>
        </w:rPr>
        <w:t>3</w:t>
      </w:r>
      <w:r>
        <w:rPr>
          <w:color w:val="000000" w:themeColor="text1"/>
          <w:sz w:val="28"/>
          <w:szCs w:val="28"/>
        </w:rPr>
        <w:t>。202</w:t>
      </w:r>
      <w:r>
        <w:rPr>
          <w:rFonts w:hint="eastAsia"/>
          <w:color w:val="000000" w:themeColor="text1"/>
          <w:sz w:val="28"/>
          <w:szCs w:val="28"/>
        </w:rPr>
        <w:t>3</w:t>
      </w:r>
      <w:r>
        <w:rPr>
          <w:color w:val="000000" w:themeColor="text1"/>
          <w:sz w:val="28"/>
          <w:szCs w:val="28"/>
        </w:rPr>
        <w:t>年平阴县实际用水量为104</w:t>
      </w:r>
      <w:r>
        <w:rPr>
          <w:rFonts w:hint="eastAsia"/>
          <w:color w:val="000000" w:themeColor="text1"/>
          <w:sz w:val="28"/>
          <w:szCs w:val="28"/>
        </w:rPr>
        <w:t>10</w:t>
      </w:r>
      <w:r>
        <w:rPr>
          <w:color w:val="000000" w:themeColor="text1"/>
          <w:sz w:val="28"/>
          <w:szCs w:val="28"/>
        </w:rPr>
        <w:t>亿m</w:t>
      </w:r>
      <w:r>
        <w:rPr>
          <w:color w:val="000000" w:themeColor="text1"/>
          <w:sz w:val="28"/>
          <w:szCs w:val="28"/>
          <w:vertAlign w:val="superscript"/>
        </w:rPr>
        <w:t>3</w:t>
      </w:r>
      <w:r>
        <w:rPr>
          <w:color w:val="000000" w:themeColor="text1"/>
          <w:sz w:val="28"/>
          <w:szCs w:val="28"/>
        </w:rPr>
        <w:t>，其中非常规水源为</w:t>
      </w:r>
      <w:r>
        <w:rPr>
          <w:rFonts w:hint="eastAsia"/>
          <w:color w:val="000000" w:themeColor="text1"/>
          <w:sz w:val="28"/>
          <w:szCs w:val="28"/>
        </w:rPr>
        <w:t>864万</w:t>
      </w:r>
      <w:r>
        <w:rPr>
          <w:color w:val="000000" w:themeColor="text1"/>
          <w:sz w:val="28"/>
          <w:szCs w:val="28"/>
        </w:rPr>
        <w:t>m</w:t>
      </w:r>
      <w:r>
        <w:rPr>
          <w:color w:val="000000" w:themeColor="text1"/>
          <w:sz w:val="28"/>
          <w:szCs w:val="28"/>
          <w:vertAlign w:val="superscript"/>
        </w:rPr>
        <w:t>3</w:t>
      </w:r>
      <w:r>
        <w:rPr>
          <w:color w:val="000000" w:themeColor="text1"/>
          <w:sz w:val="28"/>
          <w:szCs w:val="28"/>
        </w:rPr>
        <w:t>，常规水源为</w:t>
      </w:r>
      <w:r>
        <w:rPr>
          <w:rFonts w:hint="eastAsia"/>
          <w:color w:val="000000" w:themeColor="text1"/>
          <w:sz w:val="28"/>
          <w:szCs w:val="28"/>
        </w:rPr>
        <w:t>9545万</w:t>
      </w:r>
      <w:r>
        <w:rPr>
          <w:color w:val="000000" w:themeColor="text1"/>
          <w:sz w:val="28"/>
          <w:szCs w:val="28"/>
        </w:rPr>
        <w:t>m</w:t>
      </w:r>
      <w:r>
        <w:rPr>
          <w:color w:val="000000" w:themeColor="text1"/>
          <w:sz w:val="28"/>
          <w:szCs w:val="28"/>
          <w:vertAlign w:val="superscript"/>
        </w:rPr>
        <w:t>3</w:t>
      </w:r>
      <w:r>
        <w:rPr>
          <w:color w:val="000000" w:themeColor="text1"/>
          <w:sz w:val="28"/>
          <w:szCs w:val="28"/>
        </w:rPr>
        <w:t>；则平阴县202</w:t>
      </w:r>
      <w:r>
        <w:rPr>
          <w:rFonts w:hint="eastAsia"/>
          <w:color w:val="000000" w:themeColor="text1"/>
          <w:sz w:val="28"/>
          <w:szCs w:val="28"/>
        </w:rPr>
        <w:t>3</w:t>
      </w:r>
      <w:r>
        <w:rPr>
          <w:color w:val="000000" w:themeColor="text1"/>
          <w:sz w:val="28"/>
          <w:szCs w:val="28"/>
        </w:rPr>
        <w:t>年实际用水量与用水总量控制指标相比，仍有</w:t>
      </w:r>
      <w:r>
        <w:rPr>
          <w:rFonts w:hint="eastAsia"/>
          <w:color w:val="000000" w:themeColor="text1"/>
          <w:sz w:val="28"/>
          <w:szCs w:val="28"/>
        </w:rPr>
        <w:t>655</w:t>
      </w:r>
      <w:r>
        <w:rPr>
          <w:color w:val="000000" w:themeColor="text1"/>
          <w:sz w:val="28"/>
          <w:szCs w:val="28"/>
        </w:rPr>
        <w:t>万m</w:t>
      </w:r>
      <w:r>
        <w:rPr>
          <w:color w:val="000000" w:themeColor="text1"/>
          <w:sz w:val="28"/>
          <w:szCs w:val="28"/>
          <w:vertAlign w:val="superscript"/>
        </w:rPr>
        <w:t>3</w:t>
      </w:r>
      <w:r>
        <w:rPr>
          <w:color w:val="000000" w:themeColor="text1"/>
          <w:sz w:val="28"/>
          <w:szCs w:val="28"/>
        </w:rPr>
        <w:t>的</w:t>
      </w:r>
      <w:r>
        <w:rPr>
          <w:rFonts w:hint="eastAsia"/>
          <w:color w:val="000000" w:themeColor="text1"/>
          <w:sz w:val="28"/>
          <w:szCs w:val="28"/>
        </w:rPr>
        <w:t>常规水源</w:t>
      </w:r>
      <w:r>
        <w:rPr>
          <w:color w:val="000000" w:themeColor="text1"/>
          <w:sz w:val="28"/>
          <w:szCs w:val="28"/>
        </w:rPr>
        <w:t>指标余量。因此，202</w:t>
      </w:r>
      <w:r>
        <w:rPr>
          <w:rFonts w:hint="eastAsia"/>
          <w:color w:val="000000" w:themeColor="text1"/>
          <w:sz w:val="28"/>
          <w:szCs w:val="28"/>
        </w:rPr>
        <w:t>3</w:t>
      </w:r>
      <w:r>
        <w:rPr>
          <w:color w:val="000000" w:themeColor="text1"/>
          <w:sz w:val="28"/>
          <w:szCs w:val="28"/>
        </w:rPr>
        <w:t>年平阴县实际用水量符合用水总量控制目标要求。</w:t>
      </w:r>
    </w:p>
    <w:p w14:paraId="6F220720">
      <w:pPr>
        <w:tabs>
          <w:tab w:val="left" w:pos="5400"/>
        </w:tabs>
        <w:spacing w:line="600" w:lineRule="exact"/>
        <w:ind w:firstLine="560" w:firstLineChars="200"/>
        <w:rPr>
          <w:color w:val="000000" w:themeColor="text1"/>
          <w:sz w:val="28"/>
          <w:szCs w:val="28"/>
        </w:rPr>
      </w:pPr>
      <w:r>
        <w:rPr>
          <w:color w:val="000000" w:themeColor="text1"/>
          <w:sz w:val="28"/>
          <w:szCs w:val="28"/>
        </w:rPr>
        <w:t>2、用水效率控制指标</w:t>
      </w:r>
    </w:p>
    <w:p w14:paraId="077836D6">
      <w:pPr>
        <w:tabs>
          <w:tab w:val="left" w:pos="5400"/>
        </w:tabs>
        <w:spacing w:line="600" w:lineRule="exact"/>
        <w:ind w:firstLine="560" w:firstLineChars="200"/>
        <w:rPr>
          <w:color w:val="000000" w:themeColor="text1"/>
          <w:sz w:val="28"/>
          <w:szCs w:val="28"/>
        </w:rPr>
      </w:pPr>
      <w:r>
        <w:rPr>
          <w:color w:val="000000" w:themeColor="text1"/>
          <w:sz w:val="28"/>
          <w:szCs w:val="28"/>
        </w:rPr>
        <w:t>根据《济南市城乡水务局关于印发各区县202</w:t>
      </w:r>
      <w:r>
        <w:rPr>
          <w:rFonts w:hint="eastAsia"/>
          <w:color w:val="000000" w:themeColor="text1"/>
          <w:sz w:val="28"/>
          <w:szCs w:val="28"/>
        </w:rPr>
        <w:t>3</w:t>
      </w:r>
      <w:r>
        <w:rPr>
          <w:color w:val="000000" w:themeColor="text1"/>
          <w:sz w:val="28"/>
          <w:szCs w:val="28"/>
        </w:rPr>
        <w:t>年度水资源管理控制目标的通知》（济水发〔202</w:t>
      </w:r>
      <w:r>
        <w:rPr>
          <w:rFonts w:hint="eastAsia"/>
          <w:color w:val="000000" w:themeColor="text1"/>
          <w:sz w:val="28"/>
          <w:szCs w:val="28"/>
        </w:rPr>
        <w:t>3</w:t>
      </w:r>
      <w:r>
        <w:rPr>
          <w:color w:val="000000" w:themeColor="text1"/>
          <w:sz w:val="28"/>
          <w:szCs w:val="28"/>
        </w:rPr>
        <w:t>〕</w:t>
      </w:r>
      <w:r>
        <w:rPr>
          <w:rFonts w:hint="eastAsia"/>
          <w:color w:val="000000" w:themeColor="text1"/>
          <w:sz w:val="28"/>
          <w:szCs w:val="28"/>
        </w:rPr>
        <w:t>52</w:t>
      </w:r>
      <w:r>
        <w:rPr>
          <w:color w:val="000000" w:themeColor="text1"/>
          <w:sz w:val="28"/>
          <w:szCs w:val="28"/>
        </w:rPr>
        <w:t>号）可知，平阴县202</w:t>
      </w:r>
      <w:r>
        <w:rPr>
          <w:rFonts w:hint="eastAsia"/>
          <w:color w:val="000000" w:themeColor="text1"/>
          <w:sz w:val="28"/>
          <w:szCs w:val="28"/>
        </w:rPr>
        <w:t>3</w:t>
      </w:r>
      <w:r>
        <w:rPr>
          <w:color w:val="000000" w:themeColor="text1"/>
          <w:sz w:val="28"/>
          <w:szCs w:val="28"/>
        </w:rPr>
        <w:t>年万元国民生产总值用水量比2020年下降幅度为</w:t>
      </w:r>
      <w:r>
        <w:rPr>
          <w:rFonts w:hint="eastAsia"/>
          <w:color w:val="000000" w:themeColor="text1"/>
          <w:sz w:val="28"/>
          <w:szCs w:val="28"/>
        </w:rPr>
        <w:t>9</w:t>
      </w:r>
      <w:r>
        <w:rPr>
          <w:color w:val="000000" w:themeColor="text1"/>
          <w:sz w:val="28"/>
          <w:szCs w:val="28"/>
        </w:rPr>
        <w:t>%，万元工业增加值用水量控制目标比2020年下降</w:t>
      </w:r>
      <w:r>
        <w:rPr>
          <w:rFonts w:hint="eastAsia"/>
          <w:color w:val="000000" w:themeColor="text1"/>
          <w:sz w:val="28"/>
          <w:szCs w:val="28"/>
        </w:rPr>
        <w:t>4</w:t>
      </w:r>
      <w:r>
        <w:rPr>
          <w:color w:val="000000" w:themeColor="text1"/>
          <w:sz w:val="28"/>
          <w:szCs w:val="28"/>
        </w:rPr>
        <w:t>%，202</w:t>
      </w:r>
      <w:r>
        <w:rPr>
          <w:rFonts w:hint="eastAsia"/>
          <w:color w:val="000000" w:themeColor="text1"/>
          <w:sz w:val="28"/>
          <w:szCs w:val="28"/>
        </w:rPr>
        <w:t>3</w:t>
      </w:r>
      <w:r>
        <w:rPr>
          <w:color w:val="000000" w:themeColor="text1"/>
          <w:sz w:val="28"/>
          <w:szCs w:val="28"/>
        </w:rPr>
        <w:t>年万元国民生产总值用水量为</w:t>
      </w:r>
      <w:r>
        <w:rPr>
          <w:rFonts w:hint="eastAsia"/>
          <w:color w:val="000000" w:themeColor="text1"/>
          <w:sz w:val="28"/>
          <w:szCs w:val="28"/>
        </w:rPr>
        <w:t>37.02</w:t>
      </w:r>
      <w:r>
        <w:rPr>
          <w:color w:val="000000" w:themeColor="text1"/>
          <w:sz w:val="28"/>
          <w:szCs w:val="28"/>
        </w:rPr>
        <w:t>m</w:t>
      </w:r>
      <w:r>
        <w:rPr>
          <w:color w:val="000000" w:themeColor="text1"/>
          <w:sz w:val="28"/>
          <w:szCs w:val="28"/>
          <w:vertAlign w:val="superscript"/>
        </w:rPr>
        <w:t>3</w:t>
      </w:r>
      <w:r>
        <w:rPr>
          <w:color w:val="000000" w:themeColor="text1"/>
          <w:sz w:val="28"/>
          <w:szCs w:val="28"/>
        </w:rPr>
        <w:t>/万元，比2020年平阴县万元国民生产总值用水量下降</w:t>
      </w:r>
      <w:r>
        <w:rPr>
          <w:rFonts w:hint="eastAsia"/>
          <w:color w:val="000000" w:themeColor="text1"/>
          <w:sz w:val="28"/>
          <w:szCs w:val="28"/>
        </w:rPr>
        <w:t>18.0</w:t>
      </w:r>
      <w:r>
        <w:rPr>
          <w:color w:val="000000" w:themeColor="text1"/>
          <w:sz w:val="28"/>
          <w:szCs w:val="28"/>
        </w:rPr>
        <w:t>%</w:t>
      </w:r>
      <w:r>
        <w:rPr>
          <w:rFonts w:hint="eastAsia"/>
          <w:color w:val="000000" w:themeColor="text1"/>
          <w:sz w:val="28"/>
          <w:szCs w:val="28"/>
        </w:rPr>
        <w:t>；</w:t>
      </w:r>
      <w:r>
        <w:rPr>
          <w:color w:val="000000" w:themeColor="text1"/>
          <w:sz w:val="28"/>
          <w:szCs w:val="28"/>
        </w:rPr>
        <w:t>万元工业增加值</w:t>
      </w:r>
      <w:r>
        <w:rPr>
          <w:rFonts w:hint="eastAsia"/>
          <w:color w:val="000000" w:themeColor="text1"/>
          <w:sz w:val="28"/>
          <w:szCs w:val="28"/>
        </w:rPr>
        <w:t>用</w:t>
      </w:r>
      <w:r>
        <w:rPr>
          <w:color w:val="000000" w:themeColor="text1"/>
          <w:sz w:val="28"/>
          <w:szCs w:val="28"/>
        </w:rPr>
        <w:t>水量为</w:t>
      </w:r>
      <w:r>
        <w:rPr>
          <w:rFonts w:hint="eastAsia"/>
          <w:color w:val="000000" w:themeColor="text1"/>
          <w:sz w:val="28"/>
          <w:szCs w:val="28"/>
        </w:rPr>
        <w:t>7.63</w:t>
      </w:r>
      <w:r>
        <w:rPr>
          <w:color w:val="000000" w:themeColor="text1"/>
          <w:sz w:val="28"/>
          <w:szCs w:val="28"/>
        </w:rPr>
        <w:t>m</w:t>
      </w:r>
      <w:r>
        <w:rPr>
          <w:color w:val="000000" w:themeColor="text1"/>
          <w:sz w:val="28"/>
          <w:szCs w:val="28"/>
          <w:vertAlign w:val="superscript"/>
        </w:rPr>
        <w:t>3</w:t>
      </w:r>
      <w:r>
        <w:rPr>
          <w:color w:val="000000" w:themeColor="text1"/>
          <w:sz w:val="28"/>
          <w:szCs w:val="28"/>
        </w:rPr>
        <w:t>/万元，比2020年平阴县万元工业增加值用水量下降</w:t>
      </w:r>
      <w:r>
        <w:rPr>
          <w:rFonts w:hint="eastAsia"/>
          <w:color w:val="000000" w:themeColor="text1"/>
          <w:sz w:val="28"/>
          <w:szCs w:val="28"/>
        </w:rPr>
        <w:t>14.14</w:t>
      </w:r>
      <w:r>
        <w:rPr>
          <w:color w:val="000000" w:themeColor="text1"/>
          <w:sz w:val="28"/>
          <w:szCs w:val="28"/>
        </w:rPr>
        <w:t>%</w:t>
      </w:r>
      <w:r>
        <w:rPr>
          <w:rFonts w:hint="eastAsia"/>
          <w:color w:val="000000" w:themeColor="text1"/>
          <w:sz w:val="28"/>
          <w:szCs w:val="28"/>
        </w:rPr>
        <w:t>；</w:t>
      </w:r>
      <w:r>
        <w:rPr>
          <w:color w:val="000000" w:themeColor="text1"/>
          <w:sz w:val="28"/>
          <w:szCs w:val="28"/>
        </w:rPr>
        <w:t>优于平阴县202</w:t>
      </w:r>
      <w:r>
        <w:rPr>
          <w:rFonts w:hint="eastAsia"/>
          <w:color w:val="000000" w:themeColor="text1"/>
          <w:sz w:val="28"/>
          <w:szCs w:val="28"/>
        </w:rPr>
        <w:t>3</w:t>
      </w:r>
      <w:r>
        <w:rPr>
          <w:color w:val="000000" w:themeColor="text1"/>
          <w:sz w:val="28"/>
          <w:szCs w:val="28"/>
        </w:rPr>
        <w:t>年万元国民生产总值用水量和万元工业增加值用水量控制目标的要求。</w:t>
      </w:r>
    </w:p>
    <w:p w14:paraId="2D9527C8">
      <w:pPr>
        <w:tabs>
          <w:tab w:val="left" w:pos="5400"/>
        </w:tabs>
        <w:spacing w:line="600" w:lineRule="exact"/>
        <w:ind w:firstLine="560" w:firstLineChars="200"/>
        <w:rPr>
          <w:color w:val="000000" w:themeColor="text1"/>
          <w:sz w:val="28"/>
          <w:szCs w:val="28"/>
        </w:rPr>
      </w:pPr>
      <w:r>
        <w:rPr>
          <w:color w:val="000000" w:themeColor="text1"/>
          <w:sz w:val="28"/>
          <w:szCs w:val="28"/>
        </w:rPr>
        <w:t>平阴县202</w:t>
      </w:r>
      <w:r>
        <w:rPr>
          <w:rFonts w:hint="eastAsia"/>
          <w:color w:val="000000" w:themeColor="text1"/>
          <w:sz w:val="28"/>
          <w:szCs w:val="28"/>
        </w:rPr>
        <w:t>3</w:t>
      </w:r>
      <w:r>
        <w:rPr>
          <w:color w:val="000000" w:themeColor="text1"/>
          <w:sz w:val="28"/>
          <w:szCs w:val="28"/>
        </w:rPr>
        <w:t>年农田灌溉水有效利用系数为0.654</w:t>
      </w:r>
      <w:r>
        <w:rPr>
          <w:rFonts w:hint="eastAsia"/>
          <w:color w:val="000000" w:themeColor="text1"/>
          <w:sz w:val="28"/>
          <w:szCs w:val="28"/>
        </w:rPr>
        <w:t>5</w:t>
      </w:r>
      <w:r>
        <w:rPr>
          <w:color w:val="000000" w:themeColor="text1"/>
          <w:sz w:val="28"/>
          <w:szCs w:val="28"/>
        </w:rPr>
        <w:t>，</w:t>
      </w:r>
      <w:r>
        <w:rPr>
          <w:rFonts w:hint="eastAsia"/>
          <w:color w:val="000000" w:themeColor="text1"/>
          <w:sz w:val="28"/>
          <w:szCs w:val="28"/>
        </w:rPr>
        <w:t>符合本年度</w:t>
      </w:r>
      <w:r>
        <w:rPr>
          <w:color w:val="000000" w:themeColor="text1"/>
          <w:sz w:val="28"/>
          <w:szCs w:val="28"/>
        </w:rPr>
        <w:t>农田灌溉水有效利用系数控制目标的要求。</w:t>
      </w:r>
    </w:p>
    <w:p w14:paraId="4E23E1B2">
      <w:pPr>
        <w:tabs>
          <w:tab w:val="left" w:pos="5400"/>
        </w:tabs>
        <w:spacing w:line="600" w:lineRule="exact"/>
        <w:ind w:firstLine="560" w:firstLineChars="200"/>
        <w:rPr>
          <w:color w:val="000000" w:themeColor="text1"/>
          <w:sz w:val="28"/>
          <w:szCs w:val="28"/>
        </w:rPr>
      </w:pPr>
      <w:r>
        <w:rPr>
          <w:color w:val="000000" w:themeColor="text1"/>
          <w:sz w:val="28"/>
          <w:szCs w:val="28"/>
        </w:rPr>
        <w:t>3、地表水功能区水质达标率控制指标</w:t>
      </w:r>
    </w:p>
    <w:p w14:paraId="519652CA">
      <w:pPr>
        <w:tabs>
          <w:tab w:val="left" w:pos="5400"/>
        </w:tabs>
        <w:spacing w:line="600" w:lineRule="exact"/>
        <w:ind w:firstLine="560" w:firstLineChars="200"/>
        <w:rPr>
          <w:color w:val="000000" w:themeColor="text1"/>
          <w:sz w:val="28"/>
          <w:szCs w:val="28"/>
        </w:rPr>
      </w:pPr>
      <w:r>
        <w:rPr>
          <w:color w:val="000000" w:themeColor="text1"/>
          <w:sz w:val="28"/>
          <w:szCs w:val="28"/>
        </w:rPr>
        <w:t>根据济南市202</w:t>
      </w:r>
      <w:r>
        <w:rPr>
          <w:rFonts w:hint="eastAsia"/>
          <w:color w:val="000000" w:themeColor="text1"/>
          <w:sz w:val="28"/>
          <w:szCs w:val="28"/>
        </w:rPr>
        <w:t>3</w:t>
      </w:r>
      <w:r>
        <w:rPr>
          <w:color w:val="000000" w:themeColor="text1"/>
          <w:sz w:val="28"/>
          <w:szCs w:val="28"/>
        </w:rPr>
        <w:t>年对平阴县水功能区水质监测分析结果和考核要求，202</w:t>
      </w:r>
      <w:r>
        <w:rPr>
          <w:rFonts w:hint="eastAsia"/>
          <w:color w:val="000000" w:themeColor="text1"/>
          <w:sz w:val="28"/>
          <w:szCs w:val="28"/>
        </w:rPr>
        <w:t>3</w:t>
      </w:r>
      <w:r>
        <w:rPr>
          <w:color w:val="000000" w:themeColor="text1"/>
          <w:sz w:val="28"/>
          <w:szCs w:val="28"/>
        </w:rPr>
        <w:t>年平阴县共考核评价4个水功能区，达标率为100%，符合平阴县地表水功能区水质达标率控制目标为100%的要求。</w:t>
      </w:r>
    </w:p>
    <w:p w14:paraId="4B6AE346">
      <w:pPr>
        <w:autoSpaceDE w:val="0"/>
        <w:autoSpaceDN w:val="0"/>
        <w:adjustRightInd w:val="0"/>
        <w:snapToGrid w:val="0"/>
        <w:spacing w:line="600" w:lineRule="exact"/>
        <w:textAlignment w:val="bottom"/>
        <w:outlineLvl w:val="2"/>
        <w:rPr>
          <w:b/>
          <w:bCs/>
          <w:color w:val="000000" w:themeColor="text1"/>
          <w:sz w:val="28"/>
          <w:szCs w:val="28"/>
        </w:rPr>
      </w:pPr>
      <w:bookmarkStart w:id="100" w:name="_Toc144243710"/>
      <w:r>
        <w:rPr>
          <w:b/>
          <w:bCs/>
          <w:color w:val="000000" w:themeColor="text1"/>
          <w:sz w:val="28"/>
          <w:szCs w:val="28"/>
        </w:rPr>
        <w:t>2.3.</w:t>
      </w:r>
      <w:r>
        <w:rPr>
          <w:rFonts w:hint="eastAsia"/>
          <w:b/>
          <w:bCs/>
          <w:color w:val="000000" w:themeColor="text1"/>
          <w:sz w:val="28"/>
          <w:szCs w:val="28"/>
        </w:rPr>
        <w:t>6 水资源开发利用存在问题</w:t>
      </w:r>
      <w:bookmarkEnd w:id="100"/>
    </w:p>
    <w:p w14:paraId="4852D5B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随着平阴县经济和社会的发展，当地水资源供需矛盾日益突出，水资源总量不足以成为制约平阴县发展的主要因素。通过分析可知，当地水资源开发利用主要存在以下问题。</w:t>
      </w:r>
    </w:p>
    <w:p w14:paraId="2CDE366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1、地表水工程老化和损坏，影响地表水供水量。目前平阴县共有小型水库53座，塘坝47座；而部分地表水工程存在坝体渗漏、坝体单薄、淤积等问题，导致不能充分利用当地地表水资源。</w:t>
      </w:r>
    </w:p>
    <w:p w14:paraId="63DB0F72">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优化水源地布置，合理开采地下水。由于地表水利用条件差，再生水利用率偏低，水资源开发利用主要依靠开采地下水，由于地下水不合理开采，造成部分水源地的地下水位出现不同程度的下降，影响了当地地下水系统的稳定。</w:t>
      </w:r>
    </w:p>
    <w:p w14:paraId="5A50500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3、非常规水利用量偏少。在黄河流域生态保护总体格局下，推进非常规水源利用是改善水环境状况、提高供水保证率的重要路径。结合平阴县生态环境和工业企业再生水需求，健全再生水利用设施以及输配水系统，构建分布式再生水利用布局；结合平阴县海绵城市建设，充分利用辖区内河流、湖泊、湿地、坑塘、沟渠等区域的水生态功能，最大限度实现雨水的滞蓄与利用。</w:t>
      </w:r>
    </w:p>
    <w:p w14:paraId="60914D62">
      <w:pPr>
        <w:tabs>
          <w:tab w:val="left" w:pos="5400"/>
        </w:tabs>
        <w:spacing w:line="600" w:lineRule="exact"/>
        <w:ind w:firstLine="560" w:firstLineChars="200"/>
        <w:rPr>
          <w:color w:val="000000" w:themeColor="text1"/>
          <w:sz w:val="28"/>
          <w:szCs w:val="28"/>
        </w:rPr>
        <w:sectPr>
          <w:pgSz w:w="11906" w:h="16838"/>
          <w:pgMar w:top="1440" w:right="1800" w:bottom="1440" w:left="1800" w:header="1020" w:footer="992" w:gutter="0"/>
          <w:cols w:space="425" w:num="1"/>
          <w:docGrid w:linePitch="312" w:charSpace="0"/>
        </w:sectPr>
      </w:pPr>
    </w:p>
    <w:p w14:paraId="1F0B2FD1">
      <w:pPr>
        <w:pageBreakBefore/>
        <w:numPr>
          <w:ilvl w:val="0"/>
          <w:numId w:val="2"/>
        </w:numPr>
        <w:tabs>
          <w:tab w:val="center" w:pos="4535"/>
          <w:tab w:val="right" w:pos="9070"/>
        </w:tabs>
        <w:spacing w:before="480" w:beforeLines="200" w:after="360" w:afterLines="150" w:line="600" w:lineRule="exact"/>
        <w:jc w:val="center"/>
        <w:outlineLvl w:val="0"/>
        <w:rPr>
          <w:b/>
          <w:color w:val="000000" w:themeColor="text1"/>
          <w:sz w:val="44"/>
          <w:szCs w:val="36"/>
        </w:rPr>
      </w:pPr>
      <w:r>
        <w:rPr>
          <w:rFonts w:hint="eastAsia"/>
          <w:b/>
          <w:color w:val="000000" w:themeColor="text1"/>
          <w:sz w:val="44"/>
          <w:szCs w:val="36"/>
        </w:rPr>
        <w:t xml:space="preserve"> </w:t>
      </w:r>
      <w:bookmarkStart w:id="101" w:name="_Toc144243711"/>
      <w:bookmarkStart w:id="102" w:name="_Toc181472929"/>
      <w:r>
        <w:rPr>
          <w:b/>
          <w:color w:val="000000" w:themeColor="text1"/>
          <w:sz w:val="44"/>
          <w:szCs w:val="36"/>
        </w:rPr>
        <w:t>再生水利用调查与评价</w:t>
      </w:r>
      <w:bookmarkEnd w:id="101"/>
      <w:bookmarkEnd w:id="102"/>
    </w:p>
    <w:p w14:paraId="6780EA51">
      <w:pPr>
        <w:adjustRightInd w:val="0"/>
        <w:snapToGrid w:val="0"/>
        <w:spacing w:line="560" w:lineRule="exact"/>
        <w:ind w:firstLine="560" w:firstLineChars="200"/>
        <w:rPr>
          <w:color w:val="000000" w:themeColor="text1"/>
          <w:sz w:val="28"/>
          <w:szCs w:val="28"/>
        </w:rPr>
      </w:pPr>
      <w:r>
        <w:rPr>
          <w:color w:val="000000" w:themeColor="text1"/>
          <w:sz w:val="28"/>
          <w:szCs w:val="28"/>
        </w:rPr>
        <w:t>再生水是指污水经适当处理后，达到一定水质指标，满足某种使用要求，可进行循环再利用的水，是一种十分宝贵的水资源，是国际公认的</w:t>
      </w:r>
      <w:r>
        <w:rPr>
          <w:rFonts w:hint="eastAsia"/>
          <w:color w:val="000000" w:themeColor="text1"/>
          <w:sz w:val="28"/>
          <w:szCs w:val="28"/>
        </w:rPr>
        <w:t>“</w:t>
      </w:r>
      <w:r>
        <w:rPr>
          <w:color w:val="000000" w:themeColor="text1"/>
          <w:sz w:val="28"/>
          <w:szCs w:val="28"/>
        </w:rPr>
        <w:t>城市第二水源</w:t>
      </w:r>
      <w:r>
        <w:rPr>
          <w:rFonts w:hint="eastAsia"/>
          <w:color w:val="000000" w:themeColor="text1"/>
          <w:sz w:val="28"/>
          <w:szCs w:val="28"/>
        </w:rPr>
        <w:t>”</w:t>
      </w:r>
      <w:r>
        <w:rPr>
          <w:color w:val="000000" w:themeColor="text1"/>
          <w:sz w:val="28"/>
          <w:szCs w:val="28"/>
        </w:rPr>
        <w:t>。再生水利用可增加供水水源，有效缓解用水总量控制压力</w:t>
      </w:r>
      <w:r>
        <w:rPr>
          <w:rFonts w:hint="eastAsia"/>
          <w:color w:val="000000" w:themeColor="text1"/>
          <w:sz w:val="28"/>
          <w:szCs w:val="28"/>
        </w:rPr>
        <w:t>，</w:t>
      </w:r>
      <w:r>
        <w:rPr>
          <w:color w:val="000000" w:themeColor="text1"/>
          <w:sz w:val="28"/>
          <w:szCs w:val="28"/>
        </w:rPr>
        <w:t>可提高水</w:t>
      </w:r>
      <w:r>
        <w:rPr>
          <w:rFonts w:hint="eastAsia"/>
          <w:color w:val="000000" w:themeColor="text1"/>
          <w:sz w:val="28"/>
          <w:szCs w:val="28"/>
        </w:rPr>
        <w:t>资源</w:t>
      </w:r>
      <w:r>
        <w:rPr>
          <w:color w:val="000000" w:themeColor="text1"/>
          <w:sz w:val="28"/>
          <w:szCs w:val="28"/>
        </w:rPr>
        <w:t>的利用效率和区域水重复利用率，可以减少废污水排放量，改善水环境，有利于排水河道提高纳污能力和恢复水生态。再生水利用是落实最严格水资源管理和水生态文明建设的重要措施之一。</w:t>
      </w:r>
    </w:p>
    <w:p w14:paraId="310E0D88">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通过对平阴县的污水排放与收集、污水处理和再生水利用等情况进行实地调研，分析评价平阴县再生水的水源、处理工艺和用水户利用情况、特点和存在问题等。</w:t>
      </w:r>
    </w:p>
    <w:p w14:paraId="2ADF88A1">
      <w:pPr>
        <w:snapToGrid w:val="0"/>
        <w:spacing w:before="120" w:beforeLines="50" w:after="120" w:afterLines="50" w:line="600" w:lineRule="exact"/>
        <w:outlineLvl w:val="1"/>
        <w:rPr>
          <w:b/>
          <w:color w:val="000000" w:themeColor="text1"/>
          <w:sz w:val="30"/>
          <w:szCs w:val="30"/>
        </w:rPr>
      </w:pPr>
      <w:bookmarkStart w:id="103" w:name="_Toc144243712"/>
      <w:bookmarkStart w:id="104" w:name="_Toc181472930"/>
      <w:r>
        <w:rPr>
          <w:b/>
          <w:color w:val="000000" w:themeColor="text1"/>
          <w:sz w:val="30"/>
          <w:szCs w:val="30"/>
        </w:rPr>
        <w:t>3.1 再生水现状调查</w:t>
      </w:r>
      <w:bookmarkEnd w:id="103"/>
      <w:bookmarkEnd w:id="104"/>
    </w:p>
    <w:p w14:paraId="3C4E0998">
      <w:pPr>
        <w:autoSpaceDE w:val="0"/>
        <w:autoSpaceDN w:val="0"/>
        <w:adjustRightInd w:val="0"/>
        <w:snapToGrid w:val="0"/>
        <w:spacing w:line="600" w:lineRule="exact"/>
        <w:textAlignment w:val="bottom"/>
        <w:outlineLvl w:val="2"/>
        <w:rPr>
          <w:b/>
          <w:color w:val="000000" w:themeColor="text1"/>
          <w:sz w:val="28"/>
          <w:szCs w:val="28"/>
        </w:rPr>
      </w:pPr>
      <w:bookmarkStart w:id="105" w:name="_Toc137737078"/>
      <w:bookmarkStart w:id="106" w:name="_Toc143780484"/>
      <w:bookmarkStart w:id="107" w:name="_Toc144243713"/>
      <w:r>
        <w:rPr>
          <w:b/>
          <w:color w:val="000000" w:themeColor="text1"/>
          <w:sz w:val="28"/>
          <w:szCs w:val="28"/>
        </w:rPr>
        <w:t>3.1.1</w:t>
      </w:r>
      <w:r>
        <w:rPr>
          <w:rFonts w:hint="eastAsia" w:ascii="宋体" w:hAnsi="宋体"/>
          <w:b/>
          <w:color w:val="000000" w:themeColor="text1"/>
          <w:sz w:val="28"/>
          <w:szCs w:val="28"/>
        </w:rPr>
        <w:t xml:space="preserve"> </w:t>
      </w:r>
      <w:r>
        <w:rPr>
          <w:b/>
          <w:color w:val="000000" w:themeColor="text1"/>
          <w:sz w:val="28"/>
          <w:szCs w:val="28"/>
        </w:rPr>
        <w:t>污水处理设施</w:t>
      </w:r>
      <w:bookmarkEnd w:id="105"/>
      <w:r>
        <w:rPr>
          <w:b/>
          <w:color w:val="000000" w:themeColor="text1"/>
          <w:sz w:val="28"/>
          <w:szCs w:val="28"/>
        </w:rPr>
        <w:t>现状</w:t>
      </w:r>
      <w:bookmarkEnd w:id="106"/>
      <w:bookmarkEnd w:id="107"/>
    </w:p>
    <w:p w14:paraId="655CF5E6">
      <w:pPr>
        <w:adjustRightInd w:val="0"/>
        <w:snapToGrid w:val="0"/>
        <w:spacing w:line="560" w:lineRule="exact"/>
        <w:ind w:firstLine="560" w:firstLineChars="200"/>
        <w:rPr>
          <w:color w:val="000000" w:themeColor="text1"/>
          <w:sz w:val="28"/>
          <w:szCs w:val="28"/>
        </w:rPr>
      </w:pPr>
      <w:r>
        <w:rPr>
          <w:color w:val="000000" w:themeColor="text1"/>
          <w:sz w:val="28"/>
          <w:szCs w:val="28"/>
        </w:rPr>
        <w:t>据调查，平阴县境内现有污水处理厂5座，分别为平阴水务发展有限公司</w:t>
      </w:r>
      <w:r>
        <w:rPr>
          <w:rFonts w:hint="eastAsia"/>
          <w:color w:val="000000" w:themeColor="text1"/>
          <w:sz w:val="28"/>
          <w:szCs w:val="28"/>
        </w:rPr>
        <w:t>（一厂）</w:t>
      </w:r>
      <w:r>
        <w:rPr>
          <w:color w:val="000000" w:themeColor="text1"/>
          <w:sz w:val="28"/>
          <w:szCs w:val="28"/>
        </w:rPr>
        <w:t>、平阴水务发展有限公司</w:t>
      </w:r>
      <w:r>
        <w:rPr>
          <w:rFonts w:hint="eastAsia"/>
          <w:color w:val="000000" w:themeColor="text1"/>
          <w:sz w:val="28"/>
          <w:szCs w:val="28"/>
        </w:rPr>
        <w:t>（二厂）</w:t>
      </w:r>
      <w:r>
        <w:rPr>
          <w:color w:val="000000" w:themeColor="text1"/>
          <w:sz w:val="28"/>
          <w:szCs w:val="28"/>
        </w:rPr>
        <w:t>、平阴水务发展有限公司（</w:t>
      </w:r>
      <w:r>
        <w:rPr>
          <w:rFonts w:hint="eastAsia"/>
          <w:color w:val="000000" w:themeColor="text1"/>
          <w:sz w:val="28"/>
          <w:szCs w:val="28"/>
        </w:rPr>
        <w:t>三厂</w:t>
      </w:r>
      <w:r>
        <w:rPr>
          <w:color w:val="000000" w:themeColor="text1"/>
          <w:sz w:val="28"/>
          <w:szCs w:val="28"/>
        </w:rPr>
        <w:t>）和平阴县中环水务有限公司</w:t>
      </w:r>
      <w:r>
        <w:rPr>
          <w:rFonts w:hint="eastAsia"/>
          <w:color w:val="000000" w:themeColor="text1"/>
          <w:sz w:val="28"/>
          <w:szCs w:val="28"/>
        </w:rPr>
        <w:t>（孔村厂）和</w:t>
      </w:r>
      <w:r>
        <w:rPr>
          <w:color w:val="000000" w:themeColor="text1"/>
          <w:sz w:val="28"/>
          <w:szCs w:val="28"/>
        </w:rPr>
        <w:t>平阴县中环水务有限公司</w:t>
      </w:r>
      <w:r>
        <w:rPr>
          <w:rFonts w:hint="eastAsia"/>
          <w:color w:val="000000" w:themeColor="text1"/>
          <w:sz w:val="28"/>
          <w:szCs w:val="28"/>
        </w:rPr>
        <w:t>（孝直厂）</w:t>
      </w:r>
      <w:r>
        <w:rPr>
          <w:color w:val="000000" w:themeColor="text1"/>
          <w:sz w:val="28"/>
          <w:szCs w:val="28"/>
        </w:rPr>
        <w:t>，设计日处理规模为8万m</w:t>
      </w:r>
      <w:r>
        <w:rPr>
          <w:color w:val="000000" w:themeColor="text1"/>
          <w:sz w:val="28"/>
          <w:szCs w:val="28"/>
          <w:vertAlign w:val="superscript"/>
        </w:rPr>
        <w:t>3</w:t>
      </w:r>
      <w:r>
        <w:rPr>
          <w:color w:val="000000" w:themeColor="text1"/>
          <w:sz w:val="28"/>
          <w:szCs w:val="28"/>
        </w:rPr>
        <w:t>/d，目前实际建设处理规模为6.0万m</w:t>
      </w:r>
      <w:r>
        <w:rPr>
          <w:color w:val="000000" w:themeColor="text1"/>
          <w:sz w:val="28"/>
          <w:szCs w:val="28"/>
          <w:vertAlign w:val="superscript"/>
        </w:rPr>
        <w:t>3</w:t>
      </w:r>
      <w:r>
        <w:rPr>
          <w:color w:val="000000" w:themeColor="text1"/>
          <w:sz w:val="28"/>
          <w:szCs w:val="28"/>
        </w:rPr>
        <w:t>/d，现状实际日处理量为</w:t>
      </w:r>
      <w:r>
        <w:rPr>
          <w:rFonts w:hint="eastAsia"/>
          <w:color w:val="000000" w:themeColor="text1"/>
          <w:sz w:val="28"/>
          <w:szCs w:val="28"/>
        </w:rPr>
        <w:t>4.6</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p>
    <w:p w14:paraId="039BF098">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1、</w:t>
      </w:r>
      <w:r>
        <w:rPr>
          <w:color w:val="000000" w:themeColor="text1"/>
          <w:sz w:val="28"/>
          <w:szCs w:val="28"/>
        </w:rPr>
        <w:t>平阴水务发展有限公司</w:t>
      </w:r>
      <w:r>
        <w:rPr>
          <w:rFonts w:hint="eastAsia"/>
          <w:color w:val="000000" w:themeColor="text1"/>
          <w:sz w:val="28"/>
          <w:szCs w:val="28"/>
        </w:rPr>
        <w:t>（一厂）</w:t>
      </w:r>
    </w:p>
    <w:p w14:paraId="3A52692C">
      <w:pPr>
        <w:adjustRightInd w:val="0"/>
        <w:snapToGrid w:val="0"/>
        <w:spacing w:line="560" w:lineRule="exact"/>
        <w:ind w:firstLine="560" w:firstLineChars="200"/>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（一厂）</w:t>
      </w:r>
      <w:r>
        <w:rPr>
          <w:color w:val="000000" w:themeColor="text1"/>
          <w:sz w:val="28"/>
          <w:szCs w:val="28"/>
        </w:rPr>
        <w:t>主要接纳处理城区生活污水和工业废水。该厂建于2004年，于2005年建成投入运营，设计规模4.0万m</w:t>
      </w:r>
      <w:r>
        <w:rPr>
          <w:color w:val="000000" w:themeColor="text1"/>
          <w:sz w:val="28"/>
          <w:szCs w:val="28"/>
          <w:vertAlign w:val="superscript"/>
        </w:rPr>
        <w:t>3</w:t>
      </w:r>
      <w:r>
        <w:rPr>
          <w:color w:val="000000" w:themeColor="text1"/>
          <w:sz w:val="28"/>
          <w:szCs w:val="28"/>
        </w:rPr>
        <w:t>/d，实际日处理量约3.</w:t>
      </w:r>
      <w:r>
        <w:rPr>
          <w:rFonts w:hint="eastAsia"/>
          <w:color w:val="000000" w:themeColor="text1"/>
          <w:sz w:val="28"/>
          <w:szCs w:val="28"/>
        </w:rPr>
        <w:t>37</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该厂处理</w:t>
      </w:r>
      <w:r>
        <w:rPr>
          <w:color w:val="000000" w:themeColor="text1"/>
          <w:sz w:val="28"/>
          <w:szCs w:val="28"/>
        </w:rPr>
        <w:t>工艺采用“粗格栅+提升泵站+细格栅+旋流沉砂池+A</w:t>
      </w:r>
      <w:r>
        <w:rPr>
          <w:color w:val="000000" w:themeColor="text1"/>
          <w:sz w:val="28"/>
          <w:szCs w:val="28"/>
          <w:vertAlign w:val="superscript"/>
        </w:rPr>
        <w:t>2</w:t>
      </w:r>
      <w:r>
        <w:rPr>
          <w:color w:val="000000" w:themeColor="text1"/>
          <w:sz w:val="28"/>
          <w:szCs w:val="28"/>
        </w:rPr>
        <w:t>O生化池+二沉池+二次提升泵站+磁混凝沉淀池+V型滤池+次氯酸钠消毒”工艺，处理后的污水执行《城镇污水处理厂污染物排放标准》（GB</w:t>
      </w:r>
      <w:r>
        <w:rPr>
          <w:rFonts w:hint="eastAsia"/>
          <w:color w:val="000000" w:themeColor="text1"/>
          <w:sz w:val="28"/>
          <w:szCs w:val="28"/>
        </w:rPr>
        <w:t xml:space="preserve"> </w:t>
      </w:r>
      <w:r>
        <w:rPr>
          <w:color w:val="000000" w:themeColor="text1"/>
          <w:sz w:val="28"/>
          <w:szCs w:val="28"/>
        </w:rPr>
        <w:t>18918-2002）一级A标准。</w:t>
      </w:r>
    </w:p>
    <w:p w14:paraId="4ADE043D">
      <w:pPr>
        <w:adjustRightInd w:val="0"/>
        <w:snapToGrid w:val="0"/>
        <w:spacing w:line="560" w:lineRule="exact"/>
        <w:ind w:firstLine="560" w:firstLineChars="200"/>
        <w:rPr>
          <w:color w:val="000000" w:themeColor="text1"/>
          <w:sz w:val="28"/>
          <w:szCs w:val="28"/>
        </w:rPr>
      </w:pPr>
      <w:bookmarkStart w:id="108" w:name="_Hlk144248104"/>
      <w:r>
        <w:rPr>
          <w:rFonts w:hint="eastAsia"/>
          <w:color w:val="000000" w:themeColor="text1"/>
          <w:sz w:val="28"/>
          <w:szCs w:val="28"/>
        </w:rPr>
        <w:t>2、</w:t>
      </w:r>
      <w:r>
        <w:rPr>
          <w:color w:val="000000" w:themeColor="text1"/>
          <w:sz w:val="28"/>
          <w:szCs w:val="28"/>
        </w:rPr>
        <w:t>平阴水务发展有限公司</w:t>
      </w:r>
      <w:r>
        <w:rPr>
          <w:rFonts w:hint="eastAsia"/>
          <w:color w:val="000000" w:themeColor="text1"/>
          <w:sz w:val="28"/>
          <w:szCs w:val="28"/>
        </w:rPr>
        <w:t>（二厂）</w:t>
      </w:r>
    </w:p>
    <w:p w14:paraId="0699970D">
      <w:pPr>
        <w:adjustRightInd w:val="0"/>
        <w:snapToGrid w:val="0"/>
        <w:spacing w:line="560" w:lineRule="exact"/>
        <w:ind w:firstLine="560" w:firstLineChars="200"/>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（二厂）</w:t>
      </w:r>
      <w:r>
        <w:rPr>
          <w:color w:val="000000" w:themeColor="text1"/>
          <w:sz w:val="28"/>
          <w:szCs w:val="28"/>
        </w:rPr>
        <w:t>主要接纳处理安城镇生活污水和工业废水。该厂建于2015年，设计规模2万m</w:t>
      </w:r>
      <w:r>
        <w:rPr>
          <w:color w:val="000000" w:themeColor="text1"/>
          <w:sz w:val="28"/>
          <w:szCs w:val="28"/>
          <w:vertAlign w:val="superscript"/>
        </w:rPr>
        <w:t>3</w:t>
      </w:r>
      <w:r>
        <w:rPr>
          <w:color w:val="000000" w:themeColor="text1"/>
          <w:sz w:val="28"/>
          <w:szCs w:val="28"/>
        </w:rPr>
        <w:t>/d，分两期建设，一期建设规模为1万m</w:t>
      </w:r>
      <w:r>
        <w:rPr>
          <w:color w:val="000000" w:themeColor="text1"/>
          <w:sz w:val="28"/>
          <w:szCs w:val="28"/>
          <w:vertAlign w:val="superscript"/>
        </w:rPr>
        <w:t>3</w:t>
      </w:r>
      <w:r>
        <w:rPr>
          <w:color w:val="000000" w:themeColor="text1"/>
          <w:sz w:val="28"/>
          <w:szCs w:val="28"/>
        </w:rPr>
        <w:t>/d，目前实际日处理量为0.</w:t>
      </w:r>
      <w:r>
        <w:rPr>
          <w:rFonts w:hint="eastAsia"/>
          <w:color w:val="000000" w:themeColor="text1"/>
          <w:sz w:val="28"/>
          <w:szCs w:val="28"/>
        </w:rPr>
        <w:t>71</w:t>
      </w:r>
      <w:r>
        <w:rPr>
          <w:color w:val="000000" w:themeColor="text1"/>
          <w:sz w:val="28"/>
          <w:szCs w:val="28"/>
        </w:rPr>
        <w:t>万m</w:t>
      </w:r>
      <w:r>
        <w:rPr>
          <w:color w:val="000000" w:themeColor="text1"/>
          <w:sz w:val="28"/>
          <w:szCs w:val="28"/>
          <w:vertAlign w:val="superscript"/>
        </w:rPr>
        <w:t>3</w:t>
      </w:r>
      <w:r>
        <w:rPr>
          <w:color w:val="000000" w:themeColor="text1"/>
          <w:sz w:val="28"/>
          <w:szCs w:val="28"/>
        </w:rPr>
        <w:t>/d左右。</w:t>
      </w:r>
      <w:r>
        <w:rPr>
          <w:rFonts w:hint="eastAsia"/>
          <w:color w:val="000000" w:themeColor="text1"/>
          <w:sz w:val="28"/>
          <w:szCs w:val="28"/>
        </w:rPr>
        <w:t>该厂处理</w:t>
      </w:r>
      <w:r>
        <w:rPr>
          <w:color w:val="000000" w:themeColor="text1"/>
          <w:sz w:val="28"/>
          <w:szCs w:val="28"/>
        </w:rPr>
        <w:t>工艺采用“粗格栅+进水泵房+细格栅+旋流沉砂池+初沉池+A</w:t>
      </w:r>
      <w:r>
        <w:rPr>
          <w:color w:val="000000" w:themeColor="text1"/>
          <w:sz w:val="28"/>
          <w:szCs w:val="28"/>
          <w:vertAlign w:val="superscript"/>
        </w:rPr>
        <w:t>2</w:t>
      </w:r>
      <w:r>
        <w:rPr>
          <w:color w:val="000000" w:themeColor="text1"/>
          <w:sz w:val="28"/>
          <w:szCs w:val="28"/>
        </w:rPr>
        <w:t>O工艺+二沉池+二次提升泵站+磁混凝沉淀池+臭氧接触池+微絮凝活性砂滤池+消毒”</w:t>
      </w:r>
      <w:r>
        <w:rPr>
          <w:rFonts w:hint="eastAsia"/>
          <w:color w:val="000000" w:themeColor="text1"/>
          <w:sz w:val="28"/>
          <w:szCs w:val="28"/>
        </w:rPr>
        <w:t>；</w:t>
      </w:r>
      <w:r>
        <w:rPr>
          <w:color w:val="000000" w:themeColor="text1"/>
          <w:sz w:val="28"/>
          <w:szCs w:val="28"/>
        </w:rPr>
        <w:t>出水水质达到《地表水环境质量标准》（GB3838-2002）</w:t>
      </w:r>
      <w:r>
        <w:rPr>
          <w:rFonts w:hint="eastAsia" w:ascii="宋体" w:hAnsi="宋体"/>
          <w:color w:val="000000" w:themeColor="text1"/>
          <w:sz w:val="28"/>
          <w:szCs w:val="28"/>
        </w:rPr>
        <w:t>Ⅳ</w:t>
      </w:r>
      <w:r>
        <w:rPr>
          <w:color w:val="000000" w:themeColor="text1"/>
          <w:sz w:val="28"/>
          <w:szCs w:val="28"/>
        </w:rPr>
        <w:t>类（TN≤15mg/L）标准。</w:t>
      </w:r>
    </w:p>
    <w:bookmarkEnd w:id="108"/>
    <w:p w14:paraId="23491B8F">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3、</w:t>
      </w:r>
      <w:r>
        <w:rPr>
          <w:color w:val="000000" w:themeColor="text1"/>
          <w:sz w:val="28"/>
          <w:szCs w:val="28"/>
        </w:rPr>
        <w:t>平阴水务发展有限公司</w:t>
      </w:r>
      <w:r>
        <w:rPr>
          <w:rFonts w:hint="eastAsia"/>
          <w:color w:val="000000" w:themeColor="text1"/>
          <w:sz w:val="28"/>
          <w:szCs w:val="28"/>
        </w:rPr>
        <w:t>（三厂）</w:t>
      </w:r>
    </w:p>
    <w:p w14:paraId="4D448DF0">
      <w:pPr>
        <w:adjustRightInd w:val="0"/>
        <w:snapToGrid w:val="0"/>
        <w:spacing w:line="560" w:lineRule="exact"/>
        <w:ind w:firstLine="560" w:firstLineChars="200"/>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（三厂）</w:t>
      </w:r>
      <w:r>
        <w:rPr>
          <w:color w:val="000000" w:themeColor="text1"/>
          <w:sz w:val="28"/>
          <w:szCs w:val="28"/>
        </w:rPr>
        <w:t>主要接纳处理东阿镇生活污水和工业废水。该厂建于2017年，占地面积8800m</w:t>
      </w:r>
      <w:r>
        <w:rPr>
          <w:color w:val="000000" w:themeColor="text1"/>
          <w:sz w:val="28"/>
          <w:szCs w:val="28"/>
          <w:vertAlign w:val="superscript"/>
        </w:rPr>
        <w:t>2</w:t>
      </w:r>
      <w:r>
        <w:rPr>
          <w:color w:val="000000" w:themeColor="text1"/>
          <w:sz w:val="28"/>
          <w:szCs w:val="28"/>
        </w:rPr>
        <w:t>，建筑面积1412m</w:t>
      </w:r>
      <w:r>
        <w:rPr>
          <w:color w:val="000000" w:themeColor="text1"/>
          <w:sz w:val="28"/>
          <w:szCs w:val="28"/>
          <w:vertAlign w:val="superscript"/>
        </w:rPr>
        <w:t>2</w:t>
      </w:r>
      <w:r>
        <w:rPr>
          <w:color w:val="000000" w:themeColor="text1"/>
          <w:sz w:val="28"/>
          <w:szCs w:val="28"/>
        </w:rPr>
        <w:t>，总设计处理规模0.6万m</w:t>
      </w:r>
      <w:r>
        <w:rPr>
          <w:color w:val="000000" w:themeColor="text1"/>
          <w:sz w:val="28"/>
          <w:szCs w:val="28"/>
          <w:vertAlign w:val="superscript"/>
        </w:rPr>
        <w:t>3</w:t>
      </w:r>
      <w:r>
        <w:rPr>
          <w:color w:val="000000" w:themeColor="text1"/>
          <w:sz w:val="28"/>
          <w:szCs w:val="28"/>
        </w:rPr>
        <w:t>/d，分两期建设，一期设计处理能力均为0.3万m</w:t>
      </w:r>
      <w:r>
        <w:rPr>
          <w:color w:val="000000" w:themeColor="text1"/>
          <w:sz w:val="28"/>
          <w:szCs w:val="28"/>
          <w:vertAlign w:val="superscript"/>
        </w:rPr>
        <w:t>3</w:t>
      </w:r>
      <w:r>
        <w:rPr>
          <w:color w:val="000000" w:themeColor="text1"/>
          <w:sz w:val="28"/>
          <w:szCs w:val="28"/>
        </w:rPr>
        <w:t>/d，目前实际日处理量为0.</w:t>
      </w:r>
      <w:r>
        <w:rPr>
          <w:rFonts w:hint="eastAsia"/>
          <w:color w:val="000000" w:themeColor="text1"/>
          <w:sz w:val="28"/>
          <w:szCs w:val="28"/>
        </w:rPr>
        <w:t>18</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该厂处理</w:t>
      </w:r>
      <w:r>
        <w:rPr>
          <w:color w:val="000000" w:themeColor="text1"/>
          <w:sz w:val="28"/>
          <w:szCs w:val="28"/>
        </w:rPr>
        <w:t>工艺采用</w:t>
      </w:r>
      <w:r>
        <w:rPr>
          <w:rFonts w:hint="eastAsia"/>
          <w:color w:val="000000" w:themeColor="text1"/>
          <w:sz w:val="28"/>
          <w:szCs w:val="28"/>
        </w:rPr>
        <w:t>“</w:t>
      </w:r>
      <w:r>
        <w:rPr>
          <w:color w:val="000000" w:themeColor="text1"/>
          <w:sz w:val="28"/>
          <w:szCs w:val="28"/>
        </w:rPr>
        <w:t>一级处理+厌氧池、缺氧池、HJDL池二级生化处理+微絮凝+活性砂滤池+紫外消毒</w:t>
      </w:r>
      <w:r>
        <w:rPr>
          <w:rFonts w:hint="eastAsia"/>
          <w:color w:val="000000" w:themeColor="text1"/>
          <w:sz w:val="28"/>
          <w:szCs w:val="28"/>
        </w:rPr>
        <w:t>”，</w:t>
      </w:r>
      <w:r>
        <w:rPr>
          <w:color w:val="000000" w:themeColor="text1"/>
          <w:sz w:val="28"/>
          <w:szCs w:val="28"/>
        </w:rPr>
        <w:t>出水水质达到《地表水环境质量标准》（GB3838-2002）Ⅳ类标准。</w:t>
      </w:r>
    </w:p>
    <w:p w14:paraId="07045802">
      <w:pPr>
        <w:adjustRightInd w:val="0"/>
        <w:snapToGrid w:val="0"/>
        <w:spacing w:line="560" w:lineRule="exact"/>
        <w:ind w:firstLine="560" w:firstLineChars="200"/>
        <w:rPr>
          <w:color w:val="000000" w:themeColor="text1"/>
          <w:sz w:val="28"/>
          <w:szCs w:val="28"/>
        </w:rPr>
      </w:pPr>
      <w:bookmarkStart w:id="109" w:name="_Hlk144248122"/>
      <w:r>
        <w:rPr>
          <w:color w:val="000000" w:themeColor="text1"/>
          <w:sz w:val="28"/>
          <w:szCs w:val="28"/>
        </w:rPr>
        <w:t>4</w:t>
      </w:r>
      <w:r>
        <w:rPr>
          <w:rFonts w:hint="eastAsia"/>
          <w:color w:val="000000" w:themeColor="text1"/>
          <w:sz w:val="28"/>
          <w:szCs w:val="28"/>
        </w:rPr>
        <w:t>、</w:t>
      </w:r>
      <w:r>
        <w:rPr>
          <w:color w:val="000000" w:themeColor="text1"/>
          <w:sz w:val="28"/>
          <w:szCs w:val="28"/>
        </w:rPr>
        <w:t>平阴县中环水务有限公司</w:t>
      </w:r>
      <w:r>
        <w:rPr>
          <w:rFonts w:hint="eastAsia"/>
          <w:color w:val="000000" w:themeColor="text1"/>
          <w:sz w:val="28"/>
          <w:szCs w:val="28"/>
        </w:rPr>
        <w:t>（孔村厂）</w:t>
      </w:r>
    </w:p>
    <w:p w14:paraId="0B3E68E7">
      <w:pPr>
        <w:adjustRightInd w:val="0"/>
        <w:snapToGrid w:val="0"/>
        <w:spacing w:line="560" w:lineRule="exact"/>
        <w:ind w:firstLine="560" w:firstLineChars="200"/>
        <w:rPr>
          <w:color w:val="000000" w:themeColor="text1"/>
          <w:sz w:val="28"/>
          <w:szCs w:val="28"/>
        </w:rPr>
      </w:pPr>
      <w:r>
        <w:rPr>
          <w:color w:val="000000" w:themeColor="text1"/>
          <w:sz w:val="28"/>
          <w:szCs w:val="28"/>
        </w:rPr>
        <w:t>平阴县中环水务有限公司</w:t>
      </w:r>
      <w:r>
        <w:rPr>
          <w:rFonts w:hint="eastAsia"/>
          <w:color w:val="000000" w:themeColor="text1"/>
          <w:sz w:val="28"/>
          <w:szCs w:val="28"/>
        </w:rPr>
        <w:t>（孔村厂）</w:t>
      </w:r>
      <w:r>
        <w:rPr>
          <w:color w:val="000000" w:themeColor="text1"/>
          <w:sz w:val="28"/>
          <w:szCs w:val="28"/>
        </w:rPr>
        <w:t>位于平阴县孔村镇东部，福禄河北岸，其服务范围为孔村镇居民生活和当地企业生产污废水。该污水处理厂设计规模为0.8万m</w:t>
      </w:r>
      <w:r>
        <w:rPr>
          <w:color w:val="000000" w:themeColor="text1"/>
          <w:sz w:val="28"/>
          <w:szCs w:val="28"/>
          <w:vertAlign w:val="superscript"/>
        </w:rPr>
        <w:t>3</w:t>
      </w:r>
      <w:r>
        <w:rPr>
          <w:color w:val="000000" w:themeColor="text1"/>
          <w:sz w:val="28"/>
          <w:szCs w:val="28"/>
        </w:rPr>
        <w:t>/d，分两期建设，其中一期处理规模为0.4万m</w:t>
      </w:r>
      <w:r>
        <w:rPr>
          <w:color w:val="000000" w:themeColor="text1"/>
          <w:sz w:val="28"/>
          <w:szCs w:val="28"/>
          <w:vertAlign w:val="superscript"/>
        </w:rPr>
        <w:t>3</w:t>
      </w:r>
      <w:r>
        <w:rPr>
          <w:color w:val="000000" w:themeColor="text1"/>
          <w:sz w:val="28"/>
          <w:szCs w:val="28"/>
        </w:rPr>
        <w:t>/d，二期处理规模为0.4万m</w:t>
      </w:r>
      <w:r>
        <w:rPr>
          <w:color w:val="000000" w:themeColor="text1"/>
          <w:sz w:val="28"/>
          <w:szCs w:val="28"/>
          <w:vertAlign w:val="superscript"/>
        </w:rPr>
        <w:t>3</w:t>
      </w:r>
      <w:r>
        <w:rPr>
          <w:color w:val="000000" w:themeColor="text1"/>
          <w:sz w:val="28"/>
          <w:szCs w:val="28"/>
        </w:rPr>
        <w:t>/d。该污水处理厂于2021年建成并投入运行，目前实际处理量为0.</w:t>
      </w:r>
      <w:r>
        <w:rPr>
          <w:rFonts w:hint="eastAsia"/>
          <w:color w:val="000000" w:themeColor="text1"/>
          <w:sz w:val="28"/>
          <w:szCs w:val="28"/>
        </w:rPr>
        <w:t>21</w:t>
      </w:r>
      <w:r>
        <w:rPr>
          <w:color w:val="000000" w:themeColor="text1"/>
          <w:sz w:val="28"/>
          <w:szCs w:val="28"/>
        </w:rPr>
        <w:t>万m</w:t>
      </w:r>
      <w:r>
        <w:rPr>
          <w:color w:val="000000" w:themeColor="text1"/>
          <w:sz w:val="28"/>
          <w:szCs w:val="28"/>
          <w:vertAlign w:val="superscript"/>
        </w:rPr>
        <w:t>3</w:t>
      </w:r>
      <w:r>
        <w:rPr>
          <w:color w:val="000000" w:themeColor="text1"/>
          <w:sz w:val="28"/>
          <w:szCs w:val="28"/>
        </w:rPr>
        <w:t>/d，采用“预处理+改良A</w:t>
      </w:r>
      <w:r>
        <w:rPr>
          <w:color w:val="000000" w:themeColor="text1"/>
          <w:sz w:val="28"/>
          <w:szCs w:val="28"/>
          <w:vertAlign w:val="superscript"/>
        </w:rPr>
        <w:t>2</w:t>
      </w:r>
      <w:r>
        <w:rPr>
          <w:color w:val="000000" w:themeColor="text1"/>
          <w:sz w:val="28"/>
          <w:szCs w:val="28"/>
        </w:rPr>
        <w:t>O+深度处理”处理工艺</w:t>
      </w:r>
      <w:r>
        <w:rPr>
          <w:rFonts w:hint="eastAsia"/>
          <w:color w:val="000000" w:themeColor="text1"/>
          <w:sz w:val="28"/>
          <w:szCs w:val="28"/>
        </w:rPr>
        <w:t>；</w:t>
      </w:r>
      <w:r>
        <w:rPr>
          <w:color w:val="000000" w:themeColor="text1"/>
          <w:sz w:val="28"/>
          <w:szCs w:val="28"/>
        </w:rPr>
        <w:t>外排水执行《城镇污水处理厂污染物排放标准》（GB18918-2002）一级A标准。</w:t>
      </w:r>
    </w:p>
    <w:bookmarkEnd w:id="109"/>
    <w:p w14:paraId="7C653261">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5、</w:t>
      </w:r>
      <w:r>
        <w:rPr>
          <w:color w:val="000000" w:themeColor="text1"/>
          <w:sz w:val="28"/>
          <w:szCs w:val="28"/>
        </w:rPr>
        <w:t>平阴县中环水务有限公司</w:t>
      </w:r>
      <w:r>
        <w:rPr>
          <w:rFonts w:hint="eastAsia"/>
          <w:color w:val="000000" w:themeColor="text1"/>
          <w:sz w:val="28"/>
          <w:szCs w:val="28"/>
        </w:rPr>
        <w:t>（孝直厂）</w:t>
      </w:r>
    </w:p>
    <w:p w14:paraId="715C868D">
      <w:pPr>
        <w:adjustRightInd w:val="0"/>
        <w:snapToGrid w:val="0"/>
        <w:spacing w:line="560" w:lineRule="exact"/>
        <w:ind w:firstLine="560" w:firstLineChars="200"/>
        <w:rPr>
          <w:color w:val="000000" w:themeColor="text1"/>
          <w:sz w:val="28"/>
          <w:szCs w:val="28"/>
        </w:rPr>
      </w:pPr>
      <w:r>
        <w:rPr>
          <w:color w:val="000000" w:themeColor="text1"/>
          <w:sz w:val="28"/>
          <w:szCs w:val="28"/>
        </w:rPr>
        <w:t>平阴县中环水务有限公司</w:t>
      </w:r>
      <w:r>
        <w:rPr>
          <w:rFonts w:hint="eastAsia"/>
          <w:color w:val="000000" w:themeColor="text1"/>
          <w:sz w:val="28"/>
          <w:szCs w:val="28"/>
        </w:rPr>
        <w:t>（孝直厂）</w:t>
      </w:r>
      <w:r>
        <w:rPr>
          <w:color w:val="000000" w:themeColor="text1"/>
          <w:sz w:val="28"/>
          <w:szCs w:val="28"/>
        </w:rPr>
        <w:t>位于平阴县孝直镇玛钢路和南环路交叉口西北侧，其服务范围为孝直镇居民生活和当地企业生产污废水。该污水处理厂设计总处理规模为0.6万m</w:t>
      </w:r>
      <w:r>
        <w:rPr>
          <w:color w:val="000000" w:themeColor="text1"/>
          <w:sz w:val="28"/>
          <w:szCs w:val="28"/>
          <w:vertAlign w:val="superscript"/>
        </w:rPr>
        <w:t>3</w:t>
      </w:r>
      <w:r>
        <w:rPr>
          <w:color w:val="000000" w:themeColor="text1"/>
          <w:sz w:val="28"/>
          <w:szCs w:val="28"/>
        </w:rPr>
        <w:t>/d，分两期建设，其中一期处理规模为0.3万m</w:t>
      </w:r>
      <w:r>
        <w:rPr>
          <w:color w:val="000000" w:themeColor="text1"/>
          <w:sz w:val="28"/>
          <w:szCs w:val="28"/>
          <w:vertAlign w:val="superscript"/>
        </w:rPr>
        <w:t>3</w:t>
      </w:r>
      <w:r>
        <w:rPr>
          <w:color w:val="000000" w:themeColor="text1"/>
          <w:sz w:val="28"/>
          <w:szCs w:val="28"/>
        </w:rPr>
        <w:t>/d，二期处理规模为0.3万m</w:t>
      </w:r>
      <w:r>
        <w:rPr>
          <w:color w:val="000000" w:themeColor="text1"/>
          <w:sz w:val="28"/>
          <w:szCs w:val="28"/>
          <w:vertAlign w:val="superscript"/>
        </w:rPr>
        <w:t>3</w:t>
      </w:r>
      <w:r>
        <w:rPr>
          <w:color w:val="000000" w:themeColor="text1"/>
          <w:sz w:val="28"/>
          <w:szCs w:val="28"/>
        </w:rPr>
        <w:t>/d。</w:t>
      </w:r>
    </w:p>
    <w:p w14:paraId="4F01978A">
      <w:pPr>
        <w:adjustRightInd w:val="0"/>
        <w:snapToGrid w:val="0"/>
        <w:spacing w:line="560" w:lineRule="exact"/>
        <w:ind w:firstLine="560" w:firstLineChars="200"/>
        <w:rPr>
          <w:color w:val="000000" w:themeColor="text1"/>
          <w:sz w:val="28"/>
          <w:szCs w:val="28"/>
        </w:rPr>
      </w:pPr>
      <w:r>
        <w:rPr>
          <w:color w:val="000000" w:themeColor="text1"/>
          <w:sz w:val="28"/>
          <w:szCs w:val="28"/>
        </w:rPr>
        <w:t>该污水处理厂于2021年建成并投入运行，目前实际处理能力为0.</w:t>
      </w:r>
      <w:r>
        <w:rPr>
          <w:rFonts w:hint="eastAsia"/>
          <w:color w:val="000000" w:themeColor="text1"/>
          <w:sz w:val="28"/>
          <w:szCs w:val="28"/>
        </w:rPr>
        <w:t>17</w:t>
      </w:r>
      <w:r>
        <w:rPr>
          <w:color w:val="000000" w:themeColor="text1"/>
          <w:sz w:val="28"/>
          <w:szCs w:val="28"/>
        </w:rPr>
        <w:t>万m</w:t>
      </w:r>
      <w:r>
        <w:rPr>
          <w:color w:val="000000" w:themeColor="text1"/>
          <w:sz w:val="28"/>
          <w:szCs w:val="28"/>
          <w:vertAlign w:val="superscript"/>
        </w:rPr>
        <w:t>3</w:t>
      </w:r>
      <w:r>
        <w:rPr>
          <w:color w:val="000000" w:themeColor="text1"/>
          <w:sz w:val="28"/>
          <w:szCs w:val="28"/>
        </w:rPr>
        <w:t>/d，采用“预处理+改良A</w:t>
      </w:r>
      <w:r>
        <w:rPr>
          <w:color w:val="000000" w:themeColor="text1"/>
          <w:sz w:val="28"/>
          <w:szCs w:val="28"/>
          <w:vertAlign w:val="superscript"/>
        </w:rPr>
        <w:t>2</w:t>
      </w:r>
      <w:r>
        <w:rPr>
          <w:color w:val="000000" w:themeColor="text1"/>
          <w:sz w:val="28"/>
          <w:szCs w:val="28"/>
        </w:rPr>
        <w:t>O+深度处理”处理工艺</w:t>
      </w:r>
      <w:r>
        <w:rPr>
          <w:rFonts w:hint="eastAsia"/>
          <w:color w:val="000000" w:themeColor="text1"/>
          <w:sz w:val="28"/>
          <w:szCs w:val="28"/>
        </w:rPr>
        <w:t>，</w:t>
      </w:r>
      <w:r>
        <w:rPr>
          <w:color w:val="000000" w:themeColor="text1"/>
          <w:sz w:val="28"/>
          <w:szCs w:val="28"/>
        </w:rPr>
        <w:t>外排水执行《城镇污水处理厂污染物排放标准》（GB18918-2002）一级A标准。</w:t>
      </w:r>
    </w:p>
    <w:p w14:paraId="39A68434">
      <w:pPr>
        <w:autoSpaceDE w:val="0"/>
        <w:autoSpaceDN w:val="0"/>
        <w:adjustRightInd w:val="0"/>
        <w:snapToGrid w:val="0"/>
        <w:spacing w:line="600" w:lineRule="exact"/>
        <w:textAlignment w:val="bottom"/>
        <w:outlineLvl w:val="2"/>
        <w:rPr>
          <w:b/>
          <w:color w:val="000000" w:themeColor="text1"/>
          <w:sz w:val="28"/>
          <w:szCs w:val="28"/>
        </w:rPr>
      </w:pPr>
      <w:bookmarkStart w:id="110" w:name="_Toc137737079"/>
      <w:bookmarkStart w:id="111" w:name="_Toc144243714"/>
      <w:bookmarkStart w:id="112" w:name="_Toc143780485"/>
      <w:r>
        <w:rPr>
          <w:b/>
          <w:color w:val="000000" w:themeColor="text1"/>
          <w:sz w:val="28"/>
          <w:szCs w:val="28"/>
        </w:rPr>
        <w:t>3.1.2 再生水</w:t>
      </w:r>
      <w:r>
        <w:rPr>
          <w:rFonts w:hint="eastAsia"/>
          <w:b/>
          <w:color w:val="000000" w:themeColor="text1"/>
          <w:sz w:val="28"/>
          <w:szCs w:val="28"/>
        </w:rPr>
        <w:t>利用</w:t>
      </w:r>
      <w:r>
        <w:rPr>
          <w:b/>
          <w:color w:val="000000" w:themeColor="text1"/>
          <w:sz w:val="28"/>
          <w:szCs w:val="28"/>
        </w:rPr>
        <w:t>设施</w:t>
      </w:r>
      <w:bookmarkEnd w:id="110"/>
      <w:r>
        <w:rPr>
          <w:b/>
          <w:color w:val="000000" w:themeColor="text1"/>
          <w:sz w:val="28"/>
          <w:szCs w:val="28"/>
        </w:rPr>
        <w:t>现状</w:t>
      </w:r>
      <w:bookmarkEnd w:id="111"/>
      <w:bookmarkEnd w:id="112"/>
    </w:p>
    <w:p w14:paraId="2A86BB76">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据实地调查，平阴县为推进污水资源化和再生水利用，已建设了再生水利用工程，用于企业生产、生态环境用水等。目前平阴县已建成并投入运行的再生水利用设施有玫城湿地及配套设施。</w:t>
      </w:r>
    </w:p>
    <w:p w14:paraId="614770B8">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平阴县于2017年开展实施锦水河水系综合治理工程</w:t>
      </w:r>
      <w:r>
        <w:rPr>
          <w:rFonts w:hint="eastAsia"/>
          <w:bCs/>
          <w:color w:val="000000" w:themeColor="text1"/>
          <w:kern w:val="44"/>
          <w:sz w:val="28"/>
          <w:szCs w:val="28"/>
        </w:rPr>
        <w:t>，其中包含再生水供水。</w:t>
      </w:r>
      <w:r>
        <w:rPr>
          <w:bCs/>
          <w:color w:val="000000" w:themeColor="text1"/>
          <w:kern w:val="44"/>
          <w:sz w:val="28"/>
          <w:szCs w:val="28"/>
        </w:rPr>
        <w:t>通过对现有河道进行疏挖并新开挖部分河段，改建阻水建筑物，新建（改建）岸坡护砌工程，提高锦水河河道的防洪除涝能力；</w:t>
      </w:r>
      <w:r>
        <w:rPr>
          <w:rFonts w:hint="eastAsia"/>
          <w:bCs/>
          <w:color w:val="000000" w:themeColor="text1"/>
          <w:kern w:val="44"/>
          <w:sz w:val="28"/>
          <w:szCs w:val="28"/>
        </w:rPr>
        <w:t>同时实施了</w:t>
      </w:r>
      <w:r>
        <w:rPr>
          <w:bCs/>
          <w:color w:val="000000" w:themeColor="text1"/>
          <w:kern w:val="44"/>
          <w:sz w:val="28"/>
          <w:szCs w:val="28"/>
        </w:rPr>
        <w:t>截污导流、生态湿地治理、再生水利用</w:t>
      </w:r>
      <w:r>
        <w:rPr>
          <w:rFonts w:hint="eastAsia"/>
          <w:bCs/>
          <w:color w:val="000000" w:themeColor="text1"/>
          <w:kern w:val="44"/>
          <w:sz w:val="28"/>
          <w:szCs w:val="28"/>
        </w:rPr>
        <w:t>工程</w:t>
      </w:r>
      <w:r>
        <w:rPr>
          <w:bCs/>
          <w:color w:val="000000" w:themeColor="text1"/>
          <w:kern w:val="44"/>
          <w:sz w:val="28"/>
          <w:szCs w:val="28"/>
        </w:rPr>
        <w:t>，改善河道生态环境。</w:t>
      </w:r>
      <w:r>
        <w:rPr>
          <w:rFonts w:hint="eastAsia"/>
          <w:bCs/>
          <w:color w:val="000000" w:themeColor="text1"/>
          <w:kern w:val="44"/>
          <w:sz w:val="28"/>
          <w:szCs w:val="28"/>
        </w:rPr>
        <w:t>2020年，</w:t>
      </w:r>
      <w:r>
        <w:rPr>
          <w:bCs/>
          <w:color w:val="000000" w:themeColor="text1"/>
          <w:kern w:val="44"/>
          <w:sz w:val="28"/>
          <w:szCs w:val="28"/>
        </w:rPr>
        <w:t>平阴县建成</w:t>
      </w:r>
      <w:r>
        <w:rPr>
          <w:rFonts w:hint="eastAsia"/>
          <w:bCs/>
          <w:color w:val="000000" w:themeColor="text1"/>
          <w:kern w:val="44"/>
          <w:sz w:val="28"/>
          <w:szCs w:val="28"/>
        </w:rPr>
        <w:t>并投入运行</w:t>
      </w:r>
      <w:r>
        <w:rPr>
          <w:bCs/>
          <w:color w:val="000000" w:themeColor="text1"/>
          <w:kern w:val="44"/>
          <w:sz w:val="28"/>
          <w:szCs w:val="28"/>
        </w:rPr>
        <w:t>玫城湿地和再生水供水工程</w:t>
      </w:r>
      <w:r>
        <w:rPr>
          <w:rFonts w:hint="eastAsia"/>
          <w:bCs/>
          <w:color w:val="000000" w:themeColor="text1"/>
          <w:kern w:val="44"/>
          <w:sz w:val="28"/>
          <w:szCs w:val="28"/>
        </w:rPr>
        <w:t>，</w:t>
      </w:r>
      <w:r>
        <w:rPr>
          <w:bCs/>
          <w:color w:val="000000" w:themeColor="text1"/>
          <w:kern w:val="44"/>
          <w:sz w:val="28"/>
          <w:szCs w:val="28"/>
        </w:rPr>
        <w:t>由平阴北控水环境开发有限公司</w:t>
      </w:r>
      <w:r>
        <w:rPr>
          <w:rFonts w:hint="eastAsia"/>
          <w:bCs/>
          <w:color w:val="000000" w:themeColor="text1"/>
          <w:kern w:val="44"/>
          <w:sz w:val="28"/>
          <w:szCs w:val="28"/>
        </w:rPr>
        <w:t>负责</w:t>
      </w:r>
      <w:r>
        <w:rPr>
          <w:bCs/>
          <w:color w:val="000000" w:themeColor="text1"/>
          <w:kern w:val="44"/>
          <w:sz w:val="28"/>
          <w:szCs w:val="28"/>
        </w:rPr>
        <w:t>运维。</w:t>
      </w:r>
    </w:p>
    <w:p w14:paraId="0CBC218E">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1</w:t>
      </w:r>
      <w:r>
        <w:rPr>
          <w:rFonts w:hint="eastAsia"/>
          <w:bCs/>
          <w:color w:val="000000" w:themeColor="text1"/>
          <w:kern w:val="44"/>
          <w:sz w:val="28"/>
          <w:szCs w:val="28"/>
        </w:rPr>
        <w:t>、</w:t>
      </w:r>
      <w:r>
        <w:rPr>
          <w:bCs/>
          <w:color w:val="000000" w:themeColor="text1"/>
          <w:kern w:val="44"/>
          <w:sz w:val="28"/>
          <w:szCs w:val="28"/>
        </w:rPr>
        <w:t>玫城湿地</w:t>
      </w:r>
    </w:p>
    <w:p w14:paraId="28600ED7">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玫城湿地位于玫城公园以北、北山路以南、锦水河以东，总面积约34万m</w:t>
      </w:r>
      <w:r>
        <w:rPr>
          <w:bCs/>
          <w:color w:val="000000" w:themeColor="text1"/>
          <w:kern w:val="44"/>
          <w:sz w:val="28"/>
          <w:szCs w:val="28"/>
          <w:vertAlign w:val="superscript"/>
        </w:rPr>
        <w:t>2</w:t>
      </w:r>
      <w:r>
        <w:rPr>
          <w:bCs/>
          <w:color w:val="000000" w:themeColor="text1"/>
          <w:kern w:val="44"/>
          <w:sz w:val="28"/>
          <w:szCs w:val="28"/>
        </w:rPr>
        <w:t>，设计处理水量2.0</w:t>
      </w:r>
      <w:r>
        <w:rPr>
          <w:rFonts w:hint="eastAsia"/>
          <w:bCs/>
          <w:color w:val="000000" w:themeColor="text1"/>
          <w:kern w:val="44"/>
          <w:sz w:val="28"/>
          <w:szCs w:val="28"/>
        </w:rPr>
        <w:t>万</w:t>
      </w:r>
      <w:r>
        <w:rPr>
          <w:bCs/>
          <w:color w:val="000000" w:themeColor="text1"/>
          <w:kern w:val="44"/>
          <w:sz w:val="28"/>
          <w:szCs w:val="28"/>
        </w:rPr>
        <w:t>m</w:t>
      </w:r>
      <w:r>
        <w:rPr>
          <w:bCs/>
          <w:color w:val="000000" w:themeColor="text1"/>
          <w:kern w:val="44"/>
          <w:sz w:val="28"/>
          <w:szCs w:val="28"/>
          <w:vertAlign w:val="superscript"/>
        </w:rPr>
        <w:t>3</w:t>
      </w:r>
      <w:r>
        <w:rPr>
          <w:bCs/>
          <w:color w:val="000000" w:themeColor="text1"/>
          <w:kern w:val="44"/>
          <w:sz w:val="28"/>
          <w:szCs w:val="28"/>
        </w:rPr>
        <w:t>/d，由潜流湿地和表流湿地两部分组成，其中潜流湿地设计为水平潜流的方式，面积4.8万m</w:t>
      </w:r>
      <w:r>
        <w:rPr>
          <w:bCs/>
          <w:color w:val="000000" w:themeColor="text1"/>
          <w:kern w:val="44"/>
          <w:sz w:val="28"/>
          <w:szCs w:val="28"/>
          <w:vertAlign w:val="superscript"/>
        </w:rPr>
        <w:t>2</w:t>
      </w:r>
      <w:r>
        <w:rPr>
          <w:bCs/>
          <w:color w:val="000000" w:themeColor="text1"/>
          <w:kern w:val="44"/>
          <w:sz w:val="28"/>
          <w:szCs w:val="28"/>
        </w:rPr>
        <w:t>，表流湿地面积约29.2万m</w:t>
      </w:r>
      <w:r>
        <w:rPr>
          <w:bCs/>
          <w:color w:val="000000" w:themeColor="text1"/>
          <w:kern w:val="44"/>
          <w:sz w:val="28"/>
          <w:szCs w:val="28"/>
          <w:vertAlign w:val="superscript"/>
        </w:rPr>
        <w:t>2</w:t>
      </w:r>
      <w:r>
        <w:rPr>
          <w:bCs/>
          <w:color w:val="000000" w:themeColor="text1"/>
          <w:kern w:val="44"/>
          <w:sz w:val="28"/>
          <w:szCs w:val="28"/>
        </w:rPr>
        <w:t>。玫城湿地是以平阴水务发展有限公司</w:t>
      </w:r>
      <w:r>
        <w:rPr>
          <w:color w:val="000000" w:themeColor="text1"/>
          <w:sz w:val="28"/>
          <w:szCs w:val="28"/>
        </w:rPr>
        <w:t>（一厂）</w:t>
      </w:r>
      <w:r>
        <w:rPr>
          <w:bCs/>
          <w:color w:val="000000" w:themeColor="text1"/>
          <w:kern w:val="44"/>
          <w:sz w:val="28"/>
          <w:szCs w:val="28"/>
        </w:rPr>
        <w:t>处理后的外排水为水源，依靠水平潜流湿地对水质进行净化，进而达到生态环境、工业等用水水质要求，再通过再生水供水工程向各用水户供再生水。</w:t>
      </w:r>
    </w:p>
    <w:p w14:paraId="0826282C">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玫城湿地设计处理水量2万m</w:t>
      </w:r>
      <w:r>
        <w:rPr>
          <w:bCs/>
          <w:color w:val="000000" w:themeColor="text1"/>
          <w:kern w:val="44"/>
          <w:sz w:val="28"/>
          <w:szCs w:val="28"/>
          <w:vertAlign w:val="superscript"/>
        </w:rPr>
        <w:t>3</w:t>
      </w:r>
      <w:r>
        <w:rPr>
          <w:bCs/>
          <w:color w:val="000000" w:themeColor="text1"/>
          <w:kern w:val="44"/>
          <w:sz w:val="28"/>
          <w:szCs w:val="28"/>
        </w:rPr>
        <w:t>/d，主要依靠水平潜流湿地进行净化，潜流湿地设计面积4.8万m</w:t>
      </w:r>
      <w:r>
        <w:rPr>
          <w:bCs/>
          <w:color w:val="000000" w:themeColor="text1"/>
          <w:kern w:val="44"/>
          <w:sz w:val="28"/>
          <w:szCs w:val="28"/>
          <w:vertAlign w:val="superscript"/>
        </w:rPr>
        <w:t>2</w:t>
      </w:r>
      <w:r>
        <w:rPr>
          <w:bCs/>
          <w:color w:val="000000" w:themeColor="text1"/>
          <w:kern w:val="44"/>
          <w:sz w:val="28"/>
          <w:szCs w:val="28"/>
        </w:rPr>
        <w:t>，湿地内设计20×30m单元格共80个，每一个单元格分别独立运行</w:t>
      </w:r>
      <w:r>
        <w:rPr>
          <w:rFonts w:hint="eastAsia"/>
          <w:bCs/>
          <w:color w:val="000000" w:themeColor="text1"/>
          <w:kern w:val="44"/>
          <w:sz w:val="28"/>
          <w:szCs w:val="28"/>
        </w:rPr>
        <w:t>。</w:t>
      </w:r>
      <w:r>
        <w:rPr>
          <w:bCs/>
          <w:color w:val="000000" w:themeColor="text1"/>
          <w:kern w:val="44"/>
          <w:sz w:val="28"/>
          <w:szCs w:val="28"/>
        </w:rPr>
        <w:t>根据项目区地形特点，结合玫城公园北门交通道路，将潜流湿地分为两部分，每部分面积约2.4万m</w:t>
      </w:r>
      <w:r>
        <w:rPr>
          <w:bCs/>
          <w:color w:val="000000" w:themeColor="text1"/>
          <w:kern w:val="44"/>
          <w:sz w:val="28"/>
          <w:szCs w:val="28"/>
          <w:vertAlign w:val="superscript"/>
        </w:rPr>
        <w:t>2</w:t>
      </w:r>
      <w:r>
        <w:rPr>
          <w:bCs/>
          <w:color w:val="000000" w:themeColor="text1"/>
          <w:kern w:val="44"/>
          <w:sz w:val="28"/>
          <w:szCs w:val="28"/>
        </w:rPr>
        <w:t>，分别位于玫城公园北门交通路的东西两侧，单元格内的填料按照砾石与火山岩1:1的比例进行填充，湿地内种植芦苇、黄花菖蒲等水生植物，湿地内，设主配水渠6条，净宽1.6m，集水渠10 条，净宽0.6m。湿地布水方式采用自流方式。</w:t>
      </w:r>
    </w:p>
    <w:p w14:paraId="3ADFE033">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再生水经潜流湿地净化处理后，再自流进入表流湿地，其面积约29.2万m</w:t>
      </w:r>
      <w:r>
        <w:rPr>
          <w:bCs/>
          <w:color w:val="000000" w:themeColor="text1"/>
          <w:kern w:val="44"/>
          <w:sz w:val="28"/>
          <w:szCs w:val="28"/>
          <w:vertAlign w:val="superscript"/>
        </w:rPr>
        <w:t>2</w:t>
      </w:r>
      <w:r>
        <w:rPr>
          <w:bCs/>
          <w:color w:val="000000" w:themeColor="text1"/>
          <w:kern w:val="44"/>
          <w:sz w:val="28"/>
          <w:szCs w:val="28"/>
        </w:rPr>
        <w:t>，湿地起到蓄水、水景观及对水平潜流湿地出水进一步净化的作用。</w:t>
      </w:r>
    </w:p>
    <w:p w14:paraId="5F29ABEA">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平阴水务发展有限公司</w:t>
      </w:r>
      <w:r>
        <w:rPr>
          <w:color w:val="000000" w:themeColor="text1"/>
          <w:sz w:val="28"/>
          <w:szCs w:val="28"/>
        </w:rPr>
        <w:t>（一厂）</w:t>
      </w:r>
      <w:r>
        <w:rPr>
          <w:bCs/>
          <w:color w:val="000000" w:themeColor="text1"/>
          <w:kern w:val="44"/>
          <w:sz w:val="28"/>
          <w:szCs w:val="28"/>
        </w:rPr>
        <w:t>出水</w:t>
      </w:r>
      <w:r>
        <w:rPr>
          <w:rFonts w:hint="eastAsia"/>
          <w:bCs/>
          <w:color w:val="000000" w:themeColor="text1"/>
          <w:kern w:val="44"/>
          <w:sz w:val="28"/>
          <w:szCs w:val="28"/>
        </w:rPr>
        <w:t>水质为</w:t>
      </w:r>
      <w:r>
        <w:rPr>
          <w:color w:val="000000" w:themeColor="text1"/>
          <w:sz w:val="28"/>
          <w:szCs w:val="28"/>
        </w:rPr>
        <w:t>《城镇污水处理厂污染物排放标准》（GB18918-2002）一级排放标准A标准</w:t>
      </w:r>
      <w:r>
        <w:rPr>
          <w:bCs/>
          <w:color w:val="000000" w:themeColor="text1"/>
          <w:kern w:val="44"/>
          <w:sz w:val="28"/>
          <w:szCs w:val="28"/>
        </w:rPr>
        <w:t>，经</w:t>
      </w:r>
      <w:r>
        <w:rPr>
          <w:rFonts w:hint="eastAsia"/>
          <w:bCs/>
          <w:color w:val="000000" w:themeColor="text1"/>
          <w:kern w:val="44"/>
          <w:sz w:val="28"/>
          <w:szCs w:val="28"/>
        </w:rPr>
        <w:t>玫城湿地处理</w:t>
      </w:r>
      <w:r>
        <w:rPr>
          <w:bCs/>
          <w:color w:val="000000" w:themeColor="text1"/>
          <w:kern w:val="44"/>
          <w:sz w:val="28"/>
          <w:szCs w:val="28"/>
        </w:rPr>
        <w:t>后，出水</w:t>
      </w:r>
      <w:r>
        <w:rPr>
          <w:rFonts w:hint="eastAsia"/>
          <w:bCs/>
          <w:color w:val="000000" w:themeColor="text1"/>
          <w:kern w:val="44"/>
          <w:sz w:val="28"/>
          <w:szCs w:val="28"/>
        </w:rPr>
        <w:t>水质</w:t>
      </w:r>
      <w:r>
        <w:rPr>
          <w:bCs/>
          <w:color w:val="000000" w:themeColor="text1"/>
          <w:kern w:val="44"/>
          <w:sz w:val="28"/>
          <w:szCs w:val="28"/>
        </w:rPr>
        <w:t>CODcr≤30mg/L，氨氮≤1.5mg/L，总磷≤0.2mg/L。</w:t>
      </w:r>
    </w:p>
    <w:p w14:paraId="5CAFCF60">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2</w:t>
      </w:r>
      <w:r>
        <w:rPr>
          <w:rFonts w:hint="eastAsia"/>
          <w:bCs/>
          <w:color w:val="000000" w:themeColor="text1"/>
          <w:kern w:val="44"/>
          <w:sz w:val="28"/>
          <w:szCs w:val="28"/>
        </w:rPr>
        <w:t>、</w:t>
      </w:r>
      <w:r>
        <w:rPr>
          <w:bCs/>
          <w:color w:val="000000" w:themeColor="text1"/>
          <w:kern w:val="44"/>
          <w:sz w:val="28"/>
          <w:szCs w:val="28"/>
        </w:rPr>
        <w:t>再生水供水工程</w:t>
      </w:r>
    </w:p>
    <w:p w14:paraId="6FBCE755">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平阴县为充分利用再生水，加大污水资源化利用，以玫城湿地处理后的再生水为水源，建设供水泵站，铺设供水管网向各工业、市政</w:t>
      </w:r>
      <w:r>
        <w:rPr>
          <w:rFonts w:hint="eastAsia"/>
          <w:bCs/>
          <w:color w:val="000000" w:themeColor="text1"/>
          <w:kern w:val="44"/>
          <w:sz w:val="28"/>
          <w:szCs w:val="28"/>
        </w:rPr>
        <w:t>景观</w:t>
      </w:r>
      <w:r>
        <w:rPr>
          <w:bCs/>
          <w:color w:val="000000" w:themeColor="text1"/>
          <w:kern w:val="44"/>
          <w:sz w:val="28"/>
          <w:szCs w:val="28"/>
        </w:rPr>
        <w:t>等用水户供水</w:t>
      </w:r>
      <w:r>
        <w:rPr>
          <w:rFonts w:hint="eastAsia"/>
          <w:bCs/>
          <w:color w:val="000000" w:themeColor="text1"/>
          <w:kern w:val="44"/>
          <w:sz w:val="28"/>
          <w:szCs w:val="28"/>
        </w:rPr>
        <w:t>；由</w:t>
      </w:r>
      <w:r>
        <w:rPr>
          <w:bCs/>
          <w:color w:val="000000" w:themeColor="text1"/>
          <w:kern w:val="44"/>
          <w:sz w:val="28"/>
          <w:szCs w:val="28"/>
        </w:rPr>
        <w:t>平阴北控水环境开发有限公司</w:t>
      </w:r>
      <w:r>
        <w:rPr>
          <w:rFonts w:hint="eastAsia"/>
          <w:bCs/>
          <w:color w:val="000000" w:themeColor="text1"/>
          <w:kern w:val="44"/>
          <w:sz w:val="28"/>
          <w:szCs w:val="28"/>
        </w:rPr>
        <w:t>负责运维。同时平阴县孔村镇部分企业为积极利用再生水，铺设再生水供水管道以肥城市石横电厂的再生水为水源，用于炭素企业生产用水。</w:t>
      </w:r>
    </w:p>
    <w:p w14:paraId="4DCDD8AD">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（1）</w:t>
      </w:r>
      <w:r>
        <w:rPr>
          <w:bCs/>
          <w:color w:val="000000" w:themeColor="text1"/>
          <w:kern w:val="44"/>
          <w:sz w:val="28"/>
          <w:szCs w:val="28"/>
        </w:rPr>
        <w:t>平阴北控水环境开发有限公司</w:t>
      </w:r>
      <w:r>
        <w:rPr>
          <w:rFonts w:hint="eastAsia"/>
          <w:bCs/>
          <w:color w:val="000000" w:themeColor="text1"/>
          <w:kern w:val="44"/>
          <w:sz w:val="28"/>
          <w:szCs w:val="28"/>
        </w:rPr>
        <w:t>再生水供水工程</w:t>
      </w:r>
    </w:p>
    <w:p w14:paraId="604BAA1B">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①</w:t>
      </w:r>
      <w:r>
        <w:rPr>
          <w:bCs/>
          <w:color w:val="000000" w:themeColor="text1"/>
          <w:kern w:val="44"/>
          <w:sz w:val="28"/>
          <w:szCs w:val="28"/>
        </w:rPr>
        <w:t>加压泵站</w:t>
      </w:r>
    </w:p>
    <w:p w14:paraId="51C9BE93">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在湿地出口处设置提升泵站。泵站采用潜水泵站，表流湿地出水通过引水渠经拦污栅后进入泵站前池，通过泵房内的机组加压提升后进入输水管网。泵站由进水渠、前池、泵房、加氯间、配电值班室、机组管道等组成。</w:t>
      </w:r>
    </w:p>
    <w:p w14:paraId="43A0F567">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泵站进水口采用八字式，通过进水渠输水至前池。进水渠尺寸1000</w:t>
      </w:r>
      <w:r>
        <w:rPr>
          <w:rFonts w:hint="eastAsia"/>
          <w:bCs/>
          <w:color w:val="000000" w:themeColor="text1"/>
          <w:kern w:val="44"/>
          <w:sz w:val="28"/>
          <w:szCs w:val="28"/>
        </w:rPr>
        <w:t>mm</w:t>
      </w:r>
      <w:r>
        <w:rPr>
          <w:bCs/>
          <w:color w:val="000000" w:themeColor="text1"/>
          <w:kern w:val="44"/>
          <w:sz w:val="28"/>
          <w:szCs w:val="28"/>
        </w:rPr>
        <w:t>×1000</w:t>
      </w:r>
      <w:r>
        <w:rPr>
          <w:rFonts w:hint="eastAsia"/>
          <w:bCs/>
          <w:color w:val="000000" w:themeColor="text1"/>
          <w:kern w:val="44"/>
          <w:sz w:val="28"/>
          <w:szCs w:val="28"/>
        </w:rPr>
        <w:t>mm</w:t>
      </w:r>
      <w:r>
        <w:rPr>
          <w:bCs/>
          <w:color w:val="000000" w:themeColor="text1"/>
          <w:kern w:val="44"/>
          <w:sz w:val="28"/>
          <w:szCs w:val="28"/>
        </w:rPr>
        <w:t>，采用钢筋混凝土结构，进水渠前设拦污栅及闸门。前池尺寸4m×7.2m。水泵吸水最低水位34.3m，最高水位36.0m。拦污栅尺寸1100</w:t>
      </w:r>
      <w:r>
        <w:rPr>
          <w:rFonts w:hint="eastAsia"/>
          <w:bCs/>
          <w:color w:val="000000" w:themeColor="text1"/>
          <w:kern w:val="44"/>
          <w:sz w:val="28"/>
          <w:szCs w:val="28"/>
        </w:rPr>
        <w:t>mm</w:t>
      </w:r>
      <w:r>
        <w:rPr>
          <w:bCs/>
          <w:color w:val="000000" w:themeColor="text1"/>
          <w:kern w:val="44"/>
          <w:sz w:val="28"/>
          <w:szCs w:val="28"/>
        </w:rPr>
        <w:t>×1100</w:t>
      </w:r>
      <w:r>
        <w:rPr>
          <w:rFonts w:hint="eastAsia"/>
          <w:bCs/>
          <w:color w:val="000000" w:themeColor="text1"/>
          <w:kern w:val="44"/>
          <w:sz w:val="28"/>
          <w:szCs w:val="28"/>
        </w:rPr>
        <w:t>mm</w:t>
      </w:r>
      <w:r>
        <w:rPr>
          <w:bCs/>
          <w:color w:val="000000" w:themeColor="text1"/>
          <w:kern w:val="44"/>
          <w:sz w:val="28"/>
          <w:szCs w:val="28"/>
        </w:rPr>
        <w:t>，栅条间距50mm。闸门采用镶铜铸铁方闸门，尺寸1000</w:t>
      </w:r>
      <w:r>
        <w:rPr>
          <w:rFonts w:hint="eastAsia"/>
          <w:bCs/>
          <w:color w:val="000000" w:themeColor="text1"/>
          <w:kern w:val="44"/>
          <w:sz w:val="28"/>
          <w:szCs w:val="28"/>
        </w:rPr>
        <w:t>mm</w:t>
      </w:r>
      <w:r>
        <w:rPr>
          <w:bCs/>
          <w:color w:val="000000" w:themeColor="text1"/>
          <w:kern w:val="44"/>
          <w:sz w:val="28"/>
          <w:szCs w:val="28"/>
        </w:rPr>
        <w:t>×1000</w:t>
      </w:r>
      <w:r>
        <w:rPr>
          <w:rFonts w:hint="eastAsia"/>
          <w:bCs/>
          <w:color w:val="000000" w:themeColor="text1"/>
          <w:kern w:val="44"/>
          <w:sz w:val="28"/>
          <w:szCs w:val="28"/>
        </w:rPr>
        <w:t>mm</w:t>
      </w:r>
      <w:r>
        <w:rPr>
          <w:bCs/>
          <w:color w:val="000000" w:themeColor="text1"/>
          <w:kern w:val="44"/>
          <w:sz w:val="28"/>
          <w:szCs w:val="28"/>
        </w:rPr>
        <w:t>，闸门配启闭机，启闭力4T。</w:t>
      </w:r>
    </w:p>
    <w:p w14:paraId="10F34EC2">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水泵采用潜水给水泵3台，2用1备。单泵流量430m</w:t>
      </w:r>
      <w:r>
        <w:rPr>
          <w:bCs/>
          <w:color w:val="000000" w:themeColor="text1"/>
          <w:kern w:val="44"/>
          <w:sz w:val="28"/>
          <w:szCs w:val="28"/>
          <w:vertAlign w:val="superscript"/>
        </w:rPr>
        <w:t>3</w:t>
      </w:r>
      <w:r>
        <w:rPr>
          <w:bCs/>
          <w:color w:val="000000" w:themeColor="text1"/>
          <w:kern w:val="44"/>
          <w:sz w:val="28"/>
          <w:szCs w:val="28"/>
        </w:rPr>
        <w:t>/h，扬程48m。水泵采用自耦连接，安装及检修时由移动起吊设备调动。</w:t>
      </w:r>
    </w:p>
    <w:p w14:paraId="61210FE3">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再生水消毒剂采用二氧化氯，加氯间内配置二氧化氯发生器1套，采用复合法制备，投加量根据出水水质与运行经验由试验确定。储罐间各配置氯酸钠储罐与盐酸储罐1套，储罐采用PE材质，氯酸钠储罐间50kg/d化料器1台。</w:t>
      </w:r>
    </w:p>
    <w:p w14:paraId="4C6B6622">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②</w:t>
      </w:r>
      <w:r>
        <w:rPr>
          <w:bCs/>
          <w:color w:val="000000" w:themeColor="text1"/>
          <w:kern w:val="44"/>
          <w:sz w:val="28"/>
          <w:szCs w:val="28"/>
        </w:rPr>
        <w:t>再生水供水管网</w:t>
      </w:r>
    </w:p>
    <w:p w14:paraId="4F3A0B0E">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为满足再生水供水和利用需求，从加压泵站铺设两条再生水供水管网，即湿地至云翠湖供水管网，泵站沿锦水河堤顶路向南与污水管道平行敷设，管中间距2m，沿青龙路东侧向南过振兴街，沿振兴街南侧向东敷设至黄河路再向南进云翠湖，输水管线全长约5.5km，采用PE管；湿地至东南沟水库自表流湿地西北角沿锦水河堤顶路向南与污水管道平行敷设。</w:t>
      </w:r>
    </w:p>
    <w:p w14:paraId="52653E6B">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③实际运行情况</w:t>
      </w:r>
    </w:p>
    <w:p w14:paraId="7EC55341">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据了解，目前</w:t>
      </w:r>
      <w:r>
        <w:rPr>
          <w:bCs/>
          <w:color w:val="000000" w:themeColor="text1"/>
          <w:kern w:val="44"/>
          <w:sz w:val="28"/>
          <w:szCs w:val="28"/>
        </w:rPr>
        <w:t>平阴北控水环境开发有限公司</w:t>
      </w:r>
      <w:r>
        <w:rPr>
          <w:rFonts w:hint="eastAsia"/>
          <w:bCs/>
          <w:color w:val="000000" w:themeColor="text1"/>
          <w:kern w:val="44"/>
          <w:sz w:val="28"/>
          <w:szCs w:val="28"/>
        </w:rPr>
        <w:t>已满负荷运行。玫城湿地净化处理后的再生水通过再生水供水工程外供，用于市政绿化道路喷洒及市政景观河补水。根据平阴北控水环境开发有限公司提供数据可知，2023年供再生水量为698.2万m</w:t>
      </w:r>
      <w:r>
        <w:rPr>
          <w:rFonts w:hint="eastAsia"/>
          <w:bCs/>
          <w:color w:val="000000" w:themeColor="text1"/>
          <w:kern w:val="44"/>
          <w:sz w:val="28"/>
          <w:szCs w:val="28"/>
          <w:vertAlign w:val="superscript"/>
        </w:rPr>
        <w:t>3</w:t>
      </w:r>
      <w:r>
        <w:rPr>
          <w:rFonts w:hint="eastAsia"/>
          <w:bCs/>
          <w:color w:val="000000" w:themeColor="text1"/>
          <w:kern w:val="44"/>
          <w:sz w:val="28"/>
          <w:szCs w:val="28"/>
        </w:rPr>
        <w:t>。</w:t>
      </w:r>
    </w:p>
    <w:p w14:paraId="4043DB3D">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（2）区外再生水供水工程</w:t>
      </w:r>
    </w:p>
    <w:p w14:paraId="1A968E5F">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平阴县孔村镇以炭素产业为主，为充分利用再生水，以临近区域肥城市石横电厂的再生水为水源，铺设供水管道，用于生产，减少自来水和地下水的用水量。经统计，2023年平阴县利用肥城市石横电厂的再生水量为137.3万m</w:t>
      </w:r>
      <w:r>
        <w:rPr>
          <w:rFonts w:hint="eastAsia"/>
          <w:bCs/>
          <w:color w:val="000000" w:themeColor="text1"/>
          <w:kern w:val="44"/>
          <w:sz w:val="28"/>
          <w:szCs w:val="28"/>
          <w:vertAlign w:val="superscript"/>
        </w:rPr>
        <w:t>3</w:t>
      </w:r>
      <w:r>
        <w:rPr>
          <w:rFonts w:hint="eastAsia"/>
          <w:bCs/>
          <w:color w:val="000000" w:themeColor="text1"/>
          <w:kern w:val="44"/>
          <w:sz w:val="28"/>
          <w:szCs w:val="28"/>
        </w:rPr>
        <w:t>，全部为当地企业生产用水。</w:t>
      </w:r>
    </w:p>
    <w:p w14:paraId="51559964">
      <w:pPr>
        <w:adjustRightInd w:val="0"/>
        <w:snapToGrid w:val="0"/>
        <w:spacing w:line="560" w:lineRule="exact"/>
        <w:ind w:firstLine="560" w:firstLineChars="200"/>
        <w:rPr>
          <w:bCs/>
          <w:color w:val="000000" w:themeColor="text1"/>
          <w:kern w:val="44"/>
          <w:sz w:val="28"/>
          <w:szCs w:val="28"/>
        </w:rPr>
      </w:pPr>
      <w:r>
        <w:rPr>
          <w:bCs/>
          <w:color w:val="000000" w:themeColor="text1"/>
          <w:kern w:val="44"/>
          <w:sz w:val="28"/>
          <w:szCs w:val="28"/>
        </w:rPr>
        <w:t>平阴</w:t>
      </w:r>
      <w:r>
        <w:rPr>
          <w:rFonts w:hint="eastAsia"/>
          <w:bCs/>
          <w:color w:val="000000" w:themeColor="text1"/>
          <w:kern w:val="44"/>
          <w:sz w:val="28"/>
          <w:szCs w:val="28"/>
        </w:rPr>
        <w:t>县规划结合当地工业企业配置利用再生水计划，为满足企业再生水利用需求，对现有供水管网进行铺设，扩大供水范围，计划向济南市琦泉热电有限责任公司、山东齐发药业有限公司等用水户供再生水。</w:t>
      </w:r>
    </w:p>
    <w:p w14:paraId="73A63B0F">
      <w:pPr>
        <w:autoSpaceDE w:val="0"/>
        <w:autoSpaceDN w:val="0"/>
        <w:adjustRightInd w:val="0"/>
        <w:snapToGrid w:val="0"/>
        <w:spacing w:line="600" w:lineRule="exact"/>
        <w:textAlignment w:val="bottom"/>
        <w:outlineLvl w:val="2"/>
        <w:rPr>
          <w:b/>
          <w:color w:val="000000" w:themeColor="text1"/>
          <w:sz w:val="28"/>
          <w:szCs w:val="28"/>
        </w:rPr>
      </w:pPr>
      <w:bookmarkStart w:id="113" w:name="_Toc144243715"/>
      <w:bookmarkStart w:id="114" w:name="_Toc143780486"/>
      <w:bookmarkStart w:id="115" w:name="_Toc137737080"/>
      <w:r>
        <w:rPr>
          <w:b/>
          <w:color w:val="000000" w:themeColor="text1"/>
          <w:sz w:val="28"/>
          <w:szCs w:val="28"/>
        </w:rPr>
        <w:t xml:space="preserve">3.1.3 </w:t>
      </w:r>
      <w:r>
        <w:rPr>
          <w:rFonts w:hint="eastAsia"/>
          <w:b/>
          <w:color w:val="000000" w:themeColor="text1"/>
          <w:sz w:val="28"/>
          <w:szCs w:val="28"/>
        </w:rPr>
        <w:t>再生水利用量</w:t>
      </w:r>
      <w:bookmarkEnd w:id="113"/>
      <w:bookmarkEnd w:id="114"/>
      <w:bookmarkEnd w:id="115"/>
    </w:p>
    <w:p w14:paraId="7D400E7F">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根据平阴县水务局提供的2</w:t>
      </w:r>
      <w:r>
        <w:rPr>
          <w:bCs/>
          <w:color w:val="000000" w:themeColor="text1"/>
          <w:kern w:val="44"/>
          <w:sz w:val="28"/>
          <w:szCs w:val="28"/>
        </w:rPr>
        <w:t>020</w:t>
      </w:r>
      <w:r>
        <w:rPr>
          <w:rFonts w:hint="eastAsia"/>
          <w:bCs/>
          <w:color w:val="000000" w:themeColor="text1"/>
          <w:kern w:val="44"/>
          <w:sz w:val="28"/>
          <w:szCs w:val="28"/>
        </w:rPr>
        <w:t>—</w:t>
      </w:r>
      <w:r>
        <w:rPr>
          <w:bCs/>
          <w:color w:val="000000" w:themeColor="text1"/>
          <w:kern w:val="44"/>
          <w:sz w:val="28"/>
          <w:szCs w:val="28"/>
        </w:rPr>
        <w:t>202</w:t>
      </w:r>
      <w:r>
        <w:rPr>
          <w:rFonts w:hint="eastAsia"/>
          <w:bCs/>
          <w:color w:val="000000" w:themeColor="text1"/>
          <w:kern w:val="44"/>
          <w:sz w:val="28"/>
          <w:szCs w:val="28"/>
        </w:rPr>
        <w:t>3年平阴县再生水利用数据统计可知，平阴县再生水全部用于城区的景观河生态补水、企业生产用水和绿化及道路喷洒，具体详见表</w:t>
      </w:r>
      <w:r>
        <w:rPr>
          <w:bCs/>
          <w:color w:val="000000" w:themeColor="text1"/>
          <w:kern w:val="44"/>
          <w:sz w:val="28"/>
          <w:szCs w:val="28"/>
        </w:rPr>
        <w:t>3.1-1</w:t>
      </w:r>
      <w:r>
        <w:rPr>
          <w:rFonts w:hint="eastAsia"/>
          <w:bCs/>
          <w:color w:val="000000" w:themeColor="text1"/>
          <w:kern w:val="44"/>
          <w:sz w:val="28"/>
          <w:szCs w:val="28"/>
        </w:rPr>
        <w:t>。</w:t>
      </w:r>
    </w:p>
    <w:p w14:paraId="7FBF34CE">
      <w:pPr>
        <w:adjustRightInd w:val="0"/>
        <w:snapToGrid w:val="0"/>
        <w:spacing w:line="560" w:lineRule="exact"/>
        <w:ind w:firstLine="560" w:firstLineChars="200"/>
        <w:rPr>
          <w:bCs/>
          <w:color w:val="000000" w:themeColor="text1"/>
          <w:kern w:val="44"/>
          <w:sz w:val="28"/>
          <w:szCs w:val="28"/>
        </w:rPr>
      </w:pPr>
      <w:r>
        <w:rPr>
          <w:rFonts w:hint="eastAsia"/>
          <w:bCs/>
          <w:color w:val="000000" w:themeColor="text1"/>
          <w:kern w:val="44"/>
          <w:sz w:val="28"/>
          <w:szCs w:val="28"/>
        </w:rPr>
        <w:t>2</w:t>
      </w:r>
      <w:r>
        <w:rPr>
          <w:bCs/>
          <w:color w:val="000000" w:themeColor="text1"/>
          <w:kern w:val="44"/>
          <w:sz w:val="28"/>
          <w:szCs w:val="28"/>
        </w:rPr>
        <w:t>020</w:t>
      </w:r>
      <w:r>
        <w:rPr>
          <w:rFonts w:hint="eastAsia"/>
          <w:bCs/>
          <w:color w:val="000000" w:themeColor="text1"/>
          <w:kern w:val="44"/>
          <w:sz w:val="28"/>
          <w:szCs w:val="28"/>
        </w:rPr>
        <w:t>年再生水实际用水量为1</w:t>
      </w:r>
      <w:r>
        <w:rPr>
          <w:bCs/>
          <w:color w:val="000000" w:themeColor="text1"/>
          <w:kern w:val="44"/>
          <w:sz w:val="28"/>
          <w:szCs w:val="28"/>
        </w:rPr>
        <w:t>03.0万m</w:t>
      </w:r>
      <w:r>
        <w:rPr>
          <w:bCs/>
          <w:color w:val="000000" w:themeColor="text1"/>
          <w:kern w:val="44"/>
          <w:sz w:val="28"/>
          <w:szCs w:val="28"/>
          <w:vertAlign w:val="superscript"/>
        </w:rPr>
        <w:t>3</w:t>
      </w:r>
      <w:r>
        <w:rPr>
          <w:rFonts w:hint="eastAsia"/>
          <w:bCs/>
          <w:color w:val="000000" w:themeColor="text1"/>
          <w:kern w:val="44"/>
          <w:sz w:val="28"/>
          <w:szCs w:val="28"/>
        </w:rPr>
        <w:t>，全部为绿化灌溉及道路喷洒；2</w:t>
      </w:r>
      <w:r>
        <w:rPr>
          <w:bCs/>
          <w:color w:val="000000" w:themeColor="text1"/>
          <w:kern w:val="44"/>
          <w:sz w:val="28"/>
          <w:szCs w:val="28"/>
        </w:rPr>
        <w:t>021</w:t>
      </w:r>
      <w:r>
        <w:rPr>
          <w:rFonts w:hint="eastAsia"/>
          <w:bCs/>
          <w:color w:val="000000" w:themeColor="text1"/>
          <w:kern w:val="44"/>
          <w:sz w:val="28"/>
          <w:szCs w:val="28"/>
        </w:rPr>
        <w:t>年再生水实际用水量为</w:t>
      </w:r>
      <w:r>
        <w:rPr>
          <w:bCs/>
          <w:color w:val="000000" w:themeColor="text1"/>
          <w:kern w:val="44"/>
          <w:sz w:val="28"/>
          <w:szCs w:val="28"/>
        </w:rPr>
        <w:t>355.6万m</w:t>
      </w:r>
      <w:r>
        <w:rPr>
          <w:bCs/>
          <w:color w:val="000000" w:themeColor="text1"/>
          <w:kern w:val="44"/>
          <w:sz w:val="28"/>
          <w:szCs w:val="28"/>
          <w:vertAlign w:val="superscript"/>
        </w:rPr>
        <w:t>3</w:t>
      </w:r>
      <w:r>
        <w:rPr>
          <w:rFonts w:hint="eastAsia"/>
          <w:bCs/>
          <w:color w:val="000000" w:themeColor="text1"/>
          <w:kern w:val="44"/>
          <w:sz w:val="28"/>
          <w:szCs w:val="28"/>
        </w:rPr>
        <w:t>，其中绿化灌溉及道路喷洒用水量为1</w:t>
      </w:r>
      <w:r>
        <w:rPr>
          <w:bCs/>
          <w:color w:val="000000" w:themeColor="text1"/>
          <w:kern w:val="44"/>
          <w:sz w:val="28"/>
          <w:szCs w:val="28"/>
        </w:rPr>
        <w:t>03.6万m</w:t>
      </w:r>
      <w:r>
        <w:rPr>
          <w:bCs/>
          <w:color w:val="000000" w:themeColor="text1"/>
          <w:kern w:val="44"/>
          <w:sz w:val="28"/>
          <w:szCs w:val="28"/>
          <w:vertAlign w:val="superscript"/>
        </w:rPr>
        <w:t>3</w:t>
      </w:r>
      <w:r>
        <w:rPr>
          <w:rFonts w:hint="eastAsia"/>
          <w:bCs/>
          <w:color w:val="000000" w:themeColor="text1"/>
          <w:kern w:val="44"/>
          <w:sz w:val="28"/>
          <w:szCs w:val="28"/>
        </w:rPr>
        <w:t>，景观河生态补水为2</w:t>
      </w:r>
      <w:r>
        <w:rPr>
          <w:bCs/>
          <w:color w:val="000000" w:themeColor="text1"/>
          <w:kern w:val="44"/>
          <w:sz w:val="28"/>
          <w:szCs w:val="28"/>
        </w:rPr>
        <w:t>52.0万m</w:t>
      </w:r>
      <w:r>
        <w:rPr>
          <w:bCs/>
          <w:color w:val="000000" w:themeColor="text1"/>
          <w:kern w:val="44"/>
          <w:sz w:val="28"/>
          <w:szCs w:val="28"/>
          <w:vertAlign w:val="superscript"/>
        </w:rPr>
        <w:t>3</w:t>
      </w:r>
      <w:r>
        <w:rPr>
          <w:rFonts w:hint="eastAsia"/>
          <w:bCs/>
          <w:color w:val="000000" w:themeColor="text1"/>
          <w:kern w:val="44"/>
          <w:sz w:val="28"/>
          <w:szCs w:val="28"/>
        </w:rPr>
        <w:t>；2</w:t>
      </w:r>
      <w:r>
        <w:rPr>
          <w:bCs/>
          <w:color w:val="000000" w:themeColor="text1"/>
          <w:kern w:val="44"/>
          <w:sz w:val="28"/>
          <w:szCs w:val="28"/>
        </w:rPr>
        <w:t>022</w:t>
      </w:r>
      <w:r>
        <w:rPr>
          <w:rFonts w:hint="eastAsia"/>
          <w:bCs/>
          <w:color w:val="000000" w:themeColor="text1"/>
          <w:kern w:val="44"/>
          <w:sz w:val="28"/>
          <w:szCs w:val="28"/>
        </w:rPr>
        <w:t>年再生水实际用水量为</w:t>
      </w:r>
      <w:r>
        <w:rPr>
          <w:bCs/>
          <w:color w:val="000000" w:themeColor="text1"/>
          <w:kern w:val="44"/>
          <w:sz w:val="28"/>
          <w:szCs w:val="28"/>
        </w:rPr>
        <w:t>643万m</w:t>
      </w:r>
      <w:r>
        <w:rPr>
          <w:bCs/>
          <w:color w:val="000000" w:themeColor="text1"/>
          <w:kern w:val="44"/>
          <w:sz w:val="28"/>
          <w:szCs w:val="28"/>
          <w:vertAlign w:val="superscript"/>
        </w:rPr>
        <w:t>3</w:t>
      </w:r>
      <w:r>
        <w:rPr>
          <w:rFonts w:hint="eastAsia"/>
          <w:bCs/>
          <w:color w:val="000000" w:themeColor="text1"/>
          <w:kern w:val="44"/>
          <w:sz w:val="28"/>
          <w:szCs w:val="28"/>
        </w:rPr>
        <w:t>，其中绿化灌溉及道路喷洒用水量为</w:t>
      </w:r>
      <w:r>
        <w:rPr>
          <w:bCs/>
          <w:color w:val="000000" w:themeColor="text1"/>
          <w:kern w:val="44"/>
          <w:sz w:val="28"/>
          <w:szCs w:val="28"/>
        </w:rPr>
        <w:t>107.0万m</w:t>
      </w:r>
      <w:r>
        <w:rPr>
          <w:bCs/>
          <w:color w:val="000000" w:themeColor="text1"/>
          <w:kern w:val="44"/>
          <w:sz w:val="28"/>
          <w:szCs w:val="28"/>
          <w:vertAlign w:val="superscript"/>
        </w:rPr>
        <w:t>3</w:t>
      </w:r>
      <w:r>
        <w:rPr>
          <w:rFonts w:hint="eastAsia"/>
          <w:bCs/>
          <w:color w:val="000000" w:themeColor="text1"/>
          <w:kern w:val="44"/>
          <w:sz w:val="28"/>
          <w:szCs w:val="28"/>
        </w:rPr>
        <w:t>，景观河生态补水为</w:t>
      </w:r>
      <w:r>
        <w:rPr>
          <w:bCs/>
          <w:color w:val="000000" w:themeColor="text1"/>
          <w:kern w:val="44"/>
          <w:sz w:val="28"/>
          <w:szCs w:val="28"/>
        </w:rPr>
        <w:t>536万m</w:t>
      </w:r>
      <w:r>
        <w:rPr>
          <w:bCs/>
          <w:color w:val="000000" w:themeColor="text1"/>
          <w:kern w:val="44"/>
          <w:sz w:val="28"/>
          <w:szCs w:val="28"/>
          <w:vertAlign w:val="superscript"/>
        </w:rPr>
        <w:t>3</w:t>
      </w:r>
      <w:r>
        <w:rPr>
          <w:rFonts w:hint="eastAsia"/>
          <w:bCs/>
          <w:color w:val="000000" w:themeColor="text1"/>
          <w:kern w:val="44"/>
          <w:sz w:val="28"/>
          <w:szCs w:val="28"/>
        </w:rPr>
        <w:t>；2</w:t>
      </w:r>
      <w:r>
        <w:rPr>
          <w:bCs/>
          <w:color w:val="000000" w:themeColor="text1"/>
          <w:kern w:val="44"/>
          <w:sz w:val="28"/>
          <w:szCs w:val="28"/>
        </w:rPr>
        <w:t>02</w:t>
      </w:r>
      <w:r>
        <w:rPr>
          <w:rFonts w:hint="eastAsia"/>
          <w:bCs/>
          <w:color w:val="000000" w:themeColor="text1"/>
          <w:kern w:val="44"/>
          <w:sz w:val="28"/>
          <w:szCs w:val="28"/>
        </w:rPr>
        <w:t>3年再生水实际用水量为864.4281</w:t>
      </w:r>
      <w:r>
        <w:rPr>
          <w:bCs/>
          <w:color w:val="000000" w:themeColor="text1"/>
          <w:kern w:val="44"/>
          <w:sz w:val="28"/>
          <w:szCs w:val="28"/>
        </w:rPr>
        <w:t>万m</w:t>
      </w:r>
      <w:r>
        <w:rPr>
          <w:bCs/>
          <w:color w:val="000000" w:themeColor="text1"/>
          <w:kern w:val="44"/>
          <w:sz w:val="28"/>
          <w:szCs w:val="28"/>
          <w:vertAlign w:val="superscript"/>
        </w:rPr>
        <w:t>3</w:t>
      </w:r>
      <w:r>
        <w:rPr>
          <w:rFonts w:hint="eastAsia"/>
          <w:bCs/>
          <w:color w:val="000000" w:themeColor="text1"/>
          <w:kern w:val="44"/>
          <w:sz w:val="28"/>
          <w:szCs w:val="28"/>
        </w:rPr>
        <w:t>，其中工业生产用水量为137.2949</w:t>
      </w:r>
      <w:r>
        <w:rPr>
          <w:bCs/>
          <w:color w:val="000000" w:themeColor="text1"/>
          <w:kern w:val="44"/>
          <w:sz w:val="28"/>
          <w:szCs w:val="28"/>
        </w:rPr>
        <w:t>万m</w:t>
      </w:r>
      <w:r>
        <w:rPr>
          <w:bCs/>
          <w:color w:val="000000" w:themeColor="text1"/>
          <w:kern w:val="44"/>
          <w:sz w:val="28"/>
          <w:szCs w:val="28"/>
          <w:vertAlign w:val="superscript"/>
        </w:rPr>
        <w:t>3</w:t>
      </w:r>
      <w:r>
        <w:rPr>
          <w:rFonts w:hint="eastAsia"/>
          <w:bCs/>
          <w:color w:val="000000" w:themeColor="text1"/>
          <w:kern w:val="44"/>
          <w:sz w:val="28"/>
          <w:szCs w:val="28"/>
        </w:rPr>
        <w:t>，绿化灌溉及道路喷洒用水量为</w:t>
      </w:r>
      <w:r>
        <w:rPr>
          <w:bCs/>
          <w:color w:val="000000" w:themeColor="text1"/>
          <w:kern w:val="44"/>
          <w:sz w:val="28"/>
          <w:szCs w:val="28"/>
        </w:rPr>
        <w:t>154.9132万m</w:t>
      </w:r>
      <w:r>
        <w:rPr>
          <w:bCs/>
          <w:color w:val="000000" w:themeColor="text1"/>
          <w:kern w:val="44"/>
          <w:sz w:val="28"/>
          <w:szCs w:val="28"/>
          <w:vertAlign w:val="superscript"/>
        </w:rPr>
        <w:t>3</w:t>
      </w:r>
      <w:r>
        <w:rPr>
          <w:rFonts w:hint="eastAsia"/>
          <w:bCs/>
          <w:color w:val="000000" w:themeColor="text1"/>
          <w:kern w:val="44"/>
          <w:sz w:val="28"/>
          <w:szCs w:val="28"/>
        </w:rPr>
        <w:t>，景观河生态补水为</w:t>
      </w:r>
      <w:r>
        <w:rPr>
          <w:bCs/>
          <w:color w:val="000000" w:themeColor="text1"/>
          <w:kern w:val="44"/>
          <w:sz w:val="28"/>
          <w:szCs w:val="28"/>
        </w:rPr>
        <w:t>5</w:t>
      </w:r>
      <w:r>
        <w:rPr>
          <w:rFonts w:hint="eastAsia"/>
          <w:bCs/>
          <w:color w:val="000000" w:themeColor="text1"/>
          <w:kern w:val="44"/>
          <w:sz w:val="28"/>
          <w:szCs w:val="28"/>
        </w:rPr>
        <w:t>72.22</w:t>
      </w:r>
      <w:r>
        <w:rPr>
          <w:bCs/>
          <w:color w:val="000000" w:themeColor="text1"/>
          <w:kern w:val="44"/>
          <w:sz w:val="28"/>
          <w:szCs w:val="28"/>
        </w:rPr>
        <w:t>万m</w:t>
      </w:r>
      <w:r>
        <w:rPr>
          <w:bCs/>
          <w:color w:val="000000" w:themeColor="text1"/>
          <w:kern w:val="44"/>
          <w:sz w:val="28"/>
          <w:szCs w:val="28"/>
          <w:vertAlign w:val="superscript"/>
        </w:rPr>
        <w:t>3</w:t>
      </w:r>
      <w:r>
        <w:rPr>
          <w:rFonts w:hint="eastAsia"/>
          <w:bCs/>
          <w:color w:val="000000" w:themeColor="text1"/>
          <w:kern w:val="44"/>
          <w:sz w:val="28"/>
          <w:szCs w:val="28"/>
        </w:rPr>
        <w:t>。</w:t>
      </w:r>
    </w:p>
    <w:p w14:paraId="027FB7E5">
      <w:pPr>
        <w:adjustRightInd w:val="0"/>
        <w:snapToGrid w:val="0"/>
        <w:spacing w:line="560" w:lineRule="exact"/>
        <w:jc w:val="center"/>
        <w:rPr>
          <w:b/>
          <w:color w:val="000000" w:themeColor="text1"/>
          <w:kern w:val="44"/>
          <w:sz w:val="24"/>
        </w:rPr>
      </w:pPr>
      <w:r>
        <w:rPr>
          <w:rFonts w:hint="eastAsia"/>
          <w:b/>
          <w:color w:val="000000" w:themeColor="text1"/>
          <w:kern w:val="44"/>
          <w:sz w:val="24"/>
        </w:rPr>
        <w:t>表</w:t>
      </w:r>
      <w:r>
        <w:rPr>
          <w:b/>
          <w:color w:val="000000" w:themeColor="text1"/>
          <w:kern w:val="44"/>
          <w:sz w:val="24"/>
        </w:rPr>
        <w:t>3.1-1</w:t>
      </w:r>
      <w:r>
        <w:rPr>
          <w:rFonts w:ascii="宋体" w:hAnsi="宋体"/>
          <w:b/>
          <w:color w:val="000000" w:themeColor="text1"/>
          <w:kern w:val="44"/>
          <w:sz w:val="24"/>
        </w:rPr>
        <w:t xml:space="preserve"> </w:t>
      </w:r>
      <w:r>
        <w:rPr>
          <w:b/>
          <w:color w:val="000000" w:themeColor="text1"/>
          <w:kern w:val="44"/>
          <w:sz w:val="24"/>
        </w:rPr>
        <w:t xml:space="preserve"> 2020</w:t>
      </w:r>
      <w:r>
        <w:rPr>
          <w:rFonts w:hint="eastAsia"/>
          <w:b/>
          <w:color w:val="000000" w:themeColor="text1"/>
          <w:kern w:val="44"/>
          <w:sz w:val="24"/>
        </w:rPr>
        <w:t>—</w:t>
      </w:r>
      <w:r>
        <w:rPr>
          <w:b/>
          <w:color w:val="000000" w:themeColor="text1"/>
          <w:kern w:val="44"/>
          <w:sz w:val="24"/>
        </w:rPr>
        <w:t>202</w:t>
      </w:r>
      <w:r>
        <w:rPr>
          <w:rFonts w:hint="eastAsia"/>
          <w:b/>
          <w:color w:val="000000" w:themeColor="text1"/>
          <w:kern w:val="44"/>
          <w:sz w:val="24"/>
        </w:rPr>
        <w:t>3年平阴县再生水实际用水量统计表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1108"/>
        <w:gridCol w:w="1264"/>
        <w:gridCol w:w="1125"/>
        <w:gridCol w:w="1125"/>
        <w:gridCol w:w="1048"/>
        <w:gridCol w:w="1184"/>
      </w:tblGrid>
      <w:tr w14:paraId="67D4A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vMerge w:val="restart"/>
            <w:noWrap/>
            <w:vAlign w:val="center"/>
          </w:tcPr>
          <w:p w14:paraId="3B232C2C">
            <w:pPr>
              <w:widowControl/>
              <w:jc w:val="center"/>
              <w:rPr>
                <w:color w:val="000000" w:themeColor="text1"/>
                <w:kern w:val="0"/>
                <w:sz w:val="22"/>
                <w:szCs w:val="22"/>
              </w:rPr>
            </w:pPr>
            <w:r>
              <w:rPr>
                <w:color w:val="000000" w:themeColor="text1"/>
                <w:kern w:val="0"/>
                <w:sz w:val="22"/>
                <w:szCs w:val="22"/>
              </w:rPr>
              <w:t>用水单位</w:t>
            </w:r>
          </w:p>
        </w:tc>
        <w:tc>
          <w:tcPr>
            <w:tcW w:w="1108" w:type="dxa"/>
            <w:vMerge w:val="restart"/>
            <w:noWrap/>
            <w:vAlign w:val="center"/>
          </w:tcPr>
          <w:p w14:paraId="0F2A3D2C">
            <w:pPr>
              <w:widowControl/>
              <w:jc w:val="center"/>
              <w:rPr>
                <w:color w:val="000000" w:themeColor="text1"/>
                <w:kern w:val="0"/>
                <w:sz w:val="22"/>
                <w:szCs w:val="22"/>
              </w:rPr>
            </w:pPr>
            <w:r>
              <w:rPr>
                <w:color w:val="000000" w:themeColor="text1"/>
                <w:kern w:val="0"/>
                <w:sz w:val="22"/>
                <w:szCs w:val="22"/>
              </w:rPr>
              <w:t>取水用途</w:t>
            </w:r>
          </w:p>
        </w:tc>
        <w:tc>
          <w:tcPr>
            <w:tcW w:w="1264" w:type="dxa"/>
            <w:vMerge w:val="restart"/>
            <w:vAlign w:val="center"/>
          </w:tcPr>
          <w:p w14:paraId="4D088FAA">
            <w:pPr>
              <w:widowControl/>
              <w:jc w:val="center"/>
              <w:rPr>
                <w:color w:val="000000" w:themeColor="text1"/>
                <w:kern w:val="0"/>
                <w:sz w:val="22"/>
                <w:szCs w:val="22"/>
              </w:rPr>
            </w:pPr>
            <w:r>
              <w:rPr>
                <w:rFonts w:hint="eastAsia"/>
                <w:color w:val="000000" w:themeColor="text1"/>
                <w:kern w:val="0"/>
                <w:sz w:val="22"/>
                <w:szCs w:val="22"/>
              </w:rPr>
              <w:t>用水区域</w:t>
            </w:r>
          </w:p>
        </w:tc>
        <w:tc>
          <w:tcPr>
            <w:tcW w:w="4482" w:type="dxa"/>
            <w:gridSpan w:val="4"/>
            <w:noWrap/>
            <w:vAlign w:val="center"/>
          </w:tcPr>
          <w:p w14:paraId="2F02583B">
            <w:pPr>
              <w:widowControl/>
              <w:jc w:val="center"/>
              <w:rPr>
                <w:color w:val="000000" w:themeColor="text1"/>
                <w:kern w:val="0"/>
                <w:sz w:val="22"/>
                <w:szCs w:val="22"/>
              </w:rPr>
            </w:pPr>
            <w:r>
              <w:rPr>
                <w:color w:val="000000" w:themeColor="text1"/>
                <w:kern w:val="0"/>
                <w:sz w:val="22"/>
                <w:szCs w:val="22"/>
              </w:rPr>
              <w:t>年实际用水量（万m</w:t>
            </w:r>
            <w:r>
              <w:rPr>
                <w:color w:val="000000" w:themeColor="text1"/>
                <w:kern w:val="0"/>
                <w:sz w:val="22"/>
                <w:szCs w:val="22"/>
                <w:vertAlign w:val="superscript"/>
              </w:rPr>
              <w:t>3</w:t>
            </w:r>
            <w:r>
              <w:rPr>
                <w:color w:val="000000" w:themeColor="text1"/>
                <w:kern w:val="0"/>
                <w:sz w:val="22"/>
                <w:szCs w:val="22"/>
              </w:rPr>
              <w:t>）</w:t>
            </w:r>
          </w:p>
        </w:tc>
      </w:tr>
      <w:tr w14:paraId="4CB0A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vMerge w:val="continue"/>
            <w:vAlign w:val="center"/>
          </w:tcPr>
          <w:p w14:paraId="64CEF1A5">
            <w:pPr>
              <w:widowControl/>
              <w:jc w:val="left"/>
              <w:rPr>
                <w:color w:val="000000" w:themeColor="text1"/>
                <w:kern w:val="0"/>
                <w:sz w:val="22"/>
                <w:szCs w:val="22"/>
              </w:rPr>
            </w:pPr>
          </w:p>
        </w:tc>
        <w:tc>
          <w:tcPr>
            <w:tcW w:w="1108" w:type="dxa"/>
            <w:vMerge w:val="continue"/>
            <w:vAlign w:val="center"/>
          </w:tcPr>
          <w:p w14:paraId="49E8C05F">
            <w:pPr>
              <w:widowControl/>
              <w:jc w:val="left"/>
              <w:rPr>
                <w:color w:val="000000" w:themeColor="text1"/>
                <w:kern w:val="0"/>
                <w:sz w:val="22"/>
                <w:szCs w:val="22"/>
              </w:rPr>
            </w:pPr>
          </w:p>
        </w:tc>
        <w:tc>
          <w:tcPr>
            <w:tcW w:w="1264" w:type="dxa"/>
            <w:vMerge w:val="continue"/>
            <w:vAlign w:val="center"/>
          </w:tcPr>
          <w:p w14:paraId="283CBB48">
            <w:pPr>
              <w:widowControl/>
              <w:jc w:val="center"/>
              <w:rPr>
                <w:color w:val="000000" w:themeColor="text1"/>
                <w:kern w:val="0"/>
                <w:sz w:val="22"/>
                <w:szCs w:val="22"/>
              </w:rPr>
            </w:pPr>
          </w:p>
        </w:tc>
        <w:tc>
          <w:tcPr>
            <w:tcW w:w="1125" w:type="dxa"/>
            <w:noWrap/>
            <w:vAlign w:val="center"/>
          </w:tcPr>
          <w:p w14:paraId="0128CB91">
            <w:pPr>
              <w:widowControl/>
              <w:jc w:val="center"/>
              <w:rPr>
                <w:color w:val="000000" w:themeColor="text1"/>
                <w:kern w:val="0"/>
                <w:sz w:val="22"/>
                <w:szCs w:val="22"/>
              </w:rPr>
            </w:pPr>
            <w:r>
              <w:rPr>
                <w:color w:val="000000" w:themeColor="text1"/>
                <w:kern w:val="0"/>
                <w:sz w:val="22"/>
                <w:szCs w:val="22"/>
              </w:rPr>
              <w:t>2020</w:t>
            </w:r>
          </w:p>
        </w:tc>
        <w:tc>
          <w:tcPr>
            <w:tcW w:w="1125" w:type="dxa"/>
            <w:noWrap/>
            <w:vAlign w:val="center"/>
          </w:tcPr>
          <w:p w14:paraId="15161EFE">
            <w:pPr>
              <w:widowControl/>
              <w:jc w:val="center"/>
              <w:rPr>
                <w:color w:val="000000" w:themeColor="text1"/>
                <w:kern w:val="0"/>
                <w:sz w:val="22"/>
                <w:szCs w:val="22"/>
              </w:rPr>
            </w:pPr>
            <w:r>
              <w:rPr>
                <w:color w:val="000000" w:themeColor="text1"/>
                <w:kern w:val="0"/>
                <w:sz w:val="22"/>
                <w:szCs w:val="22"/>
              </w:rPr>
              <w:t>2021</w:t>
            </w:r>
          </w:p>
        </w:tc>
        <w:tc>
          <w:tcPr>
            <w:tcW w:w="1048" w:type="dxa"/>
            <w:noWrap/>
            <w:vAlign w:val="center"/>
          </w:tcPr>
          <w:p w14:paraId="0CAFBB49">
            <w:pPr>
              <w:widowControl/>
              <w:jc w:val="center"/>
              <w:rPr>
                <w:color w:val="000000" w:themeColor="text1"/>
                <w:kern w:val="0"/>
                <w:sz w:val="22"/>
                <w:szCs w:val="22"/>
              </w:rPr>
            </w:pPr>
            <w:r>
              <w:rPr>
                <w:color w:val="000000" w:themeColor="text1"/>
                <w:kern w:val="0"/>
                <w:sz w:val="22"/>
                <w:szCs w:val="22"/>
              </w:rPr>
              <w:t>2022</w:t>
            </w:r>
          </w:p>
        </w:tc>
        <w:tc>
          <w:tcPr>
            <w:tcW w:w="1184" w:type="dxa"/>
            <w:vAlign w:val="center"/>
          </w:tcPr>
          <w:p w14:paraId="75333DED">
            <w:pPr>
              <w:widowControl/>
              <w:jc w:val="center"/>
              <w:rPr>
                <w:color w:val="000000" w:themeColor="text1"/>
                <w:kern w:val="0"/>
                <w:sz w:val="22"/>
                <w:szCs w:val="22"/>
              </w:rPr>
            </w:pPr>
            <w:r>
              <w:rPr>
                <w:rFonts w:hint="eastAsia"/>
                <w:color w:val="000000" w:themeColor="text1"/>
                <w:kern w:val="0"/>
                <w:sz w:val="22"/>
                <w:szCs w:val="22"/>
              </w:rPr>
              <w:t>2023</w:t>
            </w:r>
          </w:p>
        </w:tc>
      </w:tr>
      <w:tr w14:paraId="0E81E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noWrap/>
            <w:vAlign w:val="center"/>
          </w:tcPr>
          <w:p w14:paraId="30699B30">
            <w:pPr>
              <w:widowControl/>
              <w:jc w:val="center"/>
              <w:rPr>
                <w:color w:val="000000" w:themeColor="text1"/>
                <w:kern w:val="0"/>
                <w:sz w:val="22"/>
                <w:szCs w:val="22"/>
              </w:rPr>
            </w:pPr>
            <w:r>
              <w:rPr>
                <w:color w:val="000000" w:themeColor="text1"/>
                <w:kern w:val="0"/>
                <w:sz w:val="22"/>
                <w:szCs w:val="22"/>
              </w:rPr>
              <w:t>平阴县北控水环境开发有限公司</w:t>
            </w:r>
          </w:p>
        </w:tc>
        <w:tc>
          <w:tcPr>
            <w:tcW w:w="1108" w:type="dxa"/>
            <w:noWrap/>
            <w:vAlign w:val="center"/>
          </w:tcPr>
          <w:p w14:paraId="0A5287DB">
            <w:pPr>
              <w:widowControl/>
              <w:jc w:val="center"/>
              <w:rPr>
                <w:color w:val="000000" w:themeColor="text1"/>
                <w:kern w:val="0"/>
                <w:sz w:val="22"/>
                <w:szCs w:val="22"/>
              </w:rPr>
            </w:pPr>
            <w:r>
              <w:rPr>
                <w:rFonts w:hint="eastAsia"/>
                <w:color w:val="000000" w:themeColor="text1"/>
                <w:kern w:val="0"/>
                <w:sz w:val="22"/>
                <w:szCs w:val="22"/>
              </w:rPr>
              <w:t>景观河</w:t>
            </w:r>
            <w:r>
              <w:rPr>
                <w:color w:val="000000" w:themeColor="text1"/>
                <w:kern w:val="0"/>
                <w:sz w:val="22"/>
                <w:szCs w:val="22"/>
              </w:rPr>
              <w:t>生态补水</w:t>
            </w:r>
          </w:p>
        </w:tc>
        <w:tc>
          <w:tcPr>
            <w:tcW w:w="1264" w:type="dxa"/>
            <w:vAlign w:val="center"/>
          </w:tcPr>
          <w:p w14:paraId="624CB0C5">
            <w:pPr>
              <w:widowControl/>
              <w:jc w:val="center"/>
              <w:rPr>
                <w:color w:val="000000" w:themeColor="text1"/>
                <w:kern w:val="0"/>
                <w:sz w:val="22"/>
                <w:szCs w:val="22"/>
              </w:rPr>
            </w:pPr>
            <w:r>
              <w:rPr>
                <w:rFonts w:hint="eastAsia"/>
                <w:color w:val="000000" w:themeColor="text1"/>
                <w:kern w:val="0"/>
                <w:sz w:val="22"/>
                <w:szCs w:val="22"/>
              </w:rPr>
              <w:t>中心城区</w:t>
            </w:r>
          </w:p>
        </w:tc>
        <w:tc>
          <w:tcPr>
            <w:tcW w:w="1125" w:type="dxa"/>
            <w:noWrap/>
            <w:vAlign w:val="center"/>
          </w:tcPr>
          <w:p w14:paraId="1B329BF3">
            <w:pPr>
              <w:widowControl/>
              <w:jc w:val="center"/>
              <w:rPr>
                <w:color w:val="000000" w:themeColor="text1"/>
                <w:kern w:val="0"/>
                <w:sz w:val="22"/>
                <w:szCs w:val="22"/>
              </w:rPr>
            </w:pPr>
            <w:r>
              <w:rPr>
                <w:color w:val="000000" w:themeColor="text1"/>
                <w:kern w:val="0"/>
                <w:sz w:val="22"/>
                <w:szCs w:val="22"/>
              </w:rPr>
              <w:t>-</w:t>
            </w:r>
          </w:p>
        </w:tc>
        <w:tc>
          <w:tcPr>
            <w:tcW w:w="1125" w:type="dxa"/>
            <w:noWrap/>
            <w:vAlign w:val="center"/>
          </w:tcPr>
          <w:p w14:paraId="7F958660">
            <w:pPr>
              <w:widowControl/>
              <w:jc w:val="center"/>
              <w:rPr>
                <w:color w:val="000000" w:themeColor="text1"/>
                <w:kern w:val="0"/>
                <w:sz w:val="22"/>
                <w:szCs w:val="22"/>
              </w:rPr>
            </w:pPr>
            <w:r>
              <w:rPr>
                <w:color w:val="000000" w:themeColor="text1"/>
                <w:kern w:val="0"/>
                <w:sz w:val="22"/>
                <w:szCs w:val="22"/>
              </w:rPr>
              <w:t>252</w:t>
            </w:r>
          </w:p>
        </w:tc>
        <w:tc>
          <w:tcPr>
            <w:tcW w:w="1048" w:type="dxa"/>
            <w:noWrap/>
            <w:vAlign w:val="center"/>
          </w:tcPr>
          <w:p w14:paraId="26510D8F">
            <w:pPr>
              <w:widowControl/>
              <w:jc w:val="center"/>
              <w:rPr>
                <w:color w:val="000000" w:themeColor="text1"/>
                <w:kern w:val="0"/>
                <w:sz w:val="22"/>
                <w:szCs w:val="22"/>
              </w:rPr>
            </w:pPr>
            <w:r>
              <w:rPr>
                <w:color w:val="000000" w:themeColor="text1"/>
                <w:kern w:val="0"/>
                <w:sz w:val="22"/>
                <w:szCs w:val="22"/>
              </w:rPr>
              <w:t>536</w:t>
            </w:r>
          </w:p>
        </w:tc>
        <w:tc>
          <w:tcPr>
            <w:tcW w:w="1184" w:type="dxa"/>
            <w:vAlign w:val="center"/>
          </w:tcPr>
          <w:p w14:paraId="0C746AA3">
            <w:pPr>
              <w:widowControl/>
              <w:jc w:val="center"/>
              <w:rPr>
                <w:color w:val="000000" w:themeColor="text1"/>
                <w:kern w:val="0"/>
                <w:sz w:val="22"/>
                <w:szCs w:val="22"/>
              </w:rPr>
            </w:pPr>
            <w:r>
              <w:rPr>
                <w:color w:val="000000"/>
                <w:sz w:val="22"/>
                <w:szCs w:val="22"/>
              </w:rPr>
              <w:t>572.22</w:t>
            </w:r>
          </w:p>
        </w:tc>
      </w:tr>
      <w:tr w14:paraId="50553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noWrap/>
            <w:vAlign w:val="center"/>
          </w:tcPr>
          <w:p w14:paraId="281548B8">
            <w:pPr>
              <w:widowControl/>
              <w:jc w:val="center"/>
              <w:rPr>
                <w:color w:val="000000" w:themeColor="text1"/>
                <w:kern w:val="0"/>
                <w:sz w:val="22"/>
                <w:szCs w:val="22"/>
              </w:rPr>
            </w:pPr>
            <w:r>
              <w:rPr>
                <w:color w:val="000000" w:themeColor="text1"/>
                <w:kern w:val="0"/>
                <w:sz w:val="22"/>
                <w:szCs w:val="22"/>
              </w:rPr>
              <w:t>平阴县环卫绿化管护中心</w:t>
            </w:r>
          </w:p>
        </w:tc>
        <w:tc>
          <w:tcPr>
            <w:tcW w:w="1108" w:type="dxa"/>
            <w:noWrap/>
            <w:vAlign w:val="center"/>
          </w:tcPr>
          <w:p w14:paraId="5B5AC1AF">
            <w:pPr>
              <w:widowControl/>
              <w:jc w:val="center"/>
              <w:rPr>
                <w:color w:val="000000" w:themeColor="text1"/>
                <w:kern w:val="0"/>
                <w:sz w:val="22"/>
                <w:szCs w:val="22"/>
              </w:rPr>
            </w:pPr>
            <w:r>
              <w:rPr>
                <w:color w:val="000000" w:themeColor="text1"/>
                <w:kern w:val="0"/>
                <w:sz w:val="22"/>
                <w:szCs w:val="22"/>
              </w:rPr>
              <w:t>绿</w:t>
            </w:r>
            <w:r>
              <w:rPr>
                <w:rFonts w:hint="eastAsia"/>
                <w:color w:val="000000" w:themeColor="text1"/>
                <w:kern w:val="0"/>
                <w:sz w:val="22"/>
                <w:szCs w:val="22"/>
              </w:rPr>
              <w:t>化</w:t>
            </w:r>
            <w:r>
              <w:rPr>
                <w:color w:val="000000" w:themeColor="text1"/>
                <w:kern w:val="0"/>
                <w:sz w:val="22"/>
                <w:szCs w:val="22"/>
              </w:rPr>
              <w:t>灌溉、道路喷洒</w:t>
            </w:r>
          </w:p>
        </w:tc>
        <w:tc>
          <w:tcPr>
            <w:tcW w:w="1264" w:type="dxa"/>
            <w:vAlign w:val="center"/>
          </w:tcPr>
          <w:p w14:paraId="64C600A4">
            <w:pPr>
              <w:widowControl/>
              <w:jc w:val="center"/>
              <w:rPr>
                <w:color w:val="000000" w:themeColor="text1"/>
                <w:kern w:val="0"/>
                <w:sz w:val="22"/>
                <w:szCs w:val="22"/>
              </w:rPr>
            </w:pPr>
            <w:r>
              <w:rPr>
                <w:rFonts w:hint="eastAsia"/>
                <w:color w:val="000000" w:themeColor="text1"/>
                <w:kern w:val="0"/>
                <w:sz w:val="22"/>
                <w:szCs w:val="22"/>
              </w:rPr>
              <w:t>中心城区</w:t>
            </w:r>
          </w:p>
        </w:tc>
        <w:tc>
          <w:tcPr>
            <w:tcW w:w="1125" w:type="dxa"/>
            <w:noWrap/>
            <w:vAlign w:val="center"/>
          </w:tcPr>
          <w:p w14:paraId="43C52BEB">
            <w:pPr>
              <w:widowControl/>
              <w:jc w:val="center"/>
              <w:rPr>
                <w:color w:val="000000" w:themeColor="text1"/>
                <w:kern w:val="0"/>
                <w:sz w:val="22"/>
                <w:szCs w:val="22"/>
              </w:rPr>
            </w:pPr>
            <w:r>
              <w:rPr>
                <w:color w:val="000000" w:themeColor="text1"/>
                <w:kern w:val="0"/>
                <w:sz w:val="22"/>
                <w:szCs w:val="22"/>
              </w:rPr>
              <w:t>60.4</w:t>
            </w:r>
          </w:p>
        </w:tc>
        <w:tc>
          <w:tcPr>
            <w:tcW w:w="1125" w:type="dxa"/>
            <w:noWrap/>
            <w:vAlign w:val="center"/>
          </w:tcPr>
          <w:p w14:paraId="7E32ABF0">
            <w:pPr>
              <w:widowControl/>
              <w:jc w:val="center"/>
              <w:rPr>
                <w:color w:val="000000" w:themeColor="text1"/>
                <w:kern w:val="0"/>
                <w:sz w:val="22"/>
                <w:szCs w:val="22"/>
              </w:rPr>
            </w:pPr>
            <w:r>
              <w:rPr>
                <w:color w:val="000000" w:themeColor="text1"/>
                <w:kern w:val="0"/>
                <w:sz w:val="22"/>
                <w:szCs w:val="22"/>
              </w:rPr>
              <w:t>61.4</w:t>
            </w:r>
          </w:p>
        </w:tc>
        <w:tc>
          <w:tcPr>
            <w:tcW w:w="1048" w:type="dxa"/>
            <w:noWrap/>
            <w:vAlign w:val="center"/>
          </w:tcPr>
          <w:p w14:paraId="78FB00A8">
            <w:pPr>
              <w:widowControl/>
              <w:jc w:val="center"/>
              <w:rPr>
                <w:color w:val="000000" w:themeColor="text1"/>
                <w:kern w:val="0"/>
                <w:sz w:val="22"/>
                <w:szCs w:val="22"/>
              </w:rPr>
            </w:pPr>
            <w:r>
              <w:rPr>
                <w:color w:val="000000" w:themeColor="text1"/>
                <w:kern w:val="0"/>
                <w:sz w:val="22"/>
                <w:szCs w:val="22"/>
              </w:rPr>
              <w:t>65.3</w:t>
            </w:r>
          </w:p>
        </w:tc>
        <w:tc>
          <w:tcPr>
            <w:tcW w:w="1184" w:type="dxa"/>
            <w:vAlign w:val="center"/>
          </w:tcPr>
          <w:p w14:paraId="48D99FCF">
            <w:pPr>
              <w:widowControl/>
              <w:jc w:val="center"/>
              <w:rPr>
                <w:color w:val="000000" w:themeColor="text1"/>
                <w:kern w:val="0"/>
                <w:sz w:val="22"/>
                <w:szCs w:val="22"/>
              </w:rPr>
            </w:pPr>
            <w:r>
              <w:rPr>
                <w:color w:val="000000"/>
                <w:sz w:val="22"/>
                <w:szCs w:val="22"/>
              </w:rPr>
              <w:t>76.3</w:t>
            </w:r>
            <w:r>
              <w:rPr>
                <w:rFonts w:hint="eastAsia"/>
                <w:color w:val="000000"/>
                <w:sz w:val="22"/>
                <w:szCs w:val="22"/>
              </w:rPr>
              <w:t>281</w:t>
            </w:r>
          </w:p>
        </w:tc>
      </w:tr>
      <w:tr w14:paraId="70845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noWrap/>
            <w:vAlign w:val="center"/>
          </w:tcPr>
          <w:p w14:paraId="6F5BE10A">
            <w:pPr>
              <w:widowControl/>
              <w:jc w:val="center"/>
              <w:rPr>
                <w:color w:val="000000" w:themeColor="text1"/>
                <w:kern w:val="0"/>
                <w:sz w:val="22"/>
                <w:szCs w:val="22"/>
              </w:rPr>
            </w:pPr>
            <w:r>
              <w:rPr>
                <w:color w:val="000000" w:themeColor="text1"/>
                <w:kern w:val="0"/>
                <w:sz w:val="22"/>
                <w:szCs w:val="22"/>
              </w:rPr>
              <w:t>济南市城建集团</w:t>
            </w:r>
          </w:p>
        </w:tc>
        <w:tc>
          <w:tcPr>
            <w:tcW w:w="1108" w:type="dxa"/>
            <w:noWrap/>
            <w:vAlign w:val="center"/>
          </w:tcPr>
          <w:p w14:paraId="3932936D">
            <w:pPr>
              <w:widowControl/>
              <w:jc w:val="center"/>
              <w:rPr>
                <w:color w:val="000000" w:themeColor="text1"/>
                <w:kern w:val="0"/>
                <w:sz w:val="22"/>
                <w:szCs w:val="22"/>
              </w:rPr>
            </w:pPr>
            <w:r>
              <w:rPr>
                <w:color w:val="000000" w:themeColor="text1"/>
                <w:kern w:val="0"/>
                <w:sz w:val="22"/>
                <w:szCs w:val="22"/>
              </w:rPr>
              <w:t>园林绿化</w:t>
            </w:r>
          </w:p>
        </w:tc>
        <w:tc>
          <w:tcPr>
            <w:tcW w:w="1264" w:type="dxa"/>
            <w:vAlign w:val="center"/>
          </w:tcPr>
          <w:p w14:paraId="58EE1344">
            <w:pPr>
              <w:widowControl/>
              <w:jc w:val="center"/>
              <w:rPr>
                <w:color w:val="000000" w:themeColor="text1"/>
                <w:kern w:val="0"/>
                <w:sz w:val="22"/>
                <w:szCs w:val="22"/>
              </w:rPr>
            </w:pPr>
            <w:r>
              <w:rPr>
                <w:rFonts w:hint="eastAsia"/>
                <w:color w:val="000000" w:themeColor="text1"/>
                <w:kern w:val="0"/>
                <w:sz w:val="22"/>
                <w:szCs w:val="22"/>
              </w:rPr>
              <w:t>中心城区</w:t>
            </w:r>
          </w:p>
        </w:tc>
        <w:tc>
          <w:tcPr>
            <w:tcW w:w="1125" w:type="dxa"/>
            <w:noWrap/>
            <w:vAlign w:val="center"/>
          </w:tcPr>
          <w:p w14:paraId="644E7C49">
            <w:pPr>
              <w:widowControl/>
              <w:jc w:val="center"/>
              <w:rPr>
                <w:color w:val="000000" w:themeColor="text1"/>
                <w:kern w:val="0"/>
                <w:sz w:val="22"/>
                <w:szCs w:val="22"/>
              </w:rPr>
            </w:pPr>
            <w:r>
              <w:rPr>
                <w:color w:val="000000" w:themeColor="text1"/>
                <w:kern w:val="0"/>
                <w:sz w:val="22"/>
                <w:szCs w:val="22"/>
              </w:rPr>
              <w:t>36</w:t>
            </w:r>
          </w:p>
        </w:tc>
        <w:tc>
          <w:tcPr>
            <w:tcW w:w="1125" w:type="dxa"/>
            <w:noWrap/>
            <w:vAlign w:val="center"/>
          </w:tcPr>
          <w:p w14:paraId="3202E57F">
            <w:pPr>
              <w:widowControl/>
              <w:jc w:val="center"/>
              <w:rPr>
                <w:color w:val="000000" w:themeColor="text1"/>
                <w:kern w:val="0"/>
                <w:sz w:val="22"/>
                <w:szCs w:val="22"/>
              </w:rPr>
            </w:pPr>
            <w:r>
              <w:rPr>
                <w:color w:val="000000" w:themeColor="text1"/>
                <w:kern w:val="0"/>
                <w:sz w:val="22"/>
                <w:szCs w:val="22"/>
              </w:rPr>
              <w:t>36</w:t>
            </w:r>
          </w:p>
        </w:tc>
        <w:tc>
          <w:tcPr>
            <w:tcW w:w="1048" w:type="dxa"/>
            <w:noWrap/>
            <w:vAlign w:val="center"/>
          </w:tcPr>
          <w:p w14:paraId="342AFEF9">
            <w:pPr>
              <w:widowControl/>
              <w:jc w:val="center"/>
              <w:rPr>
                <w:color w:val="000000" w:themeColor="text1"/>
                <w:kern w:val="0"/>
                <w:sz w:val="22"/>
                <w:szCs w:val="22"/>
              </w:rPr>
            </w:pPr>
            <w:r>
              <w:rPr>
                <w:color w:val="000000" w:themeColor="text1"/>
                <w:kern w:val="0"/>
                <w:sz w:val="22"/>
                <w:szCs w:val="22"/>
              </w:rPr>
              <w:t>36</w:t>
            </w:r>
          </w:p>
        </w:tc>
        <w:tc>
          <w:tcPr>
            <w:tcW w:w="1184" w:type="dxa"/>
            <w:vAlign w:val="center"/>
          </w:tcPr>
          <w:p w14:paraId="7E1F2B5C">
            <w:pPr>
              <w:widowControl/>
              <w:jc w:val="center"/>
              <w:rPr>
                <w:color w:val="000000" w:themeColor="text1"/>
                <w:kern w:val="0"/>
                <w:sz w:val="22"/>
                <w:szCs w:val="22"/>
              </w:rPr>
            </w:pPr>
            <w:r>
              <w:rPr>
                <w:color w:val="000000"/>
                <w:sz w:val="22"/>
                <w:szCs w:val="22"/>
              </w:rPr>
              <w:t>38.63</w:t>
            </w:r>
          </w:p>
        </w:tc>
      </w:tr>
      <w:tr w14:paraId="10D68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noWrap/>
            <w:vAlign w:val="center"/>
          </w:tcPr>
          <w:p w14:paraId="1FBE945C">
            <w:pPr>
              <w:widowControl/>
              <w:jc w:val="center"/>
              <w:rPr>
                <w:color w:val="000000" w:themeColor="text1"/>
                <w:kern w:val="0"/>
                <w:sz w:val="22"/>
                <w:szCs w:val="22"/>
              </w:rPr>
            </w:pPr>
            <w:r>
              <w:rPr>
                <w:color w:val="000000" w:themeColor="text1"/>
                <w:kern w:val="0"/>
                <w:sz w:val="22"/>
                <w:szCs w:val="22"/>
              </w:rPr>
              <w:t>平阴县公路事业发展中心</w:t>
            </w:r>
          </w:p>
        </w:tc>
        <w:tc>
          <w:tcPr>
            <w:tcW w:w="1108" w:type="dxa"/>
            <w:noWrap/>
            <w:vAlign w:val="center"/>
          </w:tcPr>
          <w:p w14:paraId="6EA68304">
            <w:pPr>
              <w:widowControl/>
              <w:jc w:val="center"/>
              <w:rPr>
                <w:color w:val="000000" w:themeColor="text1"/>
                <w:kern w:val="0"/>
                <w:sz w:val="22"/>
                <w:szCs w:val="22"/>
              </w:rPr>
            </w:pPr>
            <w:r>
              <w:rPr>
                <w:color w:val="000000" w:themeColor="text1"/>
                <w:kern w:val="0"/>
                <w:sz w:val="22"/>
                <w:szCs w:val="22"/>
              </w:rPr>
              <w:t>绿</w:t>
            </w:r>
            <w:r>
              <w:rPr>
                <w:rFonts w:hint="eastAsia"/>
                <w:color w:val="000000" w:themeColor="text1"/>
                <w:kern w:val="0"/>
                <w:sz w:val="22"/>
                <w:szCs w:val="22"/>
              </w:rPr>
              <w:t>化</w:t>
            </w:r>
            <w:r>
              <w:rPr>
                <w:color w:val="000000" w:themeColor="text1"/>
                <w:kern w:val="0"/>
                <w:sz w:val="22"/>
                <w:szCs w:val="22"/>
              </w:rPr>
              <w:t>灌溉、道路喷洒</w:t>
            </w:r>
          </w:p>
        </w:tc>
        <w:tc>
          <w:tcPr>
            <w:tcW w:w="1264" w:type="dxa"/>
            <w:vAlign w:val="center"/>
          </w:tcPr>
          <w:p w14:paraId="2562AB78">
            <w:pPr>
              <w:widowControl/>
              <w:jc w:val="center"/>
              <w:rPr>
                <w:color w:val="000000" w:themeColor="text1"/>
                <w:kern w:val="0"/>
                <w:sz w:val="22"/>
                <w:szCs w:val="22"/>
              </w:rPr>
            </w:pPr>
            <w:r>
              <w:rPr>
                <w:rFonts w:hint="eastAsia"/>
                <w:color w:val="000000" w:themeColor="text1"/>
                <w:kern w:val="0"/>
                <w:sz w:val="22"/>
                <w:szCs w:val="22"/>
              </w:rPr>
              <w:t>中心城区</w:t>
            </w:r>
          </w:p>
        </w:tc>
        <w:tc>
          <w:tcPr>
            <w:tcW w:w="1125" w:type="dxa"/>
            <w:noWrap/>
            <w:vAlign w:val="center"/>
          </w:tcPr>
          <w:p w14:paraId="04FD2A5E">
            <w:pPr>
              <w:widowControl/>
              <w:jc w:val="center"/>
              <w:rPr>
                <w:color w:val="000000" w:themeColor="text1"/>
                <w:kern w:val="0"/>
                <w:sz w:val="22"/>
                <w:szCs w:val="22"/>
              </w:rPr>
            </w:pPr>
            <w:r>
              <w:rPr>
                <w:color w:val="000000" w:themeColor="text1"/>
                <w:kern w:val="0"/>
                <w:sz w:val="22"/>
                <w:szCs w:val="22"/>
              </w:rPr>
              <w:t>5.1</w:t>
            </w:r>
          </w:p>
        </w:tc>
        <w:tc>
          <w:tcPr>
            <w:tcW w:w="1125" w:type="dxa"/>
            <w:noWrap/>
            <w:vAlign w:val="center"/>
          </w:tcPr>
          <w:p w14:paraId="7F4EF9A3">
            <w:pPr>
              <w:widowControl/>
              <w:jc w:val="center"/>
              <w:rPr>
                <w:color w:val="000000" w:themeColor="text1"/>
                <w:kern w:val="0"/>
                <w:sz w:val="22"/>
                <w:szCs w:val="22"/>
              </w:rPr>
            </w:pPr>
            <w:r>
              <w:rPr>
                <w:color w:val="000000" w:themeColor="text1"/>
                <w:kern w:val="0"/>
                <w:sz w:val="22"/>
                <w:szCs w:val="22"/>
              </w:rPr>
              <w:t>4.8</w:t>
            </w:r>
          </w:p>
        </w:tc>
        <w:tc>
          <w:tcPr>
            <w:tcW w:w="1048" w:type="dxa"/>
            <w:noWrap/>
            <w:vAlign w:val="center"/>
          </w:tcPr>
          <w:p w14:paraId="13CBE9D7">
            <w:pPr>
              <w:widowControl/>
              <w:jc w:val="center"/>
              <w:rPr>
                <w:color w:val="000000" w:themeColor="text1"/>
                <w:kern w:val="0"/>
                <w:sz w:val="22"/>
                <w:szCs w:val="22"/>
              </w:rPr>
            </w:pPr>
            <w:r>
              <w:rPr>
                <w:color w:val="000000" w:themeColor="text1"/>
                <w:kern w:val="0"/>
                <w:sz w:val="22"/>
                <w:szCs w:val="22"/>
              </w:rPr>
              <w:t>4.5</w:t>
            </w:r>
          </w:p>
        </w:tc>
        <w:tc>
          <w:tcPr>
            <w:tcW w:w="1184" w:type="dxa"/>
            <w:vAlign w:val="center"/>
          </w:tcPr>
          <w:p w14:paraId="08CB97E2">
            <w:pPr>
              <w:widowControl/>
              <w:jc w:val="center"/>
              <w:rPr>
                <w:color w:val="000000" w:themeColor="text1"/>
                <w:kern w:val="0"/>
                <w:sz w:val="22"/>
                <w:szCs w:val="22"/>
              </w:rPr>
            </w:pPr>
            <w:r>
              <w:rPr>
                <w:color w:val="000000"/>
                <w:sz w:val="22"/>
                <w:szCs w:val="22"/>
              </w:rPr>
              <w:t>8.87</w:t>
            </w:r>
          </w:p>
        </w:tc>
      </w:tr>
      <w:tr w14:paraId="04D41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noWrap/>
            <w:vAlign w:val="center"/>
          </w:tcPr>
          <w:p w14:paraId="112804CE">
            <w:pPr>
              <w:widowControl/>
              <w:jc w:val="center"/>
              <w:rPr>
                <w:color w:val="000000" w:themeColor="text1"/>
                <w:kern w:val="0"/>
                <w:sz w:val="22"/>
                <w:szCs w:val="22"/>
              </w:rPr>
            </w:pPr>
            <w:r>
              <w:rPr>
                <w:color w:val="000000" w:themeColor="text1"/>
                <w:kern w:val="0"/>
                <w:sz w:val="22"/>
                <w:szCs w:val="22"/>
              </w:rPr>
              <w:t>平阴县锦水街道办事处环卫所</w:t>
            </w:r>
          </w:p>
        </w:tc>
        <w:tc>
          <w:tcPr>
            <w:tcW w:w="1108" w:type="dxa"/>
            <w:noWrap/>
            <w:vAlign w:val="center"/>
          </w:tcPr>
          <w:p w14:paraId="738D1EFD">
            <w:pPr>
              <w:widowControl/>
              <w:jc w:val="center"/>
              <w:rPr>
                <w:color w:val="000000" w:themeColor="text1"/>
                <w:kern w:val="0"/>
                <w:sz w:val="22"/>
                <w:szCs w:val="22"/>
              </w:rPr>
            </w:pPr>
            <w:r>
              <w:rPr>
                <w:color w:val="000000" w:themeColor="text1"/>
                <w:kern w:val="0"/>
                <w:sz w:val="22"/>
                <w:szCs w:val="22"/>
              </w:rPr>
              <w:t>绿</w:t>
            </w:r>
            <w:r>
              <w:rPr>
                <w:rFonts w:hint="eastAsia"/>
                <w:color w:val="000000" w:themeColor="text1"/>
                <w:kern w:val="0"/>
                <w:sz w:val="22"/>
                <w:szCs w:val="22"/>
              </w:rPr>
              <w:t>化</w:t>
            </w:r>
            <w:r>
              <w:rPr>
                <w:color w:val="000000" w:themeColor="text1"/>
                <w:kern w:val="0"/>
                <w:sz w:val="22"/>
                <w:szCs w:val="22"/>
              </w:rPr>
              <w:t>灌溉、道路喷洒</w:t>
            </w:r>
          </w:p>
        </w:tc>
        <w:tc>
          <w:tcPr>
            <w:tcW w:w="1264" w:type="dxa"/>
            <w:vAlign w:val="center"/>
          </w:tcPr>
          <w:p w14:paraId="4AF4B990">
            <w:pPr>
              <w:widowControl/>
              <w:jc w:val="center"/>
              <w:rPr>
                <w:color w:val="000000" w:themeColor="text1"/>
                <w:kern w:val="0"/>
                <w:sz w:val="22"/>
                <w:szCs w:val="22"/>
              </w:rPr>
            </w:pPr>
            <w:r>
              <w:rPr>
                <w:rFonts w:hint="eastAsia"/>
                <w:color w:val="000000" w:themeColor="text1"/>
                <w:kern w:val="0"/>
                <w:sz w:val="22"/>
                <w:szCs w:val="22"/>
              </w:rPr>
              <w:t>中心城区</w:t>
            </w:r>
          </w:p>
        </w:tc>
        <w:tc>
          <w:tcPr>
            <w:tcW w:w="1125" w:type="dxa"/>
            <w:noWrap/>
            <w:vAlign w:val="center"/>
          </w:tcPr>
          <w:p w14:paraId="07EAB48B">
            <w:pPr>
              <w:widowControl/>
              <w:jc w:val="center"/>
              <w:rPr>
                <w:color w:val="000000" w:themeColor="text1"/>
                <w:kern w:val="0"/>
                <w:sz w:val="22"/>
                <w:szCs w:val="22"/>
              </w:rPr>
            </w:pPr>
            <w:r>
              <w:rPr>
                <w:color w:val="000000" w:themeColor="text1"/>
                <w:kern w:val="0"/>
                <w:sz w:val="22"/>
                <w:szCs w:val="22"/>
              </w:rPr>
              <w:t>1.5</w:t>
            </w:r>
          </w:p>
        </w:tc>
        <w:tc>
          <w:tcPr>
            <w:tcW w:w="1125" w:type="dxa"/>
            <w:noWrap/>
            <w:vAlign w:val="center"/>
          </w:tcPr>
          <w:p w14:paraId="521CE9E0">
            <w:pPr>
              <w:widowControl/>
              <w:jc w:val="center"/>
              <w:rPr>
                <w:color w:val="000000" w:themeColor="text1"/>
                <w:kern w:val="0"/>
                <w:sz w:val="22"/>
                <w:szCs w:val="22"/>
              </w:rPr>
            </w:pPr>
            <w:r>
              <w:rPr>
                <w:color w:val="000000" w:themeColor="text1"/>
                <w:kern w:val="0"/>
                <w:sz w:val="22"/>
                <w:szCs w:val="22"/>
              </w:rPr>
              <w:t>1.4</w:t>
            </w:r>
          </w:p>
        </w:tc>
        <w:tc>
          <w:tcPr>
            <w:tcW w:w="1048" w:type="dxa"/>
            <w:noWrap/>
            <w:vAlign w:val="center"/>
          </w:tcPr>
          <w:p w14:paraId="3A4504C0">
            <w:pPr>
              <w:widowControl/>
              <w:jc w:val="center"/>
              <w:rPr>
                <w:color w:val="000000" w:themeColor="text1"/>
                <w:kern w:val="0"/>
                <w:sz w:val="22"/>
                <w:szCs w:val="22"/>
              </w:rPr>
            </w:pPr>
            <w:r>
              <w:rPr>
                <w:color w:val="000000" w:themeColor="text1"/>
                <w:kern w:val="0"/>
                <w:sz w:val="22"/>
                <w:szCs w:val="22"/>
              </w:rPr>
              <w:t>1.2</w:t>
            </w:r>
          </w:p>
        </w:tc>
        <w:tc>
          <w:tcPr>
            <w:tcW w:w="1184" w:type="dxa"/>
            <w:vAlign w:val="center"/>
          </w:tcPr>
          <w:p w14:paraId="43ABDE27">
            <w:pPr>
              <w:widowControl/>
              <w:jc w:val="center"/>
              <w:rPr>
                <w:color w:val="000000" w:themeColor="text1"/>
                <w:kern w:val="0"/>
                <w:sz w:val="22"/>
                <w:szCs w:val="22"/>
              </w:rPr>
            </w:pPr>
            <w:r>
              <w:rPr>
                <w:color w:val="000000"/>
                <w:sz w:val="22"/>
                <w:szCs w:val="22"/>
              </w:rPr>
              <w:t>2.16</w:t>
            </w:r>
          </w:p>
        </w:tc>
      </w:tr>
      <w:tr w14:paraId="4E7E8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noWrap/>
            <w:vAlign w:val="center"/>
          </w:tcPr>
          <w:p w14:paraId="5A5F06C4">
            <w:pPr>
              <w:widowControl/>
              <w:jc w:val="center"/>
              <w:rPr>
                <w:color w:val="000000" w:themeColor="text1"/>
                <w:kern w:val="0"/>
                <w:sz w:val="22"/>
                <w:szCs w:val="22"/>
              </w:rPr>
            </w:pPr>
            <w:r>
              <w:rPr>
                <w:rFonts w:hint="eastAsia"/>
                <w:color w:val="000000" w:themeColor="text1"/>
                <w:kern w:val="0"/>
                <w:sz w:val="22"/>
                <w:szCs w:val="22"/>
              </w:rPr>
              <w:t>各镇环卫单位</w:t>
            </w:r>
          </w:p>
        </w:tc>
        <w:tc>
          <w:tcPr>
            <w:tcW w:w="1108" w:type="dxa"/>
            <w:noWrap/>
            <w:vAlign w:val="center"/>
          </w:tcPr>
          <w:p w14:paraId="0A9366E5">
            <w:pPr>
              <w:widowControl/>
              <w:jc w:val="center"/>
              <w:rPr>
                <w:color w:val="000000" w:themeColor="text1"/>
                <w:kern w:val="0"/>
                <w:sz w:val="22"/>
                <w:szCs w:val="22"/>
              </w:rPr>
            </w:pPr>
            <w:r>
              <w:rPr>
                <w:color w:val="000000" w:themeColor="text1"/>
                <w:kern w:val="0"/>
                <w:sz w:val="22"/>
                <w:szCs w:val="22"/>
              </w:rPr>
              <w:t>绿</w:t>
            </w:r>
            <w:r>
              <w:rPr>
                <w:rFonts w:hint="eastAsia"/>
                <w:color w:val="000000" w:themeColor="text1"/>
                <w:kern w:val="0"/>
                <w:sz w:val="22"/>
                <w:szCs w:val="22"/>
              </w:rPr>
              <w:t>化</w:t>
            </w:r>
            <w:r>
              <w:rPr>
                <w:color w:val="000000" w:themeColor="text1"/>
                <w:kern w:val="0"/>
                <w:sz w:val="22"/>
                <w:szCs w:val="22"/>
              </w:rPr>
              <w:t>灌溉、道路喷洒</w:t>
            </w:r>
          </w:p>
        </w:tc>
        <w:tc>
          <w:tcPr>
            <w:tcW w:w="1264" w:type="dxa"/>
            <w:vAlign w:val="center"/>
          </w:tcPr>
          <w:p w14:paraId="53DF22ED">
            <w:pPr>
              <w:widowControl/>
              <w:jc w:val="center"/>
              <w:rPr>
                <w:color w:val="000000" w:themeColor="text1"/>
                <w:kern w:val="0"/>
                <w:sz w:val="22"/>
                <w:szCs w:val="22"/>
              </w:rPr>
            </w:pPr>
            <w:r>
              <w:rPr>
                <w:rFonts w:hint="eastAsia"/>
                <w:color w:val="000000" w:themeColor="text1"/>
                <w:kern w:val="0"/>
                <w:sz w:val="22"/>
                <w:szCs w:val="22"/>
              </w:rPr>
              <w:t>各镇</w:t>
            </w:r>
          </w:p>
        </w:tc>
        <w:tc>
          <w:tcPr>
            <w:tcW w:w="1125" w:type="dxa"/>
            <w:noWrap/>
            <w:vAlign w:val="center"/>
          </w:tcPr>
          <w:p w14:paraId="324BBFBB">
            <w:pPr>
              <w:widowControl/>
              <w:jc w:val="center"/>
              <w:rPr>
                <w:color w:val="000000" w:themeColor="text1"/>
                <w:kern w:val="0"/>
                <w:sz w:val="22"/>
                <w:szCs w:val="22"/>
              </w:rPr>
            </w:pPr>
            <w:r>
              <w:rPr>
                <w:rFonts w:hint="eastAsia"/>
                <w:color w:val="000000" w:themeColor="text1"/>
                <w:kern w:val="0"/>
                <w:sz w:val="22"/>
                <w:szCs w:val="22"/>
              </w:rPr>
              <w:t>-</w:t>
            </w:r>
          </w:p>
        </w:tc>
        <w:tc>
          <w:tcPr>
            <w:tcW w:w="1125" w:type="dxa"/>
            <w:noWrap/>
            <w:vAlign w:val="center"/>
          </w:tcPr>
          <w:p w14:paraId="1F073669">
            <w:pPr>
              <w:widowControl/>
              <w:jc w:val="center"/>
              <w:rPr>
                <w:color w:val="000000" w:themeColor="text1"/>
                <w:kern w:val="0"/>
                <w:sz w:val="22"/>
                <w:szCs w:val="22"/>
              </w:rPr>
            </w:pPr>
            <w:r>
              <w:rPr>
                <w:rFonts w:hint="eastAsia"/>
                <w:color w:val="000000" w:themeColor="text1"/>
                <w:kern w:val="0"/>
                <w:sz w:val="22"/>
                <w:szCs w:val="22"/>
              </w:rPr>
              <w:t>-</w:t>
            </w:r>
          </w:p>
        </w:tc>
        <w:tc>
          <w:tcPr>
            <w:tcW w:w="1048" w:type="dxa"/>
            <w:noWrap/>
            <w:vAlign w:val="center"/>
          </w:tcPr>
          <w:p w14:paraId="72BF2CF0">
            <w:pPr>
              <w:widowControl/>
              <w:jc w:val="center"/>
              <w:rPr>
                <w:color w:val="000000" w:themeColor="text1"/>
                <w:kern w:val="0"/>
                <w:sz w:val="22"/>
                <w:szCs w:val="22"/>
              </w:rPr>
            </w:pPr>
            <w:r>
              <w:rPr>
                <w:rFonts w:hint="eastAsia"/>
                <w:color w:val="000000" w:themeColor="text1"/>
                <w:kern w:val="0"/>
                <w:sz w:val="22"/>
                <w:szCs w:val="22"/>
              </w:rPr>
              <w:t>-</w:t>
            </w:r>
          </w:p>
        </w:tc>
        <w:tc>
          <w:tcPr>
            <w:tcW w:w="1184" w:type="dxa"/>
            <w:vAlign w:val="center"/>
          </w:tcPr>
          <w:p w14:paraId="2B2BE860">
            <w:pPr>
              <w:widowControl/>
              <w:jc w:val="center"/>
              <w:rPr>
                <w:color w:val="000000"/>
                <w:sz w:val="22"/>
                <w:szCs w:val="22"/>
              </w:rPr>
            </w:pPr>
            <w:r>
              <w:rPr>
                <w:rFonts w:hint="eastAsia"/>
                <w:color w:val="000000"/>
                <w:sz w:val="22"/>
                <w:szCs w:val="22"/>
              </w:rPr>
              <w:t>28.9251</w:t>
            </w:r>
          </w:p>
        </w:tc>
      </w:tr>
      <w:tr w14:paraId="2F055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8" w:type="dxa"/>
            <w:noWrap/>
            <w:vAlign w:val="center"/>
          </w:tcPr>
          <w:p w14:paraId="5BE8BC54">
            <w:pPr>
              <w:widowControl/>
              <w:jc w:val="center"/>
              <w:rPr>
                <w:color w:val="000000" w:themeColor="text1"/>
                <w:kern w:val="0"/>
                <w:sz w:val="22"/>
                <w:szCs w:val="22"/>
              </w:rPr>
            </w:pPr>
            <w:r>
              <w:rPr>
                <w:rFonts w:hint="eastAsia"/>
                <w:color w:val="000000" w:themeColor="text1"/>
                <w:kern w:val="0"/>
                <w:sz w:val="22"/>
                <w:szCs w:val="22"/>
              </w:rPr>
              <w:t>企业</w:t>
            </w:r>
          </w:p>
        </w:tc>
        <w:tc>
          <w:tcPr>
            <w:tcW w:w="1108" w:type="dxa"/>
            <w:noWrap/>
            <w:vAlign w:val="center"/>
          </w:tcPr>
          <w:p w14:paraId="0A8DD8AE">
            <w:pPr>
              <w:widowControl/>
              <w:jc w:val="center"/>
              <w:rPr>
                <w:color w:val="000000" w:themeColor="text1"/>
                <w:kern w:val="0"/>
                <w:sz w:val="22"/>
                <w:szCs w:val="22"/>
              </w:rPr>
            </w:pPr>
            <w:r>
              <w:rPr>
                <w:rFonts w:hint="eastAsia"/>
                <w:color w:val="000000" w:themeColor="text1"/>
                <w:kern w:val="0"/>
                <w:sz w:val="22"/>
                <w:szCs w:val="22"/>
              </w:rPr>
              <w:t>工业用水</w:t>
            </w:r>
          </w:p>
        </w:tc>
        <w:tc>
          <w:tcPr>
            <w:tcW w:w="1264" w:type="dxa"/>
            <w:vAlign w:val="center"/>
          </w:tcPr>
          <w:p w14:paraId="7EBE4FD7">
            <w:pPr>
              <w:widowControl/>
              <w:jc w:val="center"/>
              <w:rPr>
                <w:color w:val="000000" w:themeColor="text1"/>
                <w:kern w:val="0"/>
                <w:sz w:val="22"/>
                <w:szCs w:val="22"/>
              </w:rPr>
            </w:pPr>
            <w:r>
              <w:rPr>
                <w:rFonts w:hint="eastAsia"/>
                <w:color w:val="000000" w:themeColor="text1"/>
                <w:kern w:val="0"/>
                <w:sz w:val="22"/>
                <w:szCs w:val="22"/>
              </w:rPr>
              <w:t>孔村镇</w:t>
            </w:r>
          </w:p>
        </w:tc>
        <w:tc>
          <w:tcPr>
            <w:tcW w:w="1125" w:type="dxa"/>
            <w:noWrap/>
            <w:vAlign w:val="center"/>
          </w:tcPr>
          <w:p w14:paraId="6609F9FE">
            <w:pPr>
              <w:widowControl/>
              <w:jc w:val="center"/>
              <w:rPr>
                <w:color w:val="000000" w:themeColor="text1"/>
                <w:kern w:val="0"/>
                <w:sz w:val="22"/>
                <w:szCs w:val="22"/>
              </w:rPr>
            </w:pPr>
            <w:r>
              <w:rPr>
                <w:rFonts w:hint="eastAsia"/>
                <w:color w:val="000000" w:themeColor="text1"/>
                <w:kern w:val="0"/>
                <w:sz w:val="22"/>
                <w:szCs w:val="22"/>
              </w:rPr>
              <w:t>-</w:t>
            </w:r>
          </w:p>
        </w:tc>
        <w:tc>
          <w:tcPr>
            <w:tcW w:w="1125" w:type="dxa"/>
            <w:noWrap/>
            <w:vAlign w:val="center"/>
          </w:tcPr>
          <w:p w14:paraId="27C86E1A">
            <w:pPr>
              <w:widowControl/>
              <w:jc w:val="center"/>
              <w:rPr>
                <w:color w:val="000000" w:themeColor="text1"/>
                <w:kern w:val="0"/>
                <w:sz w:val="22"/>
                <w:szCs w:val="22"/>
              </w:rPr>
            </w:pPr>
            <w:r>
              <w:rPr>
                <w:rFonts w:hint="eastAsia"/>
                <w:color w:val="000000" w:themeColor="text1"/>
                <w:kern w:val="0"/>
                <w:sz w:val="22"/>
                <w:szCs w:val="22"/>
              </w:rPr>
              <w:t>-</w:t>
            </w:r>
          </w:p>
        </w:tc>
        <w:tc>
          <w:tcPr>
            <w:tcW w:w="1048" w:type="dxa"/>
            <w:noWrap/>
            <w:vAlign w:val="center"/>
          </w:tcPr>
          <w:p w14:paraId="4F349357">
            <w:pPr>
              <w:widowControl/>
              <w:jc w:val="center"/>
              <w:rPr>
                <w:color w:val="000000" w:themeColor="text1"/>
                <w:kern w:val="0"/>
                <w:sz w:val="22"/>
                <w:szCs w:val="22"/>
              </w:rPr>
            </w:pPr>
            <w:r>
              <w:rPr>
                <w:rFonts w:hint="eastAsia"/>
                <w:color w:val="000000" w:themeColor="text1"/>
                <w:kern w:val="0"/>
                <w:sz w:val="22"/>
                <w:szCs w:val="22"/>
              </w:rPr>
              <w:t>-</w:t>
            </w:r>
          </w:p>
        </w:tc>
        <w:tc>
          <w:tcPr>
            <w:tcW w:w="1184" w:type="dxa"/>
            <w:vAlign w:val="center"/>
          </w:tcPr>
          <w:p w14:paraId="5F82663B">
            <w:pPr>
              <w:widowControl/>
              <w:jc w:val="center"/>
              <w:rPr>
                <w:color w:val="000000" w:themeColor="text1"/>
                <w:kern w:val="0"/>
                <w:sz w:val="22"/>
                <w:szCs w:val="22"/>
              </w:rPr>
            </w:pPr>
            <w:r>
              <w:rPr>
                <w:color w:val="000000"/>
                <w:sz w:val="22"/>
                <w:szCs w:val="22"/>
              </w:rPr>
              <w:t>137.</w:t>
            </w:r>
            <w:r>
              <w:rPr>
                <w:rFonts w:hint="eastAsia"/>
                <w:color w:val="000000"/>
                <w:sz w:val="22"/>
                <w:szCs w:val="22"/>
              </w:rPr>
              <w:t>2949</w:t>
            </w:r>
          </w:p>
        </w:tc>
      </w:tr>
      <w:tr w14:paraId="2AEA7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40" w:type="dxa"/>
            <w:gridSpan w:val="3"/>
            <w:noWrap/>
            <w:vAlign w:val="center"/>
          </w:tcPr>
          <w:p w14:paraId="233AE2F8">
            <w:pPr>
              <w:widowControl/>
              <w:jc w:val="center"/>
              <w:rPr>
                <w:color w:val="000000" w:themeColor="text1"/>
                <w:kern w:val="0"/>
                <w:sz w:val="22"/>
                <w:szCs w:val="22"/>
              </w:rPr>
            </w:pPr>
            <w:r>
              <w:rPr>
                <w:rFonts w:hint="eastAsia"/>
                <w:color w:val="000000" w:themeColor="text1"/>
                <w:kern w:val="0"/>
                <w:sz w:val="22"/>
                <w:szCs w:val="22"/>
              </w:rPr>
              <w:t>合计</w:t>
            </w:r>
          </w:p>
        </w:tc>
        <w:tc>
          <w:tcPr>
            <w:tcW w:w="1125" w:type="dxa"/>
            <w:noWrap/>
            <w:vAlign w:val="center"/>
          </w:tcPr>
          <w:p w14:paraId="66EA95A6">
            <w:pPr>
              <w:widowControl/>
              <w:jc w:val="center"/>
              <w:rPr>
                <w:color w:val="000000" w:themeColor="text1"/>
                <w:kern w:val="0"/>
                <w:sz w:val="22"/>
                <w:szCs w:val="22"/>
              </w:rPr>
            </w:pPr>
            <w:r>
              <w:rPr>
                <w:color w:val="000000" w:themeColor="text1"/>
                <w:kern w:val="0"/>
                <w:sz w:val="22"/>
                <w:szCs w:val="22"/>
              </w:rPr>
              <w:t>103</w:t>
            </w:r>
          </w:p>
        </w:tc>
        <w:tc>
          <w:tcPr>
            <w:tcW w:w="1125" w:type="dxa"/>
            <w:noWrap/>
            <w:vAlign w:val="center"/>
          </w:tcPr>
          <w:p w14:paraId="507BF525">
            <w:pPr>
              <w:widowControl/>
              <w:jc w:val="center"/>
              <w:rPr>
                <w:color w:val="000000" w:themeColor="text1"/>
                <w:kern w:val="0"/>
                <w:sz w:val="22"/>
                <w:szCs w:val="22"/>
              </w:rPr>
            </w:pPr>
            <w:r>
              <w:rPr>
                <w:color w:val="000000" w:themeColor="text1"/>
                <w:kern w:val="0"/>
                <w:sz w:val="22"/>
                <w:szCs w:val="22"/>
              </w:rPr>
              <w:t>355.6</w:t>
            </w:r>
          </w:p>
        </w:tc>
        <w:tc>
          <w:tcPr>
            <w:tcW w:w="1048" w:type="dxa"/>
            <w:noWrap/>
            <w:vAlign w:val="center"/>
          </w:tcPr>
          <w:p w14:paraId="3E785F3D">
            <w:pPr>
              <w:widowControl/>
              <w:jc w:val="center"/>
              <w:rPr>
                <w:color w:val="000000" w:themeColor="text1"/>
                <w:kern w:val="0"/>
                <w:sz w:val="22"/>
                <w:szCs w:val="22"/>
              </w:rPr>
            </w:pPr>
            <w:r>
              <w:rPr>
                <w:color w:val="000000" w:themeColor="text1"/>
                <w:kern w:val="0"/>
                <w:sz w:val="22"/>
                <w:szCs w:val="22"/>
              </w:rPr>
              <w:t>643</w:t>
            </w:r>
          </w:p>
        </w:tc>
        <w:tc>
          <w:tcPr>
            <w:tcW w:w="1184" w:type="dxa"/>
            <w:vAlign w:val="center"/>
          </w:tcPr>
          <w:p w14:paraId="0A27ACFD">
            <w:pPr>
              <w:widowControl/>
              <w:jc w:val="center"/>
              <w:rPr>
                <w:color w:val="000000" w:themeColor="text1"/>
                <w:kern w:val="0"/>
                <w:sz w:val="22"/>
                <w:szCs w:val="22"/>
              </w:rPr>
            </w:pPr>
            <w:r>
              <w:rPr>
                <w:color w:val="000000" w:themeColor="text1"/>
                <w:kern w:val="0"/>
                <w:sz w:val="22"/>
                <w:szCs w:val="22"/>
              </w:rPr>
              <w:t>864.4281</w:t>
            </w:r>
          </w:p>
        </w:tc>
      </w:tr>
    </w:tbl>
    <w:p w14:paraId="65194F6E">
      <w:pPr>
        <w:snapToGrid w:val="0"/>
        <w:spacing w:before="120" w:beforeLines="50" w:after="120" w:afterLines="50" w:line="600" w:lineRule="exact"/>
        <w:outlineLvl w:val="1"/>
        <w:rPr>
          <w:b/>
          <w:color w:val="000000" w:themeColor="text1"/>
          <w:sz w:val="30"/>
          <w:szCs w:val="30"/>
        </w:rPr>
      </w:pPr>
      <w:bookmarkStart w:id="116" w:name="_Toc144243716"/>
      <w:bookmarkStart w:id="117" w:name="_Toc181472931"/>
      <w:r>
        <w:rPr>
          <w:b/>
          <w:color w:val="000000" w:themeColor="text1"/>
          <w:sz w:val="30"/>
          <w:szCs w:val="30"/>
        </w:rPr>
        <w:t>3.2 再生水利用评价</w:t>
      </w:r>
      <w:bookmarkEnd w:id="116"/>
      <w:bookmarkEnd w:id="117"/>
    </w:p>
    <w:p w14:paraId="136B8797">
      <w:pPr>
        <w:autoSpaceDE w:val="0"/>
        <w:autoSpaceDN w:val="0"/>
        <w:adjustRightInd w:val="0"/>
        <w:snapToGrid w:val="0"/>
        <w:spacing w:line="600" w:lineRule="exact"/>
        <w:textAlignment w:val="bottom"/>
        <w:outlineLvl w:val="2"/>
        <w:rPr>
          <w:b/>
          <w:color w:val="000000" w:themeColor="text1"/>
          <w:sz w:val="28"/>
          <w:szCs w:val="28"/>
        </w:rPr>
      </w:pPr>
      <w:bookmarkStart w:id="118" w:name="_Toc144243717"/>
      <w:bookmarkStart w:id="119" w:name="_Toc143780488"/>
      <w:r>
        <w:rPr>
          <w:b/>
          <w:color w:val="000000" w:themeColor="text1"/>
          <w:sz w:val="28"/>
          <w:szCs w:val="28"/>
        </w:rPr>
        <w:t>3.2</w:t>
      </w:r>
      <w:r>
        <w:rPr>
          <w:rFonts w:hint="eastAsia"/>
          <w:b/>
          <w:color w:val="000000" w:themeColor="text1"/>
          <w:sz w:val="28"/>
          <w:szCs w:val="28"/>
        </w:rPr>
        <w:t>.</w:t>
      </w:r>
      <w:r>
        <w:rPr>
          <w:b/>
          <w:color w:val="000000" w:themeColor="text1"/>
          <w:sz w:val="28"/>
          <w:szCs w:val="28"/>
        </w:rPr>
        <w:t>1 再生水利用</w:t>
      </w:r>
      <w:r>
        <w:rPr>
          <w:rFonts w:hint="eastAsia"/>
          <w:b/>
          <w:color w:val="000000" w:themeColor="text1"/>
          <w:sz w:val="28"/>
          <w:szCs w:val="28"/>
        </w:rPr>
        <w:t>水平评价</w:t>
      </w:r>
      <w:bookmarkEnd w:id="118"/>
      <w:bookmarkEnd w:id="119"/>
    </w:p>
    <w:p w14:paraId="2F87E3EE">
      <w:pPr>
        <w:autoSpaceDE w:val="0"/>
        <w:autoSpaceDN w:val="0"/>
        <w:spacing w:line="600" w:lineRule="exact"/>
        <w:ind w:firstLine="560" w:firstLineChars="200"/>
        <w:textAlignment w:val="baseline"/>
        <w:rPr>
          <w:bCs/>
          <w:color w:val="000000" w:themeColor="text1"/>
          <w:kern w:val="44"/>
          <w:sz w:val="28"/>
          <w:szCs w:val="28"/>
        </w:rPr>
      </w:pPr>
      <w:r>
        <w:rPr>
          <w:rFonts w:hint="eastAsia"/>
          <w:bCs/>
          <w:color w:val="000000" w:themeColor="text1"/>
          <w:kern w:val="44"/>
          <w:sz w:val="28"/>
          <w:szCs w:val="28"/>
        </w:rPr>
        <w:t>目前，平阴县共有5座污水处理厂，设计日处理量为</w:t>
      </w:r>
      <w:r>
        <w:rPr>
          <w:bCs/>
          <w:color w:val="000000" w:themeColor="text1"/>
          <w:kern w:val="44"/>
          <w:sz w:val="28"/>
          <w:szCs w:val="28"/>
        </w:rPr>
        <w:t>6</w:t>
      </w:r>
      <w:r>
        <w:rPr>
          <w:rFonts w:hint="eastAsia"/>
          <w:bCs/>
          <w:color w:val="000000" w:themeColor="text1"/>
          <w:kern w:val="44"/>
          <w:sz w:val="28"/>
          <w:szCs w:val="28"/>
        </w:rPr>
        <w:t>.0万m</w:t>
      </w:r>
      <w:r>
        <w:rPr>
          <w:rFonts w:hint="eastAsia"/>
          <w:bCs/>
          <w:color w:val="000000" w:themeColor="text1"/>
          <w:kern w:val="44"/>
          <w:sz w:val="28"/>
          <w:szCs w:val="28"/>
          <w:vertAlign w:val="superscript"/>
        </w:rPr>
        <w:t>3</w:t>
      </w:r>
      <w:r>
        <w:rPr>
          <w:rFonts w:hint="eastAsia"/>
          <w:bCs/>
          <w:color w:val="000000" w:themeColor="text1"/>
          <w:kern w:val="44"/>
          <w:sz w:val="28"/>
          <w:szCs w:val="28"/>
        </w:rPr>
        <w:t>/d，现状实际日处理量为4.63万m</w:t>
      </w:r>
      <w:r>
        <w:rPr>
          <w:rFonts w:hint="eastAsia"/>
          <w:bCs/>
          <w:color w:val="000000" w:themeColor="text1"/>
          <w:kern w:val="44"/>
          <w:sz w:val="28"/>
          <w:szCs w:val="28"/>
          <w:vertAlign w:val="superscript"/>
        </w:rPr>
        <w:t>3</w:t>
      </w:r>
      <w:r>
        <w:rPr>
          <w:rFonts w:hint="eastAsia"/>
          <w:bCs/>
          <w:color w:val="000000" w:themeColor="text1"/>
          <w:kern w:val="44"/>
          <w:sz w:val="28"/>
          <w:szCs w:val="28"/>
        </w:rPr>
        <w:t>/d。现状年平阴县实际污废水排放总量为1690.5万m</w:t>
      </w:r>
      <w:r>
        <w:rPr>
          <w:rFonts w:hint="eastAsia"/>
          <w:bCs/>
          <w:color w:val="000000" w:themeColor="text1"/>
          <w:kern w:val="44"/>
          <w:sz w:val="28"/>
          <w:szCs w:val="28"/>
          <w:vertAlign w:val="superscript"/>
        </w:rPr>
        <w:t>3</w:t>
      </w:r>
      <w:r>
        <w:rPr>
          <w:rFonts w:hint="eastAsia"/>
          <w:bCs/>
          <w:color w:val="000000" w:themeColor="text1"/>
          <w:kern w:val="44"/>
          <w:sz w:val="28"/>
          <w:szCs w:val="28"/>
        </w:rPr>
        <w:t>，当地再生水实际利用量为</w:t>
      </w:r>
      <w:r>
        <w:rPr>
          <w:bCs/>
          <w:color w:val="000000" w:themeColor="text1"/>
          <w:kern w:val="44"/>
          <w:sz w:val="28"/>
          <w:szCs w:val="28"/>
        </w:rPr>
        <w:t>727.1332</w:t>
      </w:r>
      <w:r>
        <w:rPr>
          <w:rFonts w:hint="eastAsia"/>
          <w:bCs/>
          <w:color w:val="000000" w:themeColor="text1"/>
          <w:kern w:val="44"/>
          <w:sz w:val="28"/>
          <w:szCs w:val="28"/>
        </w:rPr>
        <w:t>万m</w:t>
      </w:r>
      <w:r>
        <w:rPr>
          <w:rFonts w:hint="eastAsia"/>
          <w:bCs/>
          <w:color w:val="000000" w:themeColor="text1"/>
          <w:kern w:val="44"/>
          <w:sz w:val="28"/>
          <w:szCs w:val="28"/>
          <w:vertAlign w:val="superscript"/>
        </w:rPr>
        <w:t>3</w:t>
      </w:r>
      <w:r>
        <w:rPr>
          <w:rFonts w:hint="eastAsia"/>
          <w:bCs/>
          <w:color w:val="000000" w:themeColor="text1"/>
          <w:kern w:val="44"/>
          <w:sz w:val="28"/>
          <w:szCs w:val="28"/>
        </w:rPr>
        <w:t>，再生水利用率43.0%，主要回用于景观河生态补水、绿化灌溉和道路喷洒等方面，其中景观河生态补水占再生水利用量的78.7</w:t>
      </w:r>
      <w:r>
        <w:rPr>
          <w:bCs/>
          <w:color w:val="000000" w:themeColor="text1"/>
          <w:kern w:val="44"/>
          <w:sz w:val="28"/>
          <w:szCs w:val="28"/>
        </w:rPr>
        <w:t>%</w:t>
      </w:r>
      <w:r>
        <w:rPr>
          <w:rFonts w:hint="eastAsia"/>
          <w:bCs/>
          <w:color w:val="000000" w:themeColor="text1"/>
          <w:kern w:val="44"/>
          <w:sz w:val="28"/>
          <w:szCs w:val="28"/>
        </w:rPr>
        <w:t>。</w:t>
      </w:r>
    </w:p>
    <w:p w14:paraId="16C458A1">
      <w:pPr>
        <w:autoSpaceDE w:val="0"/>
        <w:autoSpaceDN w:val="0"/>
        <w:spacing w:line="600" w:lineRule="exact"/>
        <w:ind w:firstLine="560" w:firstLineChars="200"/>
        <w:textAlignment w:val="baseline"/>
        <w:rPr>
          <w:color w:val="000000" w:themeColor="text1"/>
          <w:sz w:val="28"/>
          <w:szCs w:val="28"/>
        </w:rPr>
      </w:pPr>
      <w:r>
        <w:rPr>
          <w:rFonts w:hint="eastAsia"/>
          <w:bCs/>
          <w:color w:val="000000" w:themeColor="text1"/>
          <w:kern w:val="44"/>
          <w:sz w:val="28"/>
          <w:szCs w:val="28"/>
        </w:rPr>
        <w:t>据了解，平阴县具有热电产业、炭素产业、水泥产业、钢铁加工等企业，2</w:t>
      </w:r>
      <w:r>
        <w:rPr>
          <w:bCs/>
          <w:color w:val="000000" w:themeColor="text1"/>
          <w:kern w:val="44"/>
          <w:sz w:val="28"/>
          <w:szCs w:val="28"/>
        </w:rPr>
        <w:t>02</w:t>
      </w:r>
      <w:r>
        <w:rPr>
          <w:rFonts w:hint="eastAsia"/>
          <w:bCs/>
          <w:color w:val="000000" w:themeColor="text1"/>
          <w:kern w:val="44"/>
          <w:sz w:val="28"/>
          <w:szCs w:val="28"/>
        </w:rPr>
        <w:t>3年工业用水量为</w:t>
      </w:r>
      <w:r>
        <w:rPr>
          <w:bCs/>
          <w:color w:val="000000" w:themeColor="text1"/>
          <w:kern w:val="44"/>
          <w:sz w:val="28"/>
          <w:szCs w:val="28"/>
        </w:rPr>
        <w:t>1009.0455</w:t>
      </w:r>
      <w:r>
        <w:rPr>
          <w:color w:val="000000" w:themeColor="text1"/>
          <w:sz w:val="28"/>
          <w:szCs w:val="28"/>
        </w:rPr>
        <w:t>万m</w:t>
      </w:r>
      <w:r>
        <w:rPr>
          <w:color w:val="000000" w:themeColor="text1"/>
          <w:sz w:val="28"/>
          <w:szCs w:val="28"/>
          <w:vertAlign w:val="superscript"/>
        </w:rPr>
        <w:t>3</w:t>
      </w:r>
      <w:r>
        <w:rPr>
          <w:rFonts w:hint="eastAsia"/>
          <w:color w:val="000000" w:themeColor="text1"/>
          <w:sz w:val="28"/>
          <w:szCs w:val="28"/>
        </w:rPr>
        <w:t>，工业用水利用再生水量为</w:t>
      </w:r>
      <w:r>
        <w:rPr>
          <w:color w:val="000000" w:themeColor="text1"/>
          <w:sz w:val="28"/>
          <w:szCs w:val="28"/>
        </w:rPr>
        <w:t>137.2949万m</w:t>
      </w:r>
      <w:r>
        <w:rPr>
          <w:color w:val="000000" w:themeColor="text1"/>
          <w:sz w:val="28"/>
          <w:szCs w:val="28"/>
          <w:vertAlign w:val="superscript"/>
        </w:rPr>
        <w:t>3</w:t>
      </w:r>
      <w:r>
        <w:rPr>
          <w:rFonts w:hint="eastAsia"/>
          <w:color w:val="000000" w:themeColor="text1"/>
          <w:sz w:val="28"/>
          <w:szCs w:val="28"/>
        </w:rPr>
        <w:t>，占工业用水量的13.6%，全部采用区外再生水。</w:t>
      </w:r>
    </w:p>
    <w:p w14:paraId="755C21E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平阴县再生水利用主要位于中心城区和孔村镇，以生态环境补水、绿化灌溉及道路喷洒、工业用水为主。</w:t>
      </w:r>
    </w:p>
    <w:p w14:paraId="357BC256">
      <w:pPr>
        <w:autoSpaceDE w:val="0"/>
        <w:autoSpaceDN w:val="0"/>
        <w:adjustRightInd w:val="0"/>
        <w:snapToGrid w:val="0"/>
        <w:spacing w:line="600" w:lineRule="exact"/>
        <w:textAlignment w:val="bottom"/>
        <w:outlineLvl w:val="2"/>
        <w:rPr>
          <w:b/>
          <w:color w:val="000000" w:themeColor="text1"/>
          <w:sz w:val="28"/>
          <w:szCs w:val="28"/>
        </w:rPr>
      </w:pPr>
      <w:bookmarkStart w:id="120" w:name="_Toc144243718"/>
      <w:bookmarkStart w:id="121" w:name="_Toc143780489"/>
      <w:r>
        <w:rPr>
          <w:b/>
          <w:color w:val="000000" w:themeColor="text1"/>
          <w:sz w:val="28"/>
          <w:szCs w:val="28"/>
        </w:rPr>
        <w:t>3.2.2 再生水利用</w:t>
      </w:r>
      <w:r>
        <w:rPr>
          <w:rFonts w:hint="eastAsia"/>
          <w:b/>
          <w:color w:val="000000" w:themeColor="text1"/>
          <w:sz w:val="28"/>
          <w:szCs w:val="28"/>
        </w:rPr>
        <w:t>潜力分析</w:t>
      </w:r>
      <w:bookmarkEnd w:id="120"/>
      <w:bookmarkEnd w:id="121"/>
    </w:p>
    <w:p w14:paraId="2E06484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平阴县现已建成污水处理厂</w:t>
      </w:r>
      <w:r>
        <w:rPr>
          <w:color w:val="000000" w:themeColor="text1"/>
          <w:sz w:val="28"/>
          <w:szCs w:val="28"/>
        </w:rPr>
        <w:t>5</w:t>
      </w:r>
      <w:r>
        <w:rPr>
          <w:rFonts w:hint="eastAsia"/>
          <w:color w:val="000000" w:themeColor="text1"/>
          <w:sz w:val="28"/>
          <w:szCs w:val="28"/>
        </w:rPr>
        <w:t>座，总处理规模达到</w:t>
      </w:r>
      <w:r>
        <w:rPr>
          <w:color w:val="000000" w:themeColor="text1"/>
          <w:sz w:val="28"/>
          <w:szCs w:val="28"/>
        </w:rPr>
        <w:t>6.0</w:t>
      </w:r>
      <w:r>
        <w:rPr>
          <w:rFonts w:hint="eastAsia"/>
          <w:color w:val="000000" w:themeColor="text1"/>
          <w:sz w:val="28"/>
          <w:szCs w:val="28"/>
        </w:rPr>
        <w:t>万</w:t>
      </w:r>
      <w:r>
        <w:rPr>
          <w:color w:val="000000" w:themeColor="text1"/>
          <w:sz w:val="28"/>
          <w:szCs w:val="28"/>
        </w:rPr>
        <w:t>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，现状实际处理量约4.63万</w:t>
      </w:r>
      <w:r>
        <w:rPr>
          <w:color w:val="000000" w:themeColor="text1"/>
          <w:sz w:val="28"/>
          <w:szCs w:val="28"/>
        </w:rPr>
        <w:t>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，出水水质均达到</w:t>
      </w:r>
      <w:r>
        <w:rPr>
          <w:color w:val="000000" w:themeColor="text1"/>
          <w:sz w:val="28"/>
          <w:szCs w:val="28"/>
        </w:rPr>
        <w:t>《城镇污水处理厂污染物排放标准》（GB18918-2002）一级A标准</w:t>
      </w:r>
      <w:r>
        <w:rPr>
          <w:rFonts w:hint="eastAsia"/>
          <w:color w:val="000000" w:themeColor="text1"/>
          <w:sz w:val="28"/>
          <w:szCs w:val="28"/>
        </w:rPr>
        <w:t>及以上排放标准，部分达到了</w:t>
      </w:r>
      <w:r>
        <w:rPr>
          <w:color w:val="000000" w:themeColor="text1"/>
          <w:sz w:val="28"/>
          <w:szCs w:val="28"/>
        </w:rPr>
        <w:t>《地表水环境质量标准》（GB3838-2002）Ⅳ类（TN≤15mg/L）标准</w:t>
      </w:r>
      <w:r>
        <w:rPr>
          <w:rFonts w:hint="eastAsia"/>
          <w:color w:val="000000" w:themeColor="text1"/>
          <w:sz w:val="28"/>
          <w:szCs w:val="28"/>
        </w:rPr>
        <w:t>。因此，平阴县污水处理厂的外排水是再生水的稳定水源，为城市污水再生利用提供了基础。基于平阴县用水现状、再生水可利用条件等方面分析平阴县的再生水利用潜力。</w:t>
      </w:r>
    </w:p>
    <w:p w14:paraId="052C5F3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1、工业用水</w:t>
      </w:r>
    </w:p>
    <w:p w14:paraId="6339A16A">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据了解，平阴县工业有热电、炭素生产、</w:t>
      </w:r>
      <w:r>
        <w:rPr>
          <w:rFonts w:hint="eastAsia"/>
          <w:bCs/>
          <w:color w:val="000000" w:themeColor="text1"/>
          <w:kern w:val="44"/>
          <w:sz w:val="28"/>
          <w:szCs w:val="28"/>
        </w:rPr>
        <w:t>水泥生产、钢铁加工等行业</w:t>
      </w:r>
      <w:r>
        <w:rPr>
          <w:rFonts w:hint="eastAsia"/>
          <w:color w:val="000000" w:themeColor="text1"/>
          <w:sz w:val="28"/>
          <w:szCs w:val="28"/>
        </w:rPr>
        <w:t>，其生产取水水源为自来水、地下水或者再生水，且部分用水为循环冷却水，对水质要求不高，可采用再生水。根据《城市污水再生利用分类》（GB/T 18919-2002）可知，再生水水质经处理后达到《城市污水再生利用 工业用水水质》（GB/T 19923-2024）要求后，可用于循环冷却用水、锅炉用水、一般生产工艺用水等。</w:t>
      </w:r>
      <w:r>
        <w:rPr>
          <w:color w:val="000000" w:themeColor="text1"/>
          <w:sz w:val="28"/>
          <w:szCs w:val="28"/>
        </w:rPr>
        <w:t>202</w:t>
      </w:r>
      <w:r>
        <w:rPr>
          <w:rFonts w:hint="eastAsia"/>
          <w:color w:val="000000" w:themeColor="text1"/>
          <w:sz w:val="28"/>
          <w:szCs w:val="28"/>
        </w:rPr>
        <w:t>3年平阴县工业用水量为</w:t>
      </w:r>
      <w:r>
        <w:rPr>
          <w:bCs/>
          <w:color w:val="000000" w:themeColor="text1"/>
          <w:kern w:val="44"/>
          <w:sz w:val="28"/>
          <w:szCs w:val="28"/>
        </w:rPr>
        <w:t>1009.0455</w:t>
      </w:r>
      <w:r>
        <w:rPr>
          <w:color w:val="000000" w:themeColor="text1"/>
          <w:sz w:val="28"/>
          <w:szCs w:val="28"/>
        </w:rPr>
        <w:t>万m</w:t>
      </w:r>
      <w:r>
        <w:rPr>
          <w:color w:val="000000" w:themeColor="text1"/>
          <w:sz w:val="28"/>
          <w:szCs w:val="28"/>
          <w:vertAlign w:val="superscript"/>
        </w:rPr>
        <w:t>3</w:t>
      </w:r>
      <w:r>
        <w:rPr>
          <w:rFonts w:hint="eastAsia"/>
          <w:color w:val="000000" w:themeColor="text1"/>
          <w:sz w:val="28"/>
          <w:szCs w:val="28"/>
        </w:rPr>
        <w:t>，利用再生水量为</w:t>
      </w:r>
      <w:r>
        <w:rPr>
          <w:color w:val="000000" w:themeColor="text1"/>
          <w:sz w:val="28"/>
          <w:szCs w:val="28"/>
        </w:rPr>
        <w:t>137.2949万m</w:t>
      </w:r>
      <w:r>
        <w:rPr>
          <w:color w:val="000000" w:themeColor="text1"/>
          <w:sz w:val="28"/>
          <w:szCs w:val="28"/>
          <w:vertAlign w:val="superscript"/>
        </w:rPr>
        <w:t>3</w:t>
      </w:r>
      <w:r>
        <w:rPr>
          <w:rFonts w:hint="eastAsia"/>
          <w:color w:val="000000" w:themeColor="text1"/>
          <w:sz w:val="28"/>
          <w:szCs w:val="28"/>
        </w:rPr>
        <w:t>，占工业用水量的13.6%。</w:t>
      </w:r>
    </w:p>
    <w:p w14:paraId="4911AA9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根据平阴县水务局提供资料，结合实地调研结果可知，平阴县工业企业对再生水利用具有很大的需求，经核实计划有山东齐发药业有限公司、济南市琦泉热电有限责任公司、济南玮泉生物发电有限公司等1</w:t>
      </w:r>
      <w:r>
        <w:rPr>
          <w:color w:val="000000" w:themeColor="text1"/>
          <w:sz w:val="28"/>
          <w:szCs w:val="28"/>
        </w:rPr>
        <w:t>0</w:t>
      </w:r>
      <w:r>
        <w:rPr>
          <w:rFonts w:hint="eastAsia"/>
          <w:color w:val="000000" w:themeColor="text1"/>
          <w:sz w:val="28"/>
          <w:szCs w:val="28"/>
        </w:rPr>
        <w:t>家企业计划要采用再生水，结合实际生产情况和用水工艺确定再生水利用量。</w:t>
      </w:r>
    </w:p>
    <w:p w14:paraId="468E013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因此，平阴县的工业用水可以配置利用再生水，替代新鲜水，具有较大的再生水利用潜力。</w:t>
      </w:r>
    </w:p>
    <w:p w14:paraId="1782A15F">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w:t>
      </w:r>
      <w:r>
        <w:rPr>
          <w:rFonts w:hint="eastAsia"/>
          <w:color w:val="000000" w:themeColor="text1"/>
          <w:sz w:val="28"/>
          <w:szCs w:val="28"/>
        </w:rPr>
        <w:t>、城市杂用水</w:t>
      </w:r>
    </w:p>
    <w:p w14:paraId="015399C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城市杂用水为绿化灌溉用水、道路广场喷洒用水、公共厕所、公园及公共机构等冲厕和清洁用水等。</w:t>
      </w:r>
    </w:p>
    <w:p w14:paraId="56D502AC">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（1）绿化灌溉、道路广场喷洒用水、</w:t>
      </w:r>
    </w:p>
    <w:p w14:paraId="44D45867">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目前，平阴县中心城区的绿化灌溉、道路广场喷洒采用再生水。据了解，平阴县各镇没有正式的再生水供水工程，导致再生水利用水平不高，绿化灌溉、道路广场喷洒还是多采用常规水源。因此，平阴县各镇的绿化灌溉、道路广场喷洒配置利用再生水，替代新鲜水，具有一定的再生水利用潜力。</w:t>
      </w:r>
    </w:p>
    <w:p w14:paraId="07CCCCAF">
      <w:pPr>
        <w:keepNext/>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（2）其他城市杂用水</w:t>
      </w:r>
    </w:p>
    <w:p w14:paraId="06A2B8E1">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其他城市杂用水主要为公共厕所、公园及公共机构等冲厕和清洁用水、洗车用水等。经实地调研，目前平阴县该部分用水全部采用市政自来水。根据《城市污水再生利用分类》（GBT 18919-2002）可知，再生水水质经处理后达到《城市污水再生利用 城市杂用水水质》（GB-T18920-2002）要求后，可以用于冲厕用水、洗车用水等。因此，该城市杂用水可根据用水水质要求和再生水可利用条件配置再生水，进而置换新鲜水，减少自来水用水量。</w:t>
      </w:r>
    </w:p>
    <w:p w14:paraId="341FEEFB">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3</w:t>
      </w:r>
      <w:r>
        <w:rPr>
          <w:rFonts w:hint="eastAsia"/>
          <w:color w:val="000000" w:themeColor="text1"/>
          <w:sz w:val="28"/>
          <w:szCs w:val="28"/>
        </w:rPr>
        <w:t>、景观河生态补水</w:t>
      </w:r>
    </w:p>
    <w:p w14:paraId="09484E36">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平阴县城区的景观河生态补水采用再生水，但是各镇的景观河道尚未完全开发，后期随着新农村建设，对生态环境要求不断提高，则景观河道的生态补水应优先采用再生水，其对水质要求较低，可满足景观河生态补水要求，进而减少新鲜水用水量。</w:t>
      </w:r>
    </w:p>
    <w:p w14:paraId="438AB63D">
      <w:pPr>
        <w:snapToGrid w:val="0"/>
        <w:spacing w:before="120" w:beforeLines="50" w:after="120" w:afterLines="50" w:line="600" w:lineRule="exact"/>
        <w:outlineLvl w:val="1"/>
        <w:rPr>
          <w:b/>
          <w:color w:val="000000" w:themeColor="text1"/>
          <w:sz w:val="30"/>
          <w:szCs w:val="30"/>
        </w:rPr>
      </w:pPr>
      <w:bookmarkStart w:id="122" w:name="_Toc144243719"/>
      <w:bookmarkStart w:id="123" w:name="_Toc181472932"/>
      <w:bookmarkStart w:id="124" w:name="_Toc143780490"/>
      <w:r>
        <w:rPr>
          <w:b/>
          <w:color w:val="000000" w:themeColor="text1"/>
          <w:sz w:val="30"/>
          <w:szCs w:val="30"/>
        </w:rPr>
        <w:t>3.3 再生水利用</w:t>
      </w:r>
      <w:r>
        <w:rPr>
          <w:rFonts w:hint="eastAsia"/>
          <w:b/>
          <w:color w:val="000000" w:themeColor="text1"/>
          <w:sz w:val="30"/>
          <w:szCs w:val="30"/>
        </w:rPr>
        <w:t>存在的问题</w:t>
      </w:r>
      <w:bookmarkEnd w:id="122"/>
      <w:bookmarkEnd w:id="123"/>
      <w:bookmarkEnd w:id="124"/>
    </w:p>
    <w:p w14:paraId="06A2B29A">
      <w:pPr>
        <w:tabs>
          <w:tab w:val="left" w:pos="5400"/>
        </w:tabs>
        <w:spacing w:line="600" w:lineRule="exact"/>
        <w:ind w:firstLine="560" w:firstLineChars="200"/>
        <w:rPr>
          <w:color w:val="000000" w:themeColor="text1"/>
          <w:sz w:val="28"/>
          <w:szCs w:val="28"/>
        </w:rPr>
      </w:pPr>
      <w:r>
        <w:rPr>
          <w:color w:val="000000" w:themeColor="text1"/>
          <w:sz w:val="28"/>
          <w:szCs w:val="28"/>
        </w:rPr>
        <w:t>1</w:t>
      </w:r>
      <w:r>
        <w:rPr>
          <w:rFonts w:hint="eastAsia"/>
          <w:color w:val="000000" w:themeColor="text1"/>
          <w:sz w:val="28"/>
          <w:szCs w:val="28"/>
        </w:rPr>
        <w:t>、</w:t>
      </w:r>
      <w:r>
        <w:rPr>
          <w:color w:val="000000" w:themeColor="text1"/>
          <w:sz w:val="28"/>
          <w:szCs w:val="28"/>
        </w:rPr>
        <w:t>再生水利用认识不足</w:t>
      </w:r>
    </w:p>
    <w:p w14:paraId="0915F00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长期以来，人们把使用过一次的水称为“污水”“下水”“废弃水”，总把这种水与“污垢”“肮脏”等形象相联系，难以相信它还能再利用。事实上人类使用过的水绝大部分是可再回用的清水；污水经过适当的再生处理、重复利用，可实现在自然界中的良性循环。城市污水就近可得、易于收集、易于处理、数量巨大、稳定可靠、不受制于自然变化和人为影响。</w:t>
      </w:r>
    </w:p>
    <w:p w14:paraId="06874E3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再生水利用</w:t>
      </w:r>
      <w:r>
        <w:rPr>
          <w:color w:val="000000" w:themeColor="text1"/>
          <w:sz w:val="28"/>
          <w:szCs w:val="28"/>
        </w:rPr>
        <w:t>是一项有广泛社会性和区域性的工作，</w:t>
      </w:r>
      <w:r>
        <w:rPr>
          <w:rFonts w:hint="eastAsia"/>
          <w:color w:val="000000" w:themeColor="text1"/>
          <w:sz w:val="28"/>
          <w:szCs w:val="28"/>
        </w:rPr>
        <w:t>能否得到推广，关键在于用户能否从心理上接受，能否信任再生水水质和供水可靠性，政府决策部门是否认识到再生水利用的内在利益与外部效益。受传统观念的影响，公众对再生水的认识和接受程度还比较低，一定程度上影响了污水再生利用工作的推进，导致部分企业不愿使用再生水。</w:t>
      </w:r>
    </w:p>
    <w:p w14:paraId="0435257A">
      <w:pPr>
        <w:tabs>
          <w:tab w:val="left" w:pos="5400"/>
        </w:tabs>
        <w:spacing w:line="600" w:lineRule="exact"/>
        <w:ind w:firstLine="560" w:firstLineChars="200"/>
        <w:rPr>
          <w:color w:val="000000" w:themeColor="text1"/>
          <w:sz w:val="28"/>
          <w:szCs w:val="28"/>
        </w:rPr>
      </w:pPr>
      <w:r>
        <w:rPr>
          <w:color w:val="000000" w:themeColor="text1"/>
          <w:sz w:val="28"/>
          <w:szCs w:val="28"/>
        </w:rPr>
        <w:t>2</w:t>
      </w:r>
      <w:r>
        <w:rPr>
          <w:rFonts w:hint="eastAsia"/>
          <w:color w:val="000000" w:themeColor="text1"/>
          <w:sz w:val="28"/>
          <w:szCs w:val="28"/>
        </w:rPr>
        <w:t>、</w:t>
      </w:r>
      <w:r>
        <w:rPr>
          <w:color w:val="000000" w:themeColor="text1"/>
          <w:sz w:val="28"/>
          <w:szCs w:val="28"/>
        </w:rPr>
        <w:t>再生水利用设施不健全</w:t>
      </w:r>
    </w:p>
    <w:p w14:paraId="05EB5DF7">
      <w:pPr>
        <w:tabs>
          <w:tab w:val="left" w:pos="5400"/>
        </w:tabs>
        <w:spacing w:line="600" w:lineRule="exact"/>
        <w:ind w:firstLine="560" w:firstLineChars="200"/>
        <w:rPr>
          <w:color w:val="000000" w:themeColor="text1"/>
          <w:sz w:val="28"/>
          <w:szCs w:val="28"/>
        </w:rPr>
      </w:pPr>
      <w:r>
        <w:rPr>
          <w:color w:val="000000" w:themeColor="text1"/>
          <w:sz w:val="28"/>
          <w:szCs w:val="28"/>
        </w:rPr>
        <w:t>平阴县现状再生水利用工程规模2.0万m</w:t>
      </w:r>
      <w:r>
        <w:rPr>
          <w:rFonts w:hint="eastAsia"/>
          <w:color w:val="000000" w:themeColor="text1"/>
          <w:sz w:val="28"/>
          <w:szCs w:val="28"/>
          <w:vertAlign w:val="superscript"/>
        </w:rPr>
        <w:t>3</w:t>
      </w:r>
      <w:r>
        <w:rPr>
          <w:color w:val="000000" w:themeColor="text1"/>
          <w:sz w:val="28"/>
          <w:szCs w:val="28"/>
        </w:rPr>
        <w:t>/d，尚不能满足现状再生水的利用需求。</w:t>
      </w:r>
      <w:r>
        <w:rPr>
          <w:bCs/>
          <w:color w:val="000000" w:themeColor="text1"/>
          <w:kern w:val="44"/>
          <w:sz w:val="28"/>
          <w:szCs w:val="28"/>
        </w:rPr>
        <w:t>平阴县为充分利用再生水，加大污水资源化利用，以玫城湿地处理后的再生水为水源，建设供水泵站，铺设供水管网向各工业、市政等用水户供水</w:t>
      </w:r>
      <w:r>
        <w:rPr>
          <w:rFonts w:hint="eastAsia"/>
          <w:color w:val="000000" w:themeColor="text1"/>
          <w:sz w:val="28"/>
          <w:szCs w:val="28"/>
        </w:rPr>
        <w:t>。但是现有的供水工程</w:t>
      </w:r>
      <w:r>
        <w:rPr>
          <w:color w:val="000000" w:themeColor="text1"/>
          <w:sz w:val="28"/>
          <w:szCs w:val="28"/>
        </w:rPr>
        <w:t>尚未形成完整的</w:t>
      </w:r>
      <w:r>
        <w:rPr>
          <w:rFonts w:hint="eastAsia"/>
          <w:color w:val="000000" w:themeColor="text1"/>
          <w:sz w:val="28"/>
          <w:szCs w:val="28"/>
        </w:rPr>
        <w:t>供水</w:t>
      </w:r>
      <w:r>
        <w:rPr>
          <w:color w:val="000000" w:themeColor="text1"/>
          <w:sz w:val="28"/>
          <w:szCs w:val="28"/>
        </w:rPr>
        <w:t>管网，导致管网远端的供水量和供水压力不稳定</w:t>
      </w:r>
      <w:r>
        <w:rPr>
          <w:rFonts w:hint="eastAsia"/>
          <w:color w:val="000000" w:themeColor="text1"/>
          <w:sz w:val="28"/>
          <w:szCs w:val="28"/>
        </w:rPr>
        <w:t>，不能满足用水要求</w:t>
      </w:r>
      <w:r>
        <w:rPr>
          <w:color w:val="000000" w:themeColor="text1"/>
          <w:sz w:val="28"/>
          <w:szCs w:val="28"/>
        </w:rPr>
        <w:t>。</w:t>
      </w:r>
      <w:r>
        <w:rPr>
          <w:rFonts w:hint="eastAsia"/>
          <w:color w:val="000000" w:themeColor="text1"/>
          <w:sz w:val="28"/>
          <w:szCs w:val="28"/>
        </w:rPr>
        <w:t>因此，平阴县</w:t>
      </w:r>
      <w:r>
        <w:rPr>
          <w:color w:val="000000" w:themeColor="text1"/>
          <w:sz w:val="28"/>
          <w:szCs w:val="28"/>
        </w:rPr>
        <w:t>再生水</w:t>
      </w:r>
      <w:r>
        <w:rPr>
          <w:rFonts w:hint="eastAsia"/>
          <w:color w:val="000000" w:themeColor="text1"/>
          <w:sz w:val="28"/>
          <w:szCs w:val="28"/>
        </w:rPr>
        <w:t>处理设施、</w:t>
      </w:r>
      <w:r>
        <w:rPr>
          <w:color w:val="000000" w:themeColor="text1"/>
          <w:sz w:val="28"/>
          <w:szCs w:val="28"/>
        </w:rPr>
        <w:t>供水设施不</w:t>
      </w:r>
      <w:r>
        <w:rPr>
          <w:rFonts w:hint="eastAsia"/>
          <w:color w:val="000000" w:themeColor="text1"/>
          <w:sz w:val="28"/>
          <w:szCs w:val="28"/>
        </w:rPr>
        <w:t>配套</w:t>
      </w:r>
      <w:r>
        <w:rPr>
          <w:color w:val="000000" w:themeColor="text1"/>
          <w:sz w:val="28"/>
          <w:szCs w:val="28"/>
        </w:rPr>
        <w:t>，再生水管网的覆盖率较低，</w:t>
      </w:r>
      <w:r>
        <w:rPr>
          <w:rFonts w:hint="eastAsia"/>
          <w:color w:val="000000" w:themeColor="text1"/>
          <w:sz w:val="28"/>
          <w:szCs w:val="28"/>
        </w:rPr>
        <w:t>导致</w:t>
      </w:r>
      <w:r>
        <w:rPr>
          <w:color w:val="000000" w:themeColor="text1"/>
          <w:sz w:val="28"/>
          <w:szCs w:val="28"/>
        </w:rPr>
        <w:t>无法充分利用再生水。</w:t>
      </w:r>
    </w:p>
    <w:p w14:paraId="54B85251">
      <w:pPr>
        <w:tabs>
          <w:tab w:val="left" w:pos="5400"/>
        </w:tabs>
        <w:spacing w:line="600" w:lineRule="exact"/>
        <w:ind w:firstLine="560" w:firstLineChars="200"/>
        <w:rPr>
          <w:color w:val="000000" w:themeColor="text1"/>
          <w:sz w:val="28"/>
          <w:szCs w:val="28"/>
        </w:rPr>
      </w:pPr>
      <w:r>
        <w:rPr>
          <w:color w:val="000000" w:themeColor="text1"/>
          <w:sz w:val="28"/>
          <w:szCs w:val="28"/>
        </w:rPr>
        <w:t>3</w:t>
      </w:r>
      <w:r>
        <w:rPr>
          <w:rFonts w:hint="eastAsia"/>
          <w:color w:val="000000" w:themeColor="text1"/>
          <w:sz w:val="28"/>
          <w:szCs w:val="28"/>
        </w:rPr>
        <w:t>、</w:t>
      </w:r>
      <w:r>
        <w:rPr>
          <w:color w:val="000000" w:themeColor="text1"/>
          <w:sz w:val="28"/>
          <w:szCs w:val="28"/>
        </w:rPr>
        <w:t>再生水利用设施投入不足</w:t>
      </w:r>
    </w:p>
    <w:p w14:paraId="3E3ADB1F">
      <w:pPr>
        <w:tabs>
          <w:tab w:val="left" w:pos="5400"/>
        </w:tabs>
        <w:spacing w:line="600" w:lineRule="exact"/>
        <w:ind w:firstLine="560" w:firstLineChars="200"/>
        <w:rPr>
          <w:color w:val="000000" w:themeColor="text1"/>
          <w:sz w:val="28"/>
          <w:szCs w:val="28"/>
        </w:rPr>
      </w:pPr>
      <w:r>
        <w:rPr>
          <w:color w:val="000000" w:themeColor="text1"/>
          <w:sz w:val="28"/>
          <w:szCs w:val="28"/>
        </w:rPr>
        <w:t>再生水利用工作面广量大、情况复杂多样，需要大量投入和一定的先进技术。再生水利用需要更新改造用水设备，有的甚至要更新改造工艺设备。随着再生水利用水量的加大、再生水利用率的提高，单方再生水利用投资会愈来愈大，技术要求也愈来愈高。目前平阴县再生水利用尚无固定投资渠道，再生水利用工程措施投资力度不够。</w:t>
      </w:r>
    </w:p>
    <w:p w14:paraId="72F50B1A">
      <w:pPr>
        <w:tabs>
          <w:tab w:val="left" w:pos="5400"/>
        </w:tabs>
        <w:spacing w:line="600" w:lineRule="exact"/>
        <w:ind w:firstLine="560" w:firstLineChars="200"/>
        <w:rPr>
          <w:color w:val="000000" w:themeColor="text1"/>
          <w:sz w:val="28"/>
          <w:szCs w:val="28"/>
        </w:rPr>
      </w:pPr>
      <w:r>
        <w:rPr>
          <w:color w:val="000000" w:themeColor="text1"/>
          <w:sz w:val="28"/>
          <w:szCs w:val="28"/>
        </w:rPr>
        <w:t>4</w:t>
      </w:r>
      <w:r>
        <w:rPr>
          <w:rFonts w:hint="eastAsia"/>
          <w:color w:val="000000" w:themeColor="text1"/>
          <w:sz w:val="28"/>
          <w:szCs w:val="28"/>
        </w:rPr>
        <w:t>、</w:t>
      </w:r>
      <w:r>
        <w:rPr>
          <w:color w:val="000000" w:themeColor="text1"/>
          <w:sz w:val="28"/>
          <w:szCs w:val="28"/>
        </w:rPr>
        <w:t>再生水利用宣传教育力度有待提高</w:t>
      </w:r>
    </w:p>
    <w:p w14:paraId="153835AA">
      <w:pPr>
        <w:tabs>
          <w:tab w:val="left" w:pos="5400"/>
        </w:tabs>
        <w:spacing w:line="600" w:lineRule="exact"/>
        <w:ind w:firstLine="560" w:firstLineChars="200"/>
        <w:rPr>
          <w:color w:val="000000" w:themeColor="text1"/>
          <w:sz w:val="28"/>
          <w:szCs w:val="28"/>
        </w:rPr>
      </w:pPr>
      <w:r>
        <w:rPr>
          <w:color w:val="000000" w:themeColor="text1"/>
          <w:sz w:val="28"/>
          <w:szCs w:val="28"/>
        </w:rPr>
        <w:t>再生水作为一种</w:t>
      </w:r>
      <w:r>
        <w:rPr>
          <w:rFonts w:hint="eastAsia"/>
          <w:color w:val="000000" w:themeColor="text1"/>
          <w:sz w:val="28"/>
          <w:szCs w:val="28"/>
        </w:rPr>
        <w:t>水</w:t>
      </w:r>
      <w:r>
        <w:rPr>
          <w:color w:val="000000" w:themeColor="text1"/>
          <w:sz w:val="28"/>
          <w:szCs w:val="28"/>
        </w:rPr>
        <w:t>资源，</w:t>
      </w:r>
      <w:r>
        <w:rPr>
          <w:rFonts w:hint="eastAsia"/>
          <w:color w:val="000000" w:themeColor="text1"/>
          <w:sz w:val="28"/>
          <w:szCs w:val="28"/>
        </w:rPr>
        <w:t>其</w:t>
      </w:r>
      <w:r>
        <w:rPr>
          <w:color w:val="000000" w:themeColor="text1"/>
          <w:sz w:val="28"/>
          <w:szCs w:val="28"/>
        </w:rPr>
        <w:t>具有资源属性，再生水的利用对于资源性缺水的平阴县来说具有节约用水、增加水源的双重作用。但平阴县现状企业再生水利用比例小，尚没有大范围开展，再生水利用意识不强。再生水利用宣传力度不足，公众对污水资源化利用意识不强，用户对再生水水质安全存有疑虑，利用再生水的信息没有公开渠道。应综合考虑自然资源环境条件、经济社会发展水平、城市发展战略、水质特性等因素，加大再生水利用宣传教育力度，探索再生利用模式途径，积极稳妥地推进再生水的安全利用、科学利用。</w:t>
      </w:r>
    </w:p>
    <w:p w14:paraId="0D6EBF70">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5、配套政策不健全，缺乏鼓励再生水利用的制度</w:t>
      </w:r>
    </w:p>
    <w:p w14:paraId="550BA7A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关于再生水利用的政策并不完善，缺乏再生水水价机制，同时缺乏促进污水再生利用的鼓励制度和必要的惩罚措施，导致一方面是城市用水紧张，另一方面城市杂用水、景观生态补水和工业用水仍在大量使用优质水资源。</w:t>
      </w:r>
    </w:p>
    <w:p w14:paraId="6437F9D5">
      <w:pPr>
        <w:tabs>
          <w:tab w:val="left" w:pos="5400"/>
        </w:tabs>
        <w:spacing w:line="600" w:lineRule="exact"/>
        <w:ind w:firstLine="560" w:firstLineChars="200"/>
        <w:rPr>
          <w:color w:val="000000" w:themeColor="text1"/>
          <w:sz w:val="28"/>
          <w:szCs w:val="28"/>
        </w:rPr>
        <w:sectPr>
          <w:pgSz w:w="11906" w:h="16838"/>
          <w:pgMar w:top="1440" w:right="1800" w:bottom="1440" w:left="1800" w:header="1020" w:footer="992" w:gutter="0"/>
          <w:cols w:space="425" w:num="1"/>
          <w:docGrid w:linePitch="312" w:charSpace="0"/>
        </w:sectPr>
      </w:pPr>
    </w:p>
    <w:p w14:paraId="55A17B02">
      <w:pPr>
        <w:pageBreakBefore/>
        <w:numPr>
          <w:ilvl w:val="0"/>
          <w:numId w:val="2"/>
        </w:numPr>
        <w:tabs>
          <w:tab w:val="center" w:pos="4535"/>
          <w:tab w:val="right" w:pos="9070"/>
        </w:tabs>
        <w:spacing w:before="240" w:beforeLines="100" w:after="360" w:afterLines="150" w:line="600" w:lineRule="exact"/>
        <w:jc w:val="center"/>
        <w:outlineLvl w:val="0"/>
        <w:rPr>
          <w:b/>
          <w:color w:val="000000" w:themeColor="text1"/>
          <w:sz w:val="44"/>
          <w:szCs w:val="36"/>
        </w:rPr>
      </w:pPr>
      <w:bookmarkStart w:id="125" w:name="_Toc144243720"/>
      <w:r>
        <w:rPr>
          <w:rFonts w:hint="eastAsia"/>
          <w:b/>
          <w:color w:val="000000" w:themeColor="text1"/>
          <w:sz w:val="44"/>
          <w:szCs w:val="36"/>
        </w:rPr>
        <w:t xml:space="preserve"> </w:t>
      </w:r>
      <w:bookmarkStart w:id="126" w:name="_Toc181472933"/>
      <w:r>
        <w:rPr>
          <w:b/>
          <w:color w:val="000000" w:themeColor="text1"/>
          <w:sz w:val="44"/>
          <w:szCs w:val="36"/>
        </w:rPr>
        <w:t>再生水需求分析</w:t>
      </w:r>
      <w:bookmarkEnd w:id="125"/>
      <w:bookmarkEnd w:id="126"/>
    </w:p>
    <w:p w14:paraId="17FB3100">
      <w:pPr>
        <w:snapToGrid w:val="0"/>
        <w:spacing w:before="120" w:beforeLines="50" w:after="120" w:afterLines="50" w:line="600" w:lineRule="exact"/>
        <w:outlineLvl w:val="1"/>
        <w:rPr>
          <w:b/>
          <w:color w:val="000000" w:themeColor="text1"/>
          <w:sz w:val="30"/>
          <w:szCs w:val="30"/>
        </w:rPr>
      </w:pPr>
      <w:bookmarkStart w:id="127" w:name="_Toc181472934"/>
      <w:bookmarkStart w:id="128" w:name="_Toc144243721"/>
      <w:r>
        <w:rPr>
          <w:b/>
          <w:color w:val="000000" w:themeColor="text1"/>
          <w:sz w:val="30"/>
          <w:szCs w:val="30"/>
        </w:rPr>
        <w:t>4.1 再生水需求调查</w:t>
      </w:r>
      <w:bookmarkEnd w:id="127"/>
      <w:bookmarkEnd w:id="128"/>
    </w:p>
    <w:p w14:paraId="6C25C995">
      <w:pPr>
        <w:tabs>
          <w:tab w:val="left" w:pos="5400"/>
        </w:tabs>
        <w:spacing w:line="560" w:lineRule="exact"/>
        <w:ind w:firstLine="560" w:firstLineChars="200"/>
        <w:rPr>
          <w:color w:val="000000" w:themeColor="text1"/>
          <w:sz w:val="28"/>
          <w:szCs w:val="36"/>
        </w:rPr>
      </w:pPr>
      <w:r>
        <w:rPr>
          <w:rFonts w:hint="eastAsia"/>
          <w:color w:val="000000" w:themeColor="text1"/>
          <w:sz w:val="28"/>
          <w:szCs w:val="36"/>
        </w:rPr>
        <w:t>根据《“十四五”城镇污水处理及资源化利用发展规划》（发改环资</w:t>
      </w:r>
      <w:r>
        <w:rPr>
          <w:color w:val="000000" w:themeColor="text1"/>
          <w:sz w:val="28"/>
          <w:szCs w:val="28"/>
        </w:rPr>
        <w:t>〔</w:t>
      </w:r>
      <w:r>
        <w:rPr>
          <w:color w:val="000000" w:themeColor="text1"/>
          <w:sz w:val="28"/>
          <w:szCs w:val="36"/>
        </w:rPr>
        <w:t>2021</w:t>
      </w:r>
      <w:r>
        <w:rPr>
          <w:color w:val="000000" w:themeColor="text1"/>
          <w:sz w:val="28"/>
          <w:szCs w:val="28"/>
        </w:rPr>
        <w:t>〕</w:t>
      </w:r>
      <w:r>
        <w:rPr>
          <w:color w:val="000000" w:themeColor="text1"/>
          <w:sz w:val="28"/>
          <w:szCs w:val="36"/>
        </w:rPr>
        <w:t>827</w:t>
      </w:r>
      <w:r>
        <w:rPr>
          <w:rFonts w:hint="eastAsia"/>
          <w:color w:val="000000" w:themeColor="text1"/>
          <w:sz w:val="28"/>
          <w:szCs w:val="36"/>
        </w:rPr>
        <w:t>号）、《“十四五”黄河流域城镇污水垃圾处理实施方案》（发改环资</w:t>
      </w:r>
      <w:r>
        <w:rPr>
          <w:color w:val="000000" w:themeColor="text1"/>
          <w:sz w:val="28"/>
          <w:szCs w:val="28"/>
        </w:rPr>
        <w:t>〔</w:t>
      </w:r>
      <w:r>
        <w:rPr>
          <w:color w:val="000000" w:themeColor="text1"/>
          <w:sz w:val="28"/>
          <w:szCs w:val="36"/>
        </w:rPr>
        <w:t>2021</w:t>
      </w:r>
      <w:r>
        <w:rPr>
          <w:color w:val="000000" w:themeColor="text1"/>
          <w:sz w:val="28"/>
          <w:szCs w:val="28"/>
        </w:rPr>
        <w:t>〕</w:t>
      </w:r>
      <w:r>
        <w:rPr>
          <w:color w:val="000000" w:themeColor="text1"/>
          <w:sz w:val="28"/>
          <w:szCs w:val="36"/>
        </w:rPr>
        <w:t>1205</w:t>
      </w:r>
      <w:r>
        <w:rPr>
          <w:rFonts w:hint="eastAsia"/>
          <w:color w:val="000000" w:themeColor="text1"/>
          <w:sz w:val="28"/>
          <w:szCs w:val="36"/>
        </w:rPr>
        <w:t>号）和《“十四五”山东省城镇污水处理及资源化利用发展规划》要求，结合国家已颁布的城市污水再生利用的水质标准要求确定，再生水</w:t>
      </w:r>
      <w:r>
        <w:rPr>
          <w:color w:val="000000" w:themeColor="text1"/>
          <w:sz w:val="28"/>
          <w:szCs w:val="36"/>
        </w:rPr>
        <w:t>可用于景观环境、工业、绿地灌溉、城市杂用、农田灌溉等多种用途。</w:t>
      </w:r>
    </w:p>
    <w:p w14:paraId="7B8B1847">
      <w:pPr>
        <w:tabs>
          <w:tab w:val="left" w:pos="5400"/>
        </w:tabs>
        <w:spacing w:line="560" w:lineRule="exact"/>
        <w:ind w:firstLine="560" w:firstLineChars="200"/>
        <w:rPr>
          <w:color w:val="000000" w:themeColor="text1"/>
          <w:sz w:val="28"/>
          <w:szCs w:val="36"/>
        </w:rPr>
      </w:pPr>
      <w:r>
        <w:rPr>
          <w:rFonts w:hint="eastAsia"/>
          <w:color w:val="000000" w:themeColor="text1"/>
          <w:sz w:val="28"/>
          <w:szCs w:val="36"/>
        </w:rPr>
        <w:t>本次规划再生水利用范围为平阴县中心城区、安城镇区、玫瑰镇区、东阿镇区、</w:t>
      </w:r>
      <w:r>
        <w:rPr>
          <w:rFonts w:hint="eastAsia"/>
          <w:color w:val="000000" w:themeColor="text1"/>
          <w:sz w:val="28"/>
          <w:szCs w:val="28"/>
        </w:rPr>
        <w:t>洪范池</w:t>
      </w:r>
      <w:r>
        <w:rPr>
          <w:rFonts w:hint="eastAsia"/>
          <w:color w:val="000000" w:themeColor="text1"/>
          <w:sz w:val="28"/>
          <w:szCs w:val="36"/>
        </w:rPr>
        <w:t>镇区、孔村镇区、孝直镇区及周边的湿地公园、防护绿地。再生水利用对象是现状及规划污水处理厂周围对水质要求不高的工业企业、绿地、公园广场、道路、景观河生态补水、城市杂用水等。</w:t>
      </w:r>
    </w:p>
    <w:p w14:paraId="469126A3">
      <w:pPr>
        <w:autoSpaceDE w:val="0"/>
        <w:autoSpaceDN w:val="0"/>
        <w:adjustRightInd w:val="0"/>
        <w:snapToGrid w:val="0"/>
        <w:spacing w:line="600" w:lineRule="exact"/>
        <w:textAlignment w:val="bottom"/>
        <w:outlineLvl w:val="2"/>
        <w:rPr>
          <w:b/>
          <w:color w:val="000000" w:themeColor="text1"/>
          <w:sz w:val="28"/>
          <w:szCs w:val="28"/>
        </w:rPr>
      </w:pPr>
      <w:bookmarkStart w:id="129" w:name="_Toc143780493"/>
      <w:bookmarkStart w:id="130" w:name="_Toc144243722"/>
      <w:r>
        <w:rPr>
          <w:b/>
          <w:color w:val="000000" w:themeColor="text1"/>
          <w:sz w:val="28"/>
          <w:szCs w:val="28"/>
        </w:rPr>
        <w:t xml:space="preserve">4.1.1 </w:t>
      </w:r>
      <w:r>
        <w:rPr>
          <w:rFonts w:hint="eastAsia"/>
          <w:b/>
          <w:color w:val="000000" w:themeColor="text1"/>
          <w:sz w:val="28"/>
          <w:szCs w:val="28"/>
        </w:rPr>
        <w:t>不同行业利用需求调查</w:t>
      </w:r>
      <w:bookmarkEnd w:id="129"/>
      <w:bookmarkEnd w:id="130"/>
    </w:p>
    <w:p w14:paraId="0D2E3FDE">
      <w:pPr>
        <w:tabs>
          <w:tab w:val="left" w:pos="5400"/>
        </w:tabs>
        <w:spacing w:line="560" w:lineRule="exact"/>
        <w:ind w:firstLine="560" w:firstLineChars="200"/>
        <w:rPr>
          <w:color w:val="000000" w:themeColor="text1"/>
          <w:sz w:val="28"/>
          <w:szCs w:val="36"/>
        </w:rPr>
      </w:pPr>
      <w:r>
        <w:rPr>
          <w:rFonts w:hint="eastAsia"/>
          <w:color w:val="000000" w:themeColor="text1"/>
          <w:sz w:val="28"/>
          <w:szCs w:val="36"/>
        </w:rPr>
        <w:t>考虑经济和社会效益，结合平阴县的具体情况，再生水主要供应具有合理水质要求、较低生产和输配送成本的用户，主要包括工业用水、城市杂用水、生态环境补水等。</w:t>
      </w:r>
    </w:p>
    <w:p w14:paraId="53414059">
      <w:pPr>
        <w:tabs>
          <w:tab w:val="left" w:pos="5400"/>
        </w:tabs>
        <w:spacing w:line="560" w:lineRule="exact"/>
        <w:ind w:firstLine="560" w:firstLineChars="200"/>
        <w:rPr>
          <w:color w:val="000000" w:themeColor="text1"/>
          <w:sz w:val="28"/>
          <w:szCs w:val="28"/>
        </w:rPr>
      </w:pPr>
      <w:r>
        <w:rPr>
          <w:rFonts w:hint="eastAsia"/>
          <w:color w:val="000000" w:themeColor="text1"/>
          <w:sz w:val="28"/>
          <w:szCs w:val="28"/>
        </w:rPr>
        <w:t>1、工业用水</w:t>
      </w:r>
    </w:p>
    <w:p w14:paraId="350491C2">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（1）工业生产及用水现状</w:t>
      </w:r>
    </w:p>
    <w:p w14:paraId="5094698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w:t>
      </w:r>
      <w:r>
        <w:rPr>
          <w:color w:val="000000" w:themeColor="text1"/>
          <w:sz w:val="28"/>
          <w:szCs w:val="28"/>
        </w:rPr>
        <w:t>202</w:t>
      </w:r>
      <w:r>
        <w:rPr>
          <w:rFonts w:hint="eastAsia"/>
          <w:color w:val="000000" w:themeColor="text1"/>
          <w:sz w:val="28"/>
          <w:szCs w:val="28"/>
        </w:rPr>
        <w:t>3年国民经济和社会发展统计公报》，20</w:t>
      </w:r>
      <w:r>
        <w:rPr>
          <w:color w:val="000000" w:themeColor="text1"/>
          <w:sz w:val="28"/>
          <w:szCs w:val="28"/>
        </w:rPr>
        <w:t>2</w:t>
      </w:r>
      <w:r>
        <w:rPr>
          <w:rFonts w:hint="eastAsia"/>
          <w:color w:val="000000" w:themeColor="text1"/>
          <w:sz w:val="28"/>
          <w:szCs w:val="28"/>
        </w:rPr>
        <w:t>3年平阴县全年生产总值</w:t>
      </w:r>
      <w:r>
        <w:rPr>
          <w:color w:val="000000" w:themeColor="text1"/>
          <w:sz w:val="28"/>
          <w:szCs w:val="28"/>
        </w:rPr>
        <w:t>2</w:t>
      </w:r>
      <w:r>
        <w:rPr>
          <w:rFonts w:hint="eastAsia"/>
          <w:color w:val="000000" w:themeColor="text1"/>
          <w:sz w:val="28"/>
          <w:szCs w:val="28"/>
        </w:rPr>
        <w:t>81.2亿元，工业增加值为1</w:t>
      </w:r>
      <w:r>
        <w:rPr>
          <w:color w:val="000000" w:themeColor="text1"/>
          <w:sz w:val="28"/>
          <w:szCs w:val="28"/>
        </w:rPr>
        <w:t>3</w:t>
      </w:r>
      <w:r>
        <w:rPr>
          <w:rFonts w:hint="eastAsia"/>
          <w:color w:val="000000" w:themeColor="text1"/>
          <w:sz w:val="28"/>
          <w:szCs w:val="28"/>
        </w:rPr>
        <w:t>2.2亿元，占GDP的比重为</w:t>
      </w:r>
      <w:r>
        <w:rPr>
          <w:color w:val="000000" w:themeColor="text1"/>
          <w:sz w:val="28"/>
          <w:szCs w:val="28"/>
        </w:rPr>
        <w:t>4</w:t>
      </w:r>
      <w:r>
        <w:rPr>
          <w:rFonts w:hint="eastAsia"/>
          <w:color w:val="000000" w:themeColor="text1"/>
          <w:sz w:val="28"/>
          <w:szCs w:val="28"/>
        </w:rPr>
        <w:t>7.0%。平阴县工业产业有热电产业、炭素生产产业、建筑材料生产产业、有色金属加工产业、食品加工产业、医药产业等。</w:t>
      </w:r>
    </w:p>
    <w:p w14:paraId="65B3256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根据《平阴县2</w:t>
      </w:r>
      <w:r>
        <w:rPr>
          <w:color w:val="000000" w:themeColor="text1"/>
          <w:sz w:val="28"/>
          <w:szCs w:val="28"/>
        </w:rPr>
        <w:t>02</w:t>
      </w:r>
      <w:r>
        <w:rPr>
          <w:rFonts w:hint="eastAsia"/>
          <w:color w:val="000000" w:themeColor="text1"/>
          <w:sz w:val="28"/>
          <w:szCs w:val="28"/>
        </w:rPr>
        <w:t>3年水资源公报》可知，2</w:t>
      </w:r>
      <w:r>
        <w:rPr>
          <w:color w:val="000000" w:themeColor="text1"/>
          <w:sz w:val="28"/>
          <w:szCs w:val="28"/>
        </w:rPr>
        <w:t>02</w:t>
      </w:r>
      <w:r>
        <w:rPr>
          <w:rFonts w:hint="eastAsia"/>
          <w:color w:val="000000" w:themeColor="text1"/>
          <w:sz w:val="28"/>
          <w:szCs w:val="28"/>
        </w:rPr>
        <w:t>3年平阴县工业用水量为</w:t>
      </w:r>
      <w:r>
        <w:rPr>
          <w:color w:val="000000" w:themeColor="text1"/>
          <w:sz w:val="28"/>
          <w:szCs w:val="28"/>
        </w:rPr>
        <w:t>1009</w:t>
      </w:r>
      <w:r>
        <w:rPr>
          <w:rFonts w:hint="eastAsia"/>
          <w:color w:val="000000" w:themeColor="text1"/>
          <w:sz w:val="28"/>
          <w:szCs w:val="28"/>
        </w:rPr>
        <w:t>万m</w:t>
      </w:r>
      <w:r>
        <w:rPr>
          <w:color w:val="000000" w:themeColor="text1"/>
          <w:sz w:val="28"/>
          <w:szCs w:val="28"/>
          <w:vertAlign w:val="superscript"/>
        </w:rPr>
        <w:t>3</w:t>
      </w:r>
      <w:r>
        <w:rPr>
          <w:rFonts w:hint="eastAsia"/>
          <w:color w:val="000000" w:themeColor="text1"/>
          <w:sz w:val="28"/>
          <w:szCs w:val="28"/>
        </w:rPr>
        <w:t>，其中再生水利用量为</w:t>
      </w:r>
      <w:r>
        <w:rPr>
          <w:color w:val="000000" w:themeColor="text1"/>
          <w:sz w:val="28"/>
          <w:szCs w:val="28"/>
        </w:rPr>
        <w:t>137.2949万m</w:t>
      </w:r>
      <w:r>
        <w:rPr>
          <w:color w:val="000000" w:themeColor="text1"/>
          <w:sz w:val="28"/>
          <w:szCs w:val="28"/>
          <w:vertAlign w:val="superscript"/>
        </w:rPr>
        <w:t>3</w:t>
      </w:r>
      <w:r>
        <w:rPr>
          <w:rFonts w:hint="eastAsia"/>
          <w:color w:val="000000" w:themeColor="text1"/>
          <w:sz w:val="28"/>
          <w:szCs w:val="28"/>
        </w:rPr>
        <w:t>，占工业用水量的13.6%。2</w:t>
      </w:r>
      <w:r>
        <w:rPr>
          <w:color w:val="000000" w:themeColor="text1"/>
          <w:sz w:val="28"/>
          <w:szCs w:val="28"/>
        </w:rPr>
        <w:t>02</w:t>
      </w:r>
      <w:r>
        <w:rPr>
          <w:rFonts w:hint="eastAsia"/>
          <w:color w:val="000000" w:themeColor="text1"/>
          <w:sz w:val="28"/>
          <w:szCs w:val="28"/>
        </w:rPr>
        <w:t>3年平阴县万元工业增加值用水量为7</w:t>
      </w:r>
      <w:r>
        <w:rPr>
          <w:color w:val="000000" w:themeColor="text1"/>
          <w:sz w:val="28"/>
          <w:szCs w:val="28"/>
        </w:rPr>
        <w:t>.</w:t>
      </w:r>
      <w:r>
        <w:rPr>
          <w:rFonts w:hint="eastAsia"/>
          <w:color w:val="000000" w:themeColor="text1"/>
          <w:sz w:val="28"/>
          <w:szCs w:val="28"/>
        </w:rPr>
        <w:t>63m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万元。</w:t>
      </w:r>
    </w:p>
    <w:p w14:paraId="599D3C2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w:t>
      </w:r>
      <w:r>
        <w:rPr>
          <w:color w:val="000000" w:themeColor="text1"/>
          <w:sz w:val="28"/>
          <w:szCs w:val="28"/>
        </w:rPr>
        <w:t>2</w:t>
      </w:r>
      <w:r>
        <w:rPr>
          <w:rFonts w:hint="eastAsia"/>
          <w:color w:val="000000" w:themeColor="text1"/>
          <w:sz w:val="28"/>
          <w:szCs w:val="28"/>
        </w:rPr>
        <w:t>）工业利用再生水可行性</w:t>
      </w:r>
    </w:p>
    <w:p w14:paraId="5F3F9A8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近些年平阴县严格按照最严格水资源管理制度和污水资源化等文件要求积极推进辖区内工业再生水利用工作。根据平阴县水务局提供资料统计分析可知，平阴县目前工业企业、经济开发区和产业园等开展建设项目水资源论证和规划水资源论证工作时按照要求合理配置了再生水。同时平阴县孔村镇炭素工业结合实际用水需求配置使用了再生水。</w:t>
      </w:r>
    </w:p>
    <w:p w14:paraId="20CB6E7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经实地调研，平阴县部分工业企业结合自身生产及用水工艺，其中对水质要求不高的用水环节选择采用再生水，置换新鲜水。经落实，山东齐发药业有限公司、济南玮泉生物发电有限公司、济南黄河特钢有限责任公司、山东鸿瑞新材料科技有限公司、一网双源项目等共计10家企业在再生水供水工程满足企业用水水量和水质的情况下，将采用再生水置换新鲜水，具体用水量结合实际生产情况和用水工艺确定具体再生水利用量。</w:t>
      </w:r>
    </w:p>
    <w:p w14:paraId="67847FE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远期规划年，除上述工业企业外，平阴县其他工业可根据实际用水情况配置再生水，如</w:t>
      </w:r>
      <w:bookmarkStart w:id="131" w:name="OLE_LINK2"/>
      <w:r>
        <w:rPr>
          <w:rFonts w:hint="eastAsia"/>
          <w:color w:val="000000" w:themeColor="text1"/>
          <w:sz w:val="28"/>
          <w:szCs w:val="28"/>
        </w:rPr>
        <w:t>孔村镇</w:t>
      </w:r>
      <w:bookmarkEnd w:id="131"/>
      <w:r>
        <w:rPr>
          <w:rFonts w:hint="eastAsia"/>
          <w:color w:val="000000" w:themeColor="text1"/>
          <w:sz w:val="28"/>
          <w:szCs w:val="28"/>
        </w:rPr>
        <w:t>的济南万瑞炭素有限责任公司等企业，根据生产用水工艺情况，其中对水质要求不高的用水环节可以利用再生水。</w:t>
      </w:r>
    </w:p>
    <w:p w14:paraId="2F0C94F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据了解，由于平阴县的再生水净水厂及供水管网等配套设施尚未建设或者水质、水量达不到工业用水需求，导致部分工业企业未取用再生水，而孔村镇部分企业取用肥城市石横电厂的再生水。</w:t>
      </w:r>
    </w:p>
    <w:p w14:paraId="69A0F07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③再生水作为工业用水可行性</w:t>
      </w:r>
    </w:p>
    <w:p w14:paraId="7D7BC24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再生水相较于常规水源具有水量大、稳定等特点，可满足工业企业用水需求；但是水质需要符合工业用水水质要求。目前国家已颁布再生水用于工业的水质标准，即</w:t>
      </w:r>
      <w:r>
        <w:rPr>
          <w:color w:val="000000" w:themeColor="text1"/>
          <w:sz w:val="28"/>
          <w:szCs w:val="28"/>
        </w:rPr>
        <w:t>《城市污水再生利用 工业用水水质》（GB/T19923-20</w:t>
      </w:r>
      <w:r>
        <w:rPr>
          <w:rFonts w:hint="eastAsia"/>
          <w:color w:val="000000" w:themeColor="text1"/>
          <w:sz w:val="28"/>
          <w:szCs w:val="28"/>
        </w:rPr>
        <w:t>24</w:t>
      </w:r>
      <w:r>
        <w:rPr>
          <w:color w:val="000000" w:themeColor="text1"/>
          <w:sz w:val="28"/>
          <w:szCs w:val="28"/>
        </w:rPr>
        <w:t>）</w:t>
      </w:r>
      <w:r>
        <w:rPr>
          <w:rFonts w:hint="eastAsia"/>
          <w:color w:val="000000" w:themeColor="text1"/>
          <w:sz w:val="28"/>
          <w:szCs w:val="28"/>
        </w:rPr>
        <w:t>。</w:t>
      </w:r>
    </w:p>
    <w:p w14:paraId="4FCA949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因此，平阴县实施辖区内工业企业配置利用再生水，需要结合原水水质情况和工业企业的用水要求，配套建设再生水净水设施对原水进行净化处理，同时配套建设再生水供水工程，以满足工业企业的用水需求。</w:t>
      </w:r>
    </w:p>
    <w:p w14:paraId="537D0DA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（3）工业利用再生水需求分析</w:t>
      </w:r>
    </w:p>
    <w:p w14:paraId="0116FAA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2021年，十部委联合发布《关于推进污水资源化利用的指导意见》（发改环资〔2021〕13号）和国家发展改革委、住房和城乡建设部印发《“十四五”城镇污水处理及资源化利用发展规划》（发改环资</w:t>
      </w:r>
      <w:r>
        <w:rPr>
          <w:color w:val="000000" w:themeColor="text1"/>
          <w:sz w:val="28"/>
          <w:szCs w:val="28"/>
        </w:rPr>
        <w:t>〔2021〕</w:t>
      </w:r>
      <w:r>
        <w:rPr>
          <w:rFonts w:hint="eastAsia"/>
          <w:color w:val="000000" w:themeColor="text1"/>
          <w:sz w:val="28"/>
          <w:szCs w:val="28"/>
        </w:rPr>
        <w:t>827号）和</w:t>
      </w:r>
      <w:r>
        <w:rPr>
          <w:color w:val="000000" w:themeColor="text1"/>
          <w:sz w:val="28"/>
          <w:szCs w:val="28"/>
        </w:rPr>
        <w:t>《</w:t>
      </w:r>
      <w:r>
        <w:rPr>
          <w:rFonts w:hint="eastAsia"/>
          <w:color w:val="000000" w:themeColor="text1"/>
          <w:sz w:val="28"/>
          <w:szCs w:val="28"/>
        </w:rPr>
        <w:t>山东省关于加强再生水配置利用工作的意见</w:t>
      </w:r>
      <w:r>
        <w:rPr>
          <w:color w:val="000000" w:themeColor="text1"/>
          <w:sz w:val="28"/>
          <w:szCs w:val="28"/>
        </w:rPr>
        <w:t>》（</w:t>
      </w:r>
      <w:r>
        <w:rPr>
          <w:rFonts w:hint="eastAsia"/>
          <w:color w:val="000000" w:themeColor="text1"/>
          <w:sz w:val="28"/>
          <w:szCs w:val="28"/>
        </w:rPr>
        <w:t>鲁水节字</w:t>
      </w:r>
      <w:r>
        <w:rPr>
          <w:color w:val="000000" w:themeColor="text1"/>
          <w:sz w:val="28"/>
          <w:szCs w:val="28"/>
        </w:rPr>
        <w:t>〔20</w:t>
      </w:r>
      <w:r>
        <w:rPr>
          <w:rFonts w:hint="eastAsia"/>
          <w:color w:val="000000" w:themeColor="text1"/>
          <w:sz w:val="28"/>
          <w:szCs w:val="28"/>
        </w:rPr>
        <w:t>24</w:t>
      </w:r>
      <w:r>
        <w:rPr>
          <w:color w:val="000000" w:themeColor="text1"/>
          <w:sz w:val="28"/>
          <w:szCs w:val="28"/>
        </w:rPr>
        <w:t>〕</w:t>
      </w:r>
      <w:r>
        <w:rPr>
          <w:rFonts w:hint="eastAsia"/>
          <w:color w:val="000000" w:themeColor="text1"/>
          <w:sz w:val="28"/>
          <w:szCs w:val="28"/>
        </w:rPr>
        <w:t>1</w:t>
      </w:r>
      <w:r>
        <w:rPr>
          <w:color w:val="000000" w:themeColor="text1"/>
          <w:sz w:val="28"/>
          <w:szCs w:val="28"/>
        </w:rPr>
        <w:t>号）</w:t>
      </w:r>
      <w:r>
        <w:rPr>
          <w:rFonts w:hint="eastAsia"/>
          <w:color w:val="000000" w:themeColor="text1"/>
          <w:sz w:val="28"/>
          <w:szCs w:val="28"/>
        </w:rPr>
        <w:t>等明确指出，在缺水及水污染严重城市，除食品加工、医疗或医药加工以及与人体密切接触行业外，火电、钢铁、纺织染整、石油炼制、化工、制浆造纸、印染等高用水行业应严格控制取用新水，冷却循环、锅炉、冲渣等用水环节应充分利用再生水。</w:t>
      </w:r>
    </w:p>
    <w:p w14:paraId="6202687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经分析，平阴县现有工业企业中具备使用再生水条件的工业主要是热电行业、炭素行业、建材行业和钢铁行业等。上述行业企业是平阴县的用水大户，生产取水水源为自来水或者地下水，用水量较大，且部分用水是循环冷却水，对水质要求并不高，污水再生处理后水质基本可以满足工业冷却用水要求。因此，平阴县工业用水可以利用再生水，且具有较大潜力。</w:t>
      </w:r>
    </w:p>
    <w:p w14:paraId="0819616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目前，平阴县已推进工业配置利用再生水工作，规划年平阴县将持续加大对具备使用再生水条件的工业企业利用再生水。</w:t>
      </w:r>
    </w:p>
    <w:p w14:paraId="783AFC84">
      <w:pPr>
        <w:spacing w:line="600" w:lineRule="exact"/>
        <w:jc w:val="center"/>
        <w:rPr>
          <w:b/>
          <w:color w:val="000000" w:themeColor="text1"/>
          <w:spacing w:val="-2"/>
          <w:sz w:val="24"/>
        </w:rPr>
      </w:pPr>
      <w:r>
        <w:rPr>
          <w:b/>
          <w:bCs/>
          <w:color w:val="000000" w:themeColor="text1"/>
          <w:sz w:val="24"/>
        </w:rPr>
        <w:t xml:space="preserve">表4.1-2 </w:t>
      </w:r>
      <w:r>
        <w:rPr>
          <w:rFonts w:hint="eastAsia"/>
          <w:b/>
          <w:bCs/>
          <w:color w:val="000000" w:themeColor="text1"/>
          <w:sz w:val="24"/>
        </w:rPr>
        <w:t xml:space="preserve"> 再生水用作</w:t>
      </w:r>
      <w:r>
        <w:rPr>
          <w:b/>
          <w:bCs/>
          <w:color w:val="000000" w:themeColor="text1"/>
          <w:sz w:val="24"/>
        </w:rPr>
        <w:t>工业</w:t>
      </w:r>
      <w:r>
        <w:rPr>
          <w:b/>
          <w:color w:val="000000" w:themeColor="text1"/>
          <w:sz w:val="24"/>
        </w:rPr>
        <w:t>用水水质</w:t>
      </w:r>
      <w:r>
        <w:rPr>
          <w:rFonts w:hint="eastAsia"/>
          <w:b/>
          <w:color w:val="000000" w:themeColor="text1"/>
          <w:sz w:val="24"/>
        </w:rPr>
        <w:t>基本</w:t>
      </w:r>
      <w:r>
        <w:rPr>
          <w:b/>
          <w:color w:val="000000" w:themeColor="text1"/>
          <w:sz w:val="24"/>
        </w:rPr>
        <w:t>控制项目及</w:t>
      </w:r>
      <w:r>
        <w:rPr>
          <w:rFonts w:hint="eastAsia"/>
          <w:b/>
          <w:color w:val="000000" w:themeColor="text1"/>
          <w:sz w:val="24"/>
        </w:rPr>
        <w:t>限值</w:t>
      </w:r>
    </w:p>
    <w:tbl>
      <w:tblPr>
        <w:tblStyle w:val="46"/>
        <w:tblW w:w="0" w:type="auto"/>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2946"/>
        <w:gridCol w:w="2458"/>
        <w:gridCol w:w="2318"/>
      </w:tblGrid>
      <w:tr w14:paraId="155A9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567" w:type="dxa"/>
            <w:vMerge w:val="restart"/>
            <w:vAlign w:val="center"/>
          </w:tcPr>
          <w:p w14:paraId="70B43F4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序号</w:t>
            </w:r>
          </w:p>
        </w:tc>
        <w:tc>
          <w:tcPr>
            <w:tcW w:w="0" w:type="auto"/>
            <w:vMerge w:val="restart"/>
            <w:vAlign w:val="center"/>
          </w:tcPr>
          <w:p w14:paraId="4DEC9D0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项目</w:t>
            </w:r>
          </w:p>
        </w:tc>
        <w:tc>
          <w:tcPr>
            <w:tcW w:w="2458" w:type="dxa"/>
            <w:vMerge w:val="restart"/>
            <w:vAlign w:val="center"/>
          </w:tcPr>
          <w:p w14:paraId="0950D05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间冷开式循环冷却水补充水、锅炉补给水、工艺用水、产品用水</w:t>
            </w:r>
          </w:p>
        </w:tc>
        <w:tc>
          <w:tcPr>
            <w:tcW w:w="2318" w:type="dxa"/>
            <w:vMerge w:val="restart"/>
            <w:vAlign w:val="center"/>
          </w:tcPr>
          <w:p w14:paraId="7C5649D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直流冷却水、洗涤用水</w:t>
            </w:r>
          </w:p>
        </w:tc>
      </w:tr>
      <w:tr w14:paraId="1DBA3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vMerge w:val="continue"/>
            <w:vAlign w:val="center"/>
          </w:tcPr>
          <w:p w14:paraId="5022C4A5">
            <w:pPr>
              <w:widowControl/>
              <w:adjustRightInd w:val="0"/>
              <w:snapToGrid w:val="0"/>
              <w:ind w:left="-105" w:leftChars="-50" w:right="-105" w:rightChars="-50"/>
              <w:jc w:val="left"/>
              <w:rPr>
                <w:color w:val="000000" w:themeColor="text1"/>
                <w:kern w:val="0"/>
                <w:sz w:val="22"/>
                <w:szCs w:val="22"/>
              </w:rPr>
            </w:pPr>
          </w:p>
        </w:tc>
        <w:tc>
          <w:tcPr>
            <w:tcW w:w="0" w:type="auto"/>
            <w:vMerge w:val="continue"/>
            <w:vAlign w:val="center"/>
          </w:tcPr>
          <w:p w14:paraId="60DEC0CF">
            <w:pPr>
              <w:widowControl/>
              <w:adjustRightInd w:val="0"/>
              <w:snapToGrid w:val="0"/>
              <w:ind w:left="-105" w:leftChars="-50" w:right="-105" w:rightChars="-50"/>
              <w:jc w:val="left"/>
              <w:rPr>
                <w:color w:val="000000" w:themeColor="text1"/>
                <w:kern w:val="0"/>
                <w:sz w:val="22"/>
                <w:szCs w:val="22"/>
              </w:rPr>
            </w:pPr>
          </w:p>
        </w:tc>
        <w:tc>
          <w:tcPr>
            <w:tcW w:w="2458" w:type="dxa"/>
            <w:vMerge w:val="continue"/>
            <w:vAlign w:val="center"/>
          </w:tcPr>
          <w:p w14:paraId="5C97C15B">
            <w:pPr>
              <w:widowControl/>
              <w:adjustRightInd w:val="0"/>
              <w:snapToGrid w:val="0"/>
              <w:ind w:left="-105" w:leftChars="-50" w:right="-105" w:rightChars="-50"/>
              <w:jc w:val="left"/>
              <w:rPr>
                <w:color w:val="000000" w:themeColor="text1"/>
                <w:kern w:val="0"/>
                <w:sz w:val="22"/>
                <w:szCs w:val="22"/>
              </w:rPr>
            </w:pPr>
          </w:p>
        </w:tc>
        <w:tc>
          <w:tcPr>
            <w:tcW w:w="2318" w:type="dxa"/>
            <w:vMerge w:val="continue"/>
            <w:vAlign w:val="center"/>
          </w:tcPr>
          <w:p w14:paraId="44E19913">
            <w:pPr>
              <w:widowControl/>
              <w:adjustRightInd w:val="0"/>
              <w:snapToGrid w:val="0"/>
              <w:ind w:left="-105" w:leftChars="-50" w:right="-105" w:rightChars="-50"/>
              <w:jc w:val="left"/>
              <w:rPr>
                <w:color w:val="000000" w:themeColor="text1"/>
                <w:kern w:val="0"/>
                <w:sz w:val="22"/>
                <w:szCs w:val="22"/>
              </w:rPr>
            </w:pPr>
          </w:p>
        </w:tc>
      </w:tr>
      <w:tr w14:paraId="332B7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0D28A3A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0" w:type="auto"/>
            <w:noWrap/>
            <w:vAlign w:val="center"/>
          </w:tcPr>
          <w:p w14:paraId="6B1B7AD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pH值</w:t>
            </w:r>
          </w:p>
        </w:tc>
        <w:tc>
          <w:tcPr>
            <w:tcW w:w="0" w:type="auto"/>
            <w:gridSpan w:val="2"/>
            <w:noWrap/>
            <w:vAlign w:val="center"/>
          </w:tcPr>
          <w:p w14:paraId="18453C6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6.5-9.0</w:t>
            </w:r>
          </w:p>
        </w:tc>
      </w:tr>
      <w:tr w14:paraId="78974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257FAE0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w:t>
            </w:r>
          </w:p>
        </w:tc>
        <w:tc>
          <w:tcPr>
            <w:tcW w:w="0" w:type="auto"/>
            <w:noWrap/>
            <w:vAlign w:val="center"/>
          </w:tcPr>
          <w:p w14:paraId="2E43591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rPr>
              <w:t>/</w:t>
            </w:r>
            <w:r>
              <w:rPr>
                <w:color w:val="000000" w:themeColor="text1"/>
                <w:kern w:val="0"/>
                <w:sz w:val="22"/>
                <w:szCs w:val="22"/>
              </w:rPr>
              <w:t>度</w:t>
            </w:r>
          </w:p>
        </w:tc>
        <w:tc>
          <w:tcPr>
            <w:tcW w:w="0" w:type="auto"/>
            <w:gridSpan w:val="2"/>
            <w:noWrap/>
            <w:vAlign w:val="center"/>
          </w:tcPr>
          <w:p w14:paraId="68BEBE4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w:t>
            </w:r>
          </w:p>
        </w:tc>
      </w:tr>
      <w:tr w14:paraId="7A4F1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5D9BE91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0" w:type="auto"/>
            <w:noWrap/>
            <w:vAlign w:val="center"/>
          </w:tcPr>
          <w:p w14:paraId="414A854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rPr>
              <w:t>/</w:t>
            </w:r>
            <w:r>
              <w:rPr>
                <w:color w:val="000000" w:themeColor="text1"/>
                <w:kern w:val="0"/>
                <w:sz w:val="22"/>
                <w:szCs w:val="22"/>
              </w:rPr>
              <w:t>NTU</w:t>
            </w:r>
          </w:p>
        </w:tc>
        <w:tc>
          <w:tcPr>
            <w:tcW w:w="2458" w:type="dxa"/>
            <w:noWrap/>
            <w:vAlign w:val="center"/>
          </w:tcPr>
          <w:p w14:paraId="62E6DD49">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w:t>
            </w:r>
          </w:p>
        </w:tc>
        <w:tc>
          <w:tcPr>
            <w:tcW w:w="2318" w:type="dxa"/>
            <w:noWrap/>
            <w:vAlign w:val="center"/>
          </w:tcPr>
          <w:p w14:paraId="4DC42F1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w:t>
            </w:r>
          </w:p>
        </w:tc>
      </w:tr>
      <w:tr w14:paraId="70B48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467BB7A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w:t>
            </w:r>
          </w:p>
        </w:tc>
        <w:tc>
          <w:tcPr>
            <w:tcW w:w="0" w:type="auto"/>
            <w:noWrap/>
            <w:vAlign w:val="center"/>
          </w:tcPr>
          <w:p w14:paraId="1341678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五日</w:t>
            </w:r>
            <w:r>
              <w:rPr>
                <w:color w:val="000000" w:themeColor="text1"/>
                <w:kern w:val="0"/>
                <w:sz w:val="22"/>
                <w:szCs w:val="22"/>
              </w:rPr>
              <w:t xml:space="preserve">生化需氧量 (BOD5)(mg/L) </w:t>
            </w:r>
          </w:p>
        </w:tc>
        <w:tc>
          <w:tcPr>
            <w:tcW w:w="0" w:type="auto"/>
            <w:gridSpan w:val="2"/>
            <w:noWrap/>
            <w:vAlign w:val="center"/>
          </w:tcPr>
          <w:p w14:paraId="4F2C473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w:t>
            </w:r>
            <w:r>
              <w:rPr>
                <w:color w:val="000000" w:themeColor="text1"/>
                <w:kern w:val="0"/>
                <w:sz w:val="22"/>
                <w:szCs w:val="22"/>
              </w:rPr>
              <w:t>0</w:t>
            </w:r>
          </w:p>
        </w:tc>
      </w:tr>
      <w:tr w14:paraId="3710B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59C9B59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0" w:type="auto"/>
            <w:noWrap/>
            <w:vAlign w:val="center"/>
          </w:tcPr>
          <w:p w14:paraId="2A47ECD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化学需氧量 (COD Cr)(mg/L)</w:t>
            </w:r>
          </w:p>
        </w:tc>
        <w:tc>
          <w:tcPr>
            <w:tcW w:w="0" w:type="auto"/>
            <w:gridSpan w:val="2"/>
            <w:noWrap/>
            <w:vAlign w:val="center"/>
          </w:tcPr>
          <w:p w14:paraId="2456F564">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50</w:t>
            </w:r>
          </w:p>
        </w:tc>
      </w:tr>
      <w:tr w14:paraId="0F95D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1655E0C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0" w:type="auto"/>
            <w:noWrap/>
            <w:vAlign w:val="center"/>
          </w:tcPr>
          <w:p w14:paraId="779CA0D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p>
        </w:tc>
        <w:tc>
          <w:tcPr>
            <w:tcW w:w="0" w:type="auto"/>
            <w:gridSpan w:val="2"/>
            <w:noWrap/>
            <w:vAlign w:val="center"/>
          </w:tcPr>
          <w:p w14:paraId="4ED2FF38">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w:t>
            </w:r>
          </w:p>
        </w:tc>
      </w:tr>
      <w:tr w14:paraId="6ADDC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02E425A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7</w:t>
            </w:r>
          </w:p>
        </w:tc>
        <w:tc>
          <w:tcPr>
            <w:tcW w:w="0" w:type="auto"/>
            <w:noWrap/>
            <w:vAlign w:val="center"/>
          </w:tcPr>
          <w:p w14:paraId="0584FFD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总</w:t>
            </w:r>
            <w:r>
              <w:rPr>
                <w:color w:val="000000" w:themeColor="text1"/>
                <w:kern w:val="0"/>
                <w:sz w:val="22"/>
                <w:szCs w:val="22"/>
              </w:rPr>
              <w:t>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p>
        </w:tc>
        <w:tc>
          <w:tcPr>
            <w:tcW w:w="0" w:type="auto"/>
            <w:gridSpan w:val="2"/>
            <w:noWrap/>
            <w:vAlign w:val="center"/>
          </w:tcPr>
          <w:p w14:paraId="5A5786D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w:t>
            </w:r>
          </w:p>
        </w:tc>
      </w:tr>
      <w:tr w14:paraId="79596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58200268">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8</w:t>
            </w:r>
          </w:p>
        </w:tc>
        <w:tc>
          <w:tcPr>
            <w:tcW w:w="0" w:type="auto"/>
            <w:noWrap/>
            <w:vAlign w:val="center"/>
          </w:tcPr>
          <w:p w14:paraId="5F0942F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总磷 </w:t>
            </w:r>
            <w:r>
              <w:rPr>
                <w:rFonts w:hint="eastAsia"/>
                <w:color w:val="000000" w:themeColor="text1"/>
                <w:kern w:val="0"/>
                <w:sz w:val="22"/>
                <w:szCs w:val="22"/>
                <w:lang w:eastAsia="zh-CN"/>
              </w:rPr>
              <w:t>（</w:t>
            </w:r>
            <w:r>
              <w:rPr>
                <w:color w:val="000000" w:themeColor="text1"/>
                <w:kern w:val="0"/>
                <w:sz w:val="22"/>
                <w:szCs w:val="22"/>
              </w:rPr>
              <w:t>以P计 mg/L</w:t>
            </w:r>
            <w:r>
              <w:rPr>
                <w:rFonts w:hint="eastAsia"/>
                <w:color w:val="000000" w:themeColor="text1"/>
                <w:kern w:val="0"/>
                <w:sz w:val="22"/>
                <w:szCs w:val="22"/>
                <w:lang w:eastAsia="zh-CN"/>
              </w:rPr>
              <w:t>）</w:t>
            </w:r>
          </w:p>
        </w:tc>
        <w:tc>
          <w:tcPr>
            <w:tcW w:w="0" w:type="auto"/>
            <w:gridSpan w:val="2"/>
            <w:noWrap/>
            <w:vAlign w:val="center"/>
          </w:tcPr>
          <w:p w14:paraId="015A1EBA">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0.5</w:t>
            </w:r>
          </w:p>
        </w:tc>
      </w:tr>
      <w:tr w14:paraId="10E89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76AE283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9</w:t>
            </w:r>
          </w:p>
        </w:tc>
        <w:tc>
          <w:tcPr>
            <w:tcW w:w="0" w:type="auto"/>
            <w:noWrap/>
            <w:vAlign w:val="center"/>
          </w:tcPr>
          <w:p w14:paraId="124AA8C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阴离子表面活性剂</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0" w:type="auto"/>
            <w:gridSpan w:val="2"/>
            <w:noWrap/>
            <w:vAlign w:val="center"/>
          </w:tcPr>
          <w:p w14:paraId="553943B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0.5</w:t>
            </w:r>
          </w:p>
        </w:tc>
      </w:tr>
      <w:tr w14:paraId="7DFCA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44E9A19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w:t>
            </w:r>
          </w:p>
        </w:tc>
        <w:tc>
          <w:tcPr>
            <w:tcW w:w="0" w:type="auto"/>
            <w:noWrap/>
            <w:vAlign w:val="center"/>
          </w:tcPr>
          <w:p w14:paraId="51E8601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石油类 (mg/L)</w:t>
            </w:r>
          </w:p>
        </w:tc>
        <w:tc>
          <w:tcPr>
            <w:tcW w:w="0" w:type="auto"/>
            <w:gridSpan w:val="2"/>
            <w:noWrap/>
            <w:vAlign w:val="center"/>
          </w:tcPr>
          <w:p w14:paraId="5ABC1EF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w:t>
            </w:r>
          </w:p>
        </w:tc>
      </w:tr>
      <w:tr w14:paraId="4999C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60E557E1">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11</w:t>
            </w:r>
          </w:p>
        </w:tc>
        <w:tc>
          <w:tcPr>
            <w:tcW w:w="0" w:type="auto"/>
            <w:noWrap/>
            <w:vAlign w:val="center"/>
          </w:tcPr>
          <w:p w14:paraId="5969399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总碱度</w:t>
            </w:r>
            <w:r>
              <w:rPr>
                <w:rFonts w:hint="eastAsia"/>
                <w:color w:val="000000" w:themeColor="text1"/>
                <w:kern w:val="0"/>
                <w:sz w:val="22"/>
                <w:szCs w:val="22"/>
                <w:lang w:eastAsia="zh-CN"/>
              </w:rPr>
              <w:t>（</w:t>
            </w:r>
            <w:r>
              <w:rPr>
                <w:color w:val="000000" w:themeColor="text1"/>
                <w:kern w:val="0"/>
                <w:sz w:val="22"/>
                <w:szCs w:val="22"/>
              </w:rPr>
              <w:t>以CaCO3计/mg/L</w:t>
            </w:r>
            <w:r>
              <w:rPr>
                <w:rFonts w:hint="eastAsia"/>
                <w:color w:val="000000" w:themeColor="text1"/>
                <w:kern w:val="0"/>
                <w:sz w:val="22"/>
                <w:szCs w:val="22"/>
                <w:lang w:eastAsia="zh-CN"/>
              </w:rPr>
              <w:t>）</w:t>
            </w:r>
          </w:p>
        </w:tc>
        <w:tc>
          <w:tcPr>
            <w:tcW w:w="0" w:type="auto"/>
            <w:gridSpan w:val="2"/>
            <w:noWrap/>
            <w:vAlign w:val="center"/>
          </w:tcPr>
          <w:p w14:paraId="34D424F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350</w:t>
            </w:r>
          </w:p>
        </w:tc>
      </w:tr>
      <w:tr w14:paraId="1C4F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2BE93DC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12</w:t>
            </w:r>
          </w:p>
        </w:tc>
        <w:tc>
          <w:tcPr>
            <w:tcW w:w="0" w:type="auto"/>
            <w:noWrap/>
            <w:vAlign w:val="center"/>
          </w:tcPr>
          <w:p w14:paraId="2DF3A1B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总硬度</w:t>
            </w:r>
            <w:r>
              <w:rPr>
                <w:rFonts w:hint="eastAsia"/>
                <w:color w:val="000000" w:themeColor="text1"/>
                <w:kern w:val="0"/>
                <w:sz w:val="22"/>
                <w:szCs w:val="22"/>
                <w:lang w:eastAsia="zh-CN"/>
              </w:rPr>
              <w:t>（</w:t>
            </w:r>
            <w:r>
              <w:rPr>
                <w:color w:val="000000" w:themeColor="text1"/>
                <w:kern w:val="0"/>
                <w:sz w:val="22"/>
                <w:szCs w:val="22"/>
              </w:rPr>
              <w:t>以CaCO3 计/mg/L</w:t>
            </w:r>
            <w:r>
              <w:rPr>
                <w:rFonts w:hint="eastAsia"/>
                <w:color w:val="000000" w:themeColor="text1"/>
                <w:kern w:val="0"/>
                <w:sz w:val="22"/>
                <w:szCs w:val="22"/>
                <w:lang w:eastAsia="zh-CN"/>
              </w:rPr>
              <w:t>）</w:t>
            </w:r>
          </w:p>
        </w:tc>
        <w:tc>
          <w:tcPr>
            <w:tcW w:w="0" w:type="auto"/>
            <w:gridSpan w:val="2"/>
            <w:noWrap/>
            <w:vAlign w:val="center"/>
          </w:tcPr>
          <w:p w14:paraId="769063B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450</w:t>
            </w:r>
          </w:p>
        </w:tc>
      </w:tr>
      <w:tr w14:paraId="43559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26FA0A3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13</w:t>
            </w:r>
          </w:p>
        </w:tc>
        <w:tc>
          <w:tcPr>
            <w:tcW w:w="0" w:type="auto"/>
            <w:noWrap/>
            <w:vAlign w:val="center"/>
          </w:tcPr>
          <w:p w14:paraId="6167BE3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溶解性总固体 (mg/L) </w:t>
            </w:r>
          </w:p>
        </w:tc>
        <w:tc>
          <w:tcPr>
            <w:tcW w:w="2458" w:type="dxa"/>
            <w:noWrap/>
            <w:vAlign w:val="center"/>
          </w:tcPr>
          <w:p w14:paraId="63F85D8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2318" w:type="dxa"/>
            <w:vAlign w:val="center"/>
          </w:tcPr>
          <w:p w14:paraId="4A29DED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1500</w:t>
            </w:r>
          </w:p>
        </w:tc>
      </w:tr>
      <w:tr w14:paraId="19742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4680F86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14</w:t>
            </w:r>
          </w:p>
        </w:tc>
        <w:tc>
          <w:tcPr>
            <w:tcW w:w="0" w:type="auto"/>
            <w:noWrap/>
            <w:vAlign w:val="center"/>
          </w:tcPr>
          <w:p w14:paraId="5CC6684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氯</w:t>
            </w:r>
            <w:r>
              <w:rPr>
                <w:rFonts w:hint="eastAsia"/>
                <w:color w:val="000000" w:themeColor="text1"/>
                <w:kern w:val="0"/>
                <w:sz w:val="22"/>
                <w:szCs w:val="22"/>
              </w:rPr>
              <w:t>化物</w:t>
            </w:r>
            <w:r>
              <w:rPr>
                <w:color w:val="000000" w:themeColor="text1"/>
                <w:kern w:val="0"/>
                <w:sz w:val="22"/>
                <w:szCs w:val="22"/>
              </w:rPr>
              <w:t xml:space="preserve"> (mg/L)</w:t>
            </w:r>
          </w:p>
        </w:tc>
        <w:tc>
          <w:tcPr>
            <w:tcW w:w="2458" w:type="dxa"/>
            <w:noWrap/>
            <w:vAlign w:val="center"/>
          </w:tcPr>
          <w:p w14:paraId="429C267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250</w:t>
            </w:r>
          </w:p>
        </w:tc>
        <w:tc>
          <w:tcPr>
            <w:tcW w:w="2318" w:type="dxa"/>
            <w:vAlign w:val="center"/>
          </w:tcPr>
          <w:p w14:paraId="7B7D856A">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40</w:t>
            </w:r>
            <w:r>
              <w:rPr>
                <w:color w:val="000000" w:themeColor="text1"/>
                <w:kern w:val="0"/>
                <w:sz w:val="22"/>
                <w:szCs w:val="22"/>
              </w:rPr>
              <w:t>0</w:t>
            </w:r>
          </w:p>
        </w:tc>
      </w:tr>
      <w:tr w14:paraId="762DA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17BA586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w:t>
            </w:r>
          </w:p>
        </w:tc>
        <w:tc>
          <w:tcPr>
            <w:tcW w:w="0" w:type="auto"/>
            <w:noWrap/>
            <w:vAlign w:val="center"/>
          </w:tcPr>
          <w:p w14:paraId="62DEC80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硫酸盐</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 xml:space="preserve"> </w:t>
            </w:r>
          </w:p>
        </w:tc>
        <w:tc>
          <w:tcPr>
            <w:tcW w:w="2458" w:type="dxa"/>
            <w:noWrap/>
            <w:vAlign w:val="center"/>
          </w:tcPr>
          <w:p w14:paraId="17AD89F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250</w:t>
            </w:r>
          </w:p>
        </w:tc>
        <w:tc>
          <w:tcPr>
            <w:tcW w:w="2318" w:type="dxa"/>
            <w:vAlign w:val="center"/>
          </w:tcPr>
          <w:p w14:paraId="7793A4F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60</w:t>
            </w:r>
            <w:r>
              <w:rPr>
                <w:color w:val="000000" w:themeColor="text1"/>
                <w:kern w:val="0"/>
                <w:sz w:val="22"/>
                <w:szCs w:val="22"/>
              </w:rPr>
              <w:t>0</w:t>
            </w:r>
          </w:p>
        </w:tc>
      </w:tr>
      <w:tr w14:paraId="0F939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51929C7A">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16</w:t>
            </w:r>
          </w:p>
        </w:tc>
        <w:tc>
          <w:tcPr>
            <w:tcW w:w="0" w:type="auto"/>
            <w:noWrap/>
            <w:vAlign w:val="center"/>
          </w:tcPr>
          <w:p w14:paraId="0089E3B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铁 (mg/L)</w:t>
            </w:r>
          </w:p>
        </w:tc>
        <w:tc>
          <w:tcPr>
            <w:tcW w:w="2458" w:type="dxa"/>
            <w:noWrap/>
            <w:vAlign w:val="center"/>
          </w:tcPr>
          <w:p w14:paraId="44F2A75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2318" w:type="dxa"/>
            <w:noWrap/>
            <w:vAlign w:val="center"/>
          </w:tcPr>
          <w:p w14:paraId="2C09D09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5</w:t>
            </w:r>
          </w:p>
        </w:tc>
      </w:tr>
      <w:tr w14:paraId="5B8F4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2B1233A8">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17</w:t>
            </w:r>
          </w:p>
        </w:tc>
        <w:tc>
          <w:tcPr>
            <w:tcW w:w="0" w:type="auto"/>
            <w:noWrap/>
            <w:vAlign w:val="center"/>
          </w:tcPr>
          <w:p w14:paraId="74547B4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锰</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2458" w:type="dxa"/>
            <w:noWrap/>
            <w:vAlign w:val="center"/>
          </w:tcPr>
          <w:p w14:paraId="680A95C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0.1</w:t>
            </w:r>
          </w:p>
        </w:tc>
        <w:tc>
          <w:tcPr>
            <w:tcW w:w="2318" w:type="dxa"/>
            <w:noWrap/>
            <w:vAlign w:val="center"/>
          </w:tcPr>
          <w:p w14:paraId="791FFF3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2</w:t>
            </w:r>
          </w:p>
        </w:tc>
      </w:tr>
      <w:tr w14:paraId="2BDFB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228D0B2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18</w:t>
            </w:r>
          </w:p>
        </w:tc>
        <w:tc>
          <w:tcPr>
            <w:tcW w:w="0" w:type="auto"/>
            <w:noWrap/>
            <w:vAlign w:val="center"/>
          </w:tcPr>
          <w:p w14:paraId="17F29FC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二氧化硅 (SiO2)</w:t>
            </w:r>
          </w:p>
        </w:tc>
        <w:tc>
          <w:tcPr>
            <w:tcW w:w="2458" w:type="dxa"/>
            <w:noWrap/>
            <w:vAlign w:val="center"/>
          </w:tcPr>
          <w:p w14:paraId="51E96F3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30</w:t>
            </w:r>
          </w:p>
        </w:tc>
        <w:tc>
          <w:tcPr>
            <w:tcW w:w="2318" w:type="dxa"/>
            <w:noWrap/>
            <w:vAlign w:val="center"/>
          </w:tcPr>
          <w:p w14:paraId="035D42F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50</w:t>
            </w:r>
          </w:p>
        </w:tc>
      </w:tr>
      <w:tr w14:paraId="2D891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4076CC5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r>
              <w:rPr>
                <w:rFonts w:hint="eastAsia"/>
                <w:color w:val="000000" w:themeColor="text1"/>
                <w:kern w:val="0"/>
                <w:sz w:val="22"/>
                <w:szCs w:val="22"/>
              </w:rPr>
              <w:t>9</w:t>
            </w:r>
          </w:p>
        </w:tc>
        <w:tc>
          <w:tcPr>
            <w:tcW w:w="0" w:type="auto"/>
            <w:noWrap/>
            <w:vAlign w:val="center"/>
          </w:tcPr>
          <w:p w14:paraId="28893AA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粪大肠菌群</w:t>
            </w:r>
            <w:r>
              <w:rPr>
                <w:rFonts w:hint="eastAsia"/>
                <w:color w:val="000000" w:themeColor="text1"/>
                <w:kern w:val="0"/>
                <w:sz w:val="22"/>
                <w:szCs w:val="22"/>
              </w:rPr>
              <w:t>/（MPN</w:t>
            </w:r>
            <w:r>
              <w:rPr>
                <w:color w:val="000000" w:themeColor="text1"/>
                <w:kern w:val="0"/>
                <w:sz w:val="22"/>
                <w:szCs w:val="22"/>
              </w:rPr>
              <w:t>/L</w:t>
            </w:r>
            <w:r>
              <w:rPr>
                <w:rFonts w:hint="eastAsia"/>
                <w:color w:val="000000" w:themeColor="text1"/>
                <w:kern w:val="0"/>
                <w:sz w:val="22"/>
                <w:szCs w:val="22"/>
                <w:lang w:eastAsia="zh-CN"/>
              </w:rPr>
              <w:t>）</w:t>
            </w:r>
          </w:p>
        </w:tc>
        <w:tc>
          <w:tcPr>
            <w:tcW w:w="0" w:type="auto"/>
            <w:gridSpan w:val="2"/>
            <w:noWrap/>
            <w:vAlign w:val="center"/>
          </w:tcPr>
          <w:p w14:paraId="339D1DB2">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1000</w:t>
            </w:r>
          </w:p>
        </w:tc>
      </w:tr>
      <w:tr w14:paraId="443B6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7E97945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w:t>
            </w:r>
          </w:p>
        </w:tc>
        <w:tc>
          <w:tcPr>
            <w:tcW w:w="0" w:type="auto"/>
            <w:noWrap/>
            <w:vAlign w:val="center"/>
          </w:tcPr>
          <w:p w14:paraId="182381CA">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总</w:t>
            </w:r>
            <w:r>
              <w:rPr>
                <w:color w:val="000000" w:themeColor="text1"/>
                <w:kern w:val="0"/>
                <w:sz w:val="22"/>
                <w:szCs w:val="22"/>
              </w:rPr>
              <w:t>余氯</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0" w:type="auto"/>
            <w:gridSpan w:val="2"/>
            <w:noWrap/>
            <w:vAlign w:val="center"/>
          </w:tcPr>
          <w:p w14:paraId="2536D94F">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0.1~0.2</w:t>
            </w:r>
          </w:p>
        </w:tc>
      </w:tr>
    </w:tbl>
    <w:p w14:paraId="7614D7E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2、城市杂用水</w:t>
      </w:r>
    </w:p>
    <w:p w14:paraId="54DCD92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城市杂用水主要包括城市绿化用水、城市道路广场浇洒用水及生活杂用水三个方面，其中生活杂用水范围包括居住建筑、公共建筑和工业企业非生产区内用于冲洗卫生器具、盥洗、清扫、洗车、浇洒小区草坪以及中央空调冷却用水等。</w:t>
      </w:r>
    </w:p>
    <w:p w14:paraId="0F0B3AF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平阴县是一座山泉水林城融为一体的美丽城市，中心城区绿化和道路广场面积较大，浇洒、绿化等城市杂用水用量较大，其中2</w:t>
      </w:r>
      <w:r>
        <w:rPr>
          <w:color w:val="000000" w:themeColor="text1"/>
          <w:sz w:val="28"/>
          <w:szCs w:val="28"/>
        </w:rPr>
        <w:t>02</w:t>
      </w:r>
      <w:r>
        <w:rPr>
          <w:rFonts w:hint="eastAsia"/>
          <w:color w:val="000000" w:themeColor="text1"/>
          <w:sz w:val="28"/>
          <w:szCs w:val="28"/>
        </w:rPr>
        <w:t>3年平阴县绿化灌溉及道路喷洒用水量为</w:t>
      </w:r>
      <w:r>
        <w:rPr>
          <w:color w:val="000000" w:themeColor="text1"/>
          <w:sz w:val="28"/>
          <w:szCs w:val="28"/>
        </w:rPr>
        <w:t>302.1381</w:t>
      </w:r>
      <w:r>
        <w:rPr>
          <w:bCs/>
          <w:color w:val="000000" w:themeColor="text1"/>
          <w:kern w:val="44"/>
          <w:sz w:val="28"/>
          <w:szCs w:val="28"/>
        </w:rPr>
        <w:t>万m</w:t>
      </w:r>
      <w:r>
        <w:rPr>
          <w:bCs/>
          <w:color w:val="000000" w:themeColor="text1"/>
          <w:kern w:val="44"/>
          <w:sz w:val="28"/>
          <w:szCs w:val="28"/>
          <w:vertAlign w:val="superscript"/>
        </w:rPr>
        <w:t>3</w:t>
      </w:r>
      <w:r>
        <w:rPr>
          <w:rFonts w:hint="eastAsia"/>
          <w:bCs/>
          <w:color w:val="000000" w:themeColor="text1"/>
          <w:kern w:val="44"/>
          <w:sz w:val="28"/>
          <w:szCs w:val="28"/>
        </w:rPr>
        <w:t>。</w:t>
      </w:r>
      <w:r>
        <w:rPr>
          <w:rFonts w:hint="eastAsia"/>
          <w:color w:val="000000" w:themeColor="text1"/>
          <w:sz w:val="28"/>
          <w:szCs w:val="28"/>
        </w:rPr>
        <w:t>城市杂用水对水质要求并不高，若采用自来水或者地下水浇洒，造成了大量优质水资源的浪费。因此，经再生水厂净化处理后的再生水水质需符合城市杂用水要求（具体详见表</w:t>
      </w:r>
      <w:r>
        <w:rPr>
          <w:color w:val="000000" w:themeColor="text1"/>
          <w:sz w:val="28"/>
          <w:szCs w:val="28"/>
        </w:rPr>
        <w:t>4.1-3</w:t>
      </w:r>
      <w:r>
        <w:rPr>
          <w:rFonts w:hint="eastAsia"/>
          <w:color w:val="000000" w:themeColor="text1"/>
          <w:sz w:val="28"/>
          <w:szCs w:val="28"/>
        </w:rPr>
        <w:t>），用于绿化灌溉、道路广场喷洒；可以节约新鲜水，是污水再生利用的重要途径。</w:t>
      </w:r>
    </w:p>
    <w:p w14:paraId="5F948996">
      <w:pPr>
        <w:spacing w:line="600" w:lineRule="exact"/>
        <w:jc w:val="center"/>
        <w:rPr>
          <w:b/>
          <w:color w:val="000000" w:themeColor="text1"/>
          <w:spacing w:val="-2"/>
          <w:sz w:val="24"/>
        </w:rPr>
      </w:pPr>
      <w:r>
        <w:rPr>
          <w:b/>
          <w:color w:val="000000" w:themeColor="text1"/>
          <w:sz w:val="24"/>
        </w:rPr>
        <w:t>表4.1-3   城市杂用水水质的控制项目及指标</w:t>
      </w:r>
      <w:r>
        <w:rPr>
          <w:rFonts w:hint="eastAsia"/>
          <w:b/>
          <w:color w:val="000000" w:themeColor="text1"/>
          <w:sz w:val="24"/>
        </w:rPr>
        <w:t>一览表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835"/>
        <w:gridCol w:w="1134"/>
        <w:gridCol w:w="1028"/>
        <w:gridCol w:w="950"/>
        <w:gridCol w:w="950"/>
        <w:gridCol w:w="950"/>
      </w:tblGrid>
      <w:tr w14:paraId="54955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14:paraId="606F1CE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序号</w:t>
            </w:r>
          </w:p>
        </w:tc>
        <w:tc>
          <w:tcPr>
            <w:tcW w:w="2835" w:type="dxa"/>
            <w:vAlign w:val="center"/>
          </w:tcPr>
          <w:p w14:paraId="21B59D5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项目</w:t>
            </w:r>
          </w:p>
        </w:tc>
        <w:tc>
          <w:tcPr>
            <w:tcW w:w="1134" w:type="dxa"/>
            <w:noWrap/>
            <w:vAlign w:val="center"/>
          </w:tcPr>
          <w:p w14:paraId="4F620C5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冲厕</w:t>
            </w:r>
          </w:p>
        </w:tc>
        <w:tc>
          <w:tcPr>
            <w:tcW w:w="1028" w:type="dxa"/>
            <w:noWrap/>
            <w:vAlign w:val="center"/>
          </w:tcPr>
          <w:p w14:paraId="7F812BF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道路清扫、消防</w:t>
            </w:r>
          </w:p>
        </w:tc>
        <w:tc>
          <w:tcPr>
            <w:tcW w:w="950" w:type="dxa"/>
            <w:noWrap/>
            <w:vAlign w:val="center"/>
          </w:tcPr>
          <w:p w14:paraId="198191C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城市绿化</w:t>
            </w:r>
          </w:p>
        </w:tc>
        <w:tc>
          <w:tcPr>
            <w:tcW w:w="950" w:type="dxa"/>
            <w:noWrap/>
            <w:vAlign w:val="center"/>
          </w:tcPr>
          <w:p w14:paraId="1AC3604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车辆冲洗</w:t>
            </w:r>
          </w:p>
        </w:tc>
        <w:tc>
          <w:tcPr>
            <w:tcW w:w="950" w:type="dxa"/>
            <w:noWrap/>
            <w:vAlign w:val="center"/>
          </w:tcPr>
          <w:p w14:paraId="545178D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建筑施工</w:t>
            </w:r>
          </w:p>
        </w:tc>
      </w:tr>
      <w:tr w14:paraId="1C925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7F8DD16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2835" w:type="dxa"/>
            <w:noWrap/>
            <w:vAlign w:val="center"/>
          </w:tcPr>
          <w:p w14:paraId="7EA6595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pH值</w:t>
            </w:r>
          </w:p>
        </w:tc>
        <w:tc>
          <w:tcPr>
            <w:tcW w:w="5012" w:type="dxa"/>
            <w:gridSpan w:val="5"/>
            <w:noWrap/>
            <w:vAlign w:val="center"/>
          </w:tcPr>
          <w:p w14:paraId="4EBF50F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6.0-9.0</w:t>
            </w:r>
          </w:p>
        </w:tc>
      </w:tr>
      <w:tr w14:paraId="22994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35B88EE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w:t>
            </w:r>
          </w:p>
        </w:tc>
        <w:tc>
          <w:tcPr>
            <w:tcW w:w="2835" w:type="dxa"/>
            <w:noWrap/>
            <w:vAlign w:val="center"/>
          </w:tcPr>
          <w:p w14:paraId="044EC6E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lang w:eastAsia="zh-CN"/>
              </w:rPr>
              <w:t>（</w:t>
            </w:r>
            <w:r>
              <w:rPr>
                <w:color w:val="000000" w:themeColor="text1"/>
                <w:kern w:val="0"/>
                <w:sz w:val="22"/>
                <w:szCs w:val="22"/>
              </w:rPr>
              <w:t>度</w:t>
            </w:r>
            <w:r>
              <w:rPr>
                <w:rFonts w:hint="eastAsia"/>
                <w:color w:val="000000" w:themeColor="text1"/>
                <w:kern w:val="0"/>
                <w:sz w:val="22"/>
                <w:szCs w:val="22"/>
                <w:lang w:eastAsia="zh-CN"/>
              </w:rPr>
              <w:t>）</w:t>
            </w:r>
            <w:r>
              <w:rPr>
                <w:color w:val="000000" w:themeColor="text1"/>
                <w:kern w:val="0"/>
                <w:sz w:val="22"/>
                <w:szCs w:val="22"/>
              </w:rPr>
              <w:t xml:space="preserve"> ≤</w:t>
            </w:r>
          </w:p>
        </w:tc>
        <w:tc>
          <w:tcPr>
            <w:tcW w:w="5012" w:type="dxa"/>
            <w:gridSpan w:val="5"/>
            <w:noWrap/>
            <w:vAlign w:val="center"/>
          </w:tcPr>
          <w:p w14:paraId="5D30577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30</w:t>
            </w:r>
          </w:p>
        </w:tc>
      </w:tr>
      <w:tr w14:paraId="3DD7C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6D5DB09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2835" w:type="dxa"/>
            <w:noWrap/>
            <w:vAlign w:val="center"/>
          </w:tcPr>
          <w:p w14:paraId="3E4BBD0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嗅</w:t>
            </w:r>
          </w:p>
        </w:tc>
        <w:tc>
          <w:tcPr>
            <w:tcW w:w="5012" w:type="dxa"/>
            <w:gridSpan w:val="5"/>
            <w:noWrap/>
            <w:vAlign w:val="center"/>
          </w:tcPr>
          <w:p w14:paraId="7A9EEC2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无不快感</w:t>
            </w:r>
          </w:p>
        </w:tc>
      </w:tr>
      <w:tr w14:paraId="2A244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1B0494F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w:t>
            </w:r>
          </w:p>
        </w:tc>
        <w:tc>
          <w:tcPr>
            <w:tcW w:w="2835" w:type="dxa"/>
            <w:noWrap/>
            <w:vAlign w:val="center"/>
          </w:tcPr>
          <w:p w14:paraId="19D33EE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lang w:eastAsia="zh-CN"/>
              </w:rPr>
              <w:t>（</w:t>
            </w:r>
            <w:r>
              <w:rPr>
                <w:color w:val="000000" w:themeColor="text1"/>
                <w:kern w:val="0"/>
                <w:sz w:val="22"/>
                <w:szCs w:val="22"/>
              </w:rPr>
              <w:t>NTU</w:t>
            </w:r>
            <w:r>
              <w:rPr>
                <w:rFonts w:hint="eastAsia"/>
                <w:color w:val="000000" w:themeColor="text1"/>
                <w:kern w:val="0"/>
                <w:sz w:val="22"/>
                <w:szCs w:val="22"/>
                <w:lang w:eastAsia="zh-CN"/>
              </w:rPr>
              <w:t>）</w:t>
            </w:r>
            <w:r>
              <w:rPr>
                <w:color w:val="000000" w:themeColor="text1"/>
                <w:kern w:val="0"/>
                <w:sz w:val="22"/>
                <w:szCs w:val="22"/>
              </w:rPr>
              <w:t xml:space="preserve"> ≤</w:t>
            </w:r>
          </w:p>
        </w:tc>
        <w:tc>
          <w:tcPr>
            <w:tcW w:w="1134" w:type="dxa"/>
            <w:noWrap/>
            <w:vAlign w:val="center"/>
          </w:tcPr>
          <w:p w14:paraId="58207A0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028" w:type="dxa"/>
            <w:noWrap/>
            <w:vAlign w:val="center"/>
          </w:tcPr>
          <w:p w14:paraId="70F6708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50" w:type="dxa"/>
            <w:noWrap/>
            <w:vAlign w:val="center"/>
          </w:tcPr>
          <w:p w14:paraId="3946D86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50" w:type="dxa"/>
            <w:noWrap/>
            <w:vAlign w:val="center"/>
          </w:tcPr>
          <w:p w14:paraId="6DE8FC0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950" w:type="dxa"/>
            <w:noWrap/>
            <w:vAlign w:val="center"/>
          </w:tcPr>
          <w:p w14:paraId="1E186D4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20</w:t>
            </w:r>
          </w:p>
        </w:tc>
      </w:tr>
      <w:tr w14:paraId="0D6E6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4DD5F09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2835" w:type="dxa"/>
            <w:noWrap/>
            <w:vAlign w:val="center"/>
          </w:tcPr>
          <w:p w14:paraId="237C08A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溶解性总固体 (mg/L) ≤</w:t>
            </w:r>
          </w:p>
        </w:tc>
        <w:tc>
          <w:tcPr>
            <w:tcW w:w="1134" w:type="dxa"/>
            <w:noWrap/>
            <w:vAlign w:val="center"/>
          </w:tcPr>
          <w:p w14:paraId="6864DE2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1500</w:t>
            </w:r>
          </w:p>
        </w:tc>
        <w:tc>
          <w:tcPr>
            <w:tcW w:w="1028" w:type="dxa"/>
            <w:noWrap/>
            <w:vAlign w:val="center"/>
          </w:tcPr>
          <w:p w14:paraId="00ABAF8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1500</w:t>
            </w:r>
          </w:p>
        </w:tc>
        <w:tc>
          <w:tcPr>
            <w:tcW w:w="950" w:type="dxa"/>
            <w:noWrap/>
            <w:vAlign w:val="center"/>
          </w:tcPr>
          <w:p w14:paraId="55797F5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950" w:type="dxa"/>
            <w:noWrap/>
            <w:vAlign w:val="center"/>
          </w:tcPr>
          <w:p w14:paraId="311740B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950" w:type="dxa"/>
            <w:noWrap/>
            <w:vAlign w:val="center"/>
          </w:tcPr>
          <w:p w14:paraId="641B7BE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3C4CD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5EA072D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2835" w:type="dxa"/>
            <w:noWrap/>
            <w:vAlign w:val="center"/>
          </w:tcPr>
          <w:p w14:paraId="4C62E3DF">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五日</w:t>
            </w:r>
            <w:r>
              <w:rPr>
                <w:color w:val="000000" w:themeColor="text1"/>
                <w:kern w:val="0"/>
                <w:sz w:val="22"/>
                <w:szCs w:val="22"/>
              </w:rPr>
              <w:t>生化需氧量</w:t>
            </w:r>
            <w:r>
              <w:rPr>
                <w:rFonts w:hint="eastAsia"/>
                <w:color w:val="000000" w:themeColor="text1"/>
                <w:kern w:val="0"/>
                <w:sz w:val="22"/>
                <w:szCs w:val="22"/>
                <w:lang w:eastAsia="zh-CN"/>
              </w:rPr>
              <w:t>（</w:t>
            </w:r>
            <w:r>
              <w:rPr>
                <w:color w:val="000000" w:themeColor="text1"/>
                <w:kern w:val="0"/>
                <w:sz w:val="22"/>
                <w:szCs w:val="22"/>
              </w:rPr>
              <w:t>BOD5</w:t>
            </w:r>
            <w:r>
              <w:rPr>
                <w:rFonts w:hint="eastAsia"/>
                <w:color w:val="000000" w:themeColor="text1"/>
                <w:kern w:val="0"/>
                <w:sz w:val="22"/>
                <w:szCs w:val="22"/>
                <w:lang w:eastAsia="zh-CN"/>
              </w:rPr>
              <w:t>）</w:t>
            </w:r>
            <w:r>
              <w:rPr>
                <w:color w:val="000000" w:themeColor="text1"/>
                <w:kern w:val="0"/>
                <w:sz w:val="22"/>
                <w:szCs w:val="22"/>
              </w:rPr>
              <w:t>(mg/L) ≤</w:t>
            </w:r>
          </w:p>
        </w:tc>
        <w:tc>
          <w:tcPr>
            <w:tcW w:w="1134" w:type="dxa"/>
            <w:noWrap/>
            <w:vAlign w:val="center"/>
          </w:tcPr>
          <w:p w14:paraId="08CCB13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028" w:type="dxa"/>
            <w:noWrap/>
            <w:vAlign w:val="center"/>
          </w:tcPr>
          <w:p w14:paraId="2FB73E3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950" w:type="dxa"/>
            <w:noWrap/>
            <w:vAlign w:val="center"/>
          </w:tcPr>
          <w:p w14:paraId="23DB409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20</w:t>
            </w:r>
          </w:p>
        </w:tc>
        <w:tc>
          <w:tcPr>
            <w:tcW w:w="950" w:type="dxa"/>
            <w:noWrap/>
            <w:vAlign w:val="center"/>
          </w:tcPr>
          <w:p w14:paraId="2D48BA1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50" w:type="dxa"/>
            <w:noWrap/>
            <w:vAlign w:val="center"/>
          </w:tcPr>
          <w:p w14:paraId="5A16EB4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r>
      <w:tr w14:paraId="253B6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6B31EA9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7</w:t>
            </w:r>
          </w:p>
        </w:tc>
        <w:tc>
          <w:tcPr>
            <w:tcW w:w="2835" w:type="dxa"/>
            <w:noWrap/>
            <w:vAlign w:val="center"/>
          </w:tcPr>
          <w:p w14:paraId="7501F13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1134" w:type="dxa"/>
            <w:noWrap/>
            <w:vAlign w:val="center"/>
          </w:tcPr>
          <w:p w14:paraId="668F616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028" w:type="dxa"/>
            <w:noWrap/>
            <w:vAlign w:val="center"/>
          </w:tcPr>
          <w:p w14:paraId="2597D26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50" w:type="dxa"/>
            <w:noWrap/>
            <w:vAlign w:val="center"/>
          </w:tcPr>
          <w:p w14:paraId="4C709A0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20</w:t>
            </w:r>
          </w:p>
        </w:tc>
        <w:tc>
          <w:tcPr>
            <w:tcW w:w="950" w:type="dxa"/>
            <w:noWrap/>
            <w:vAlign w:val="center"/>
          </w:tcPr>
          <w:p w14:paraId="16D1F71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50" w:type="dxa"/>
            <w:noWrap/>
            <w:vAlign w:val="center"/>
          </w:tcPr>
          <w:p w14:paraId="1001844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20</w:t>
            </w:r>
          </w:p>
        </w:tc>
      </w:tr>
      <w:tr w14:paraId="21257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725178A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w:t>
            </w:r>
          </w:p>
        </w:tc>
        <w:tc>
          <w:tcPr>
            <w:tcW w:w="2835" w:type="dxa"/>
            <w:noWrap/>
            <w:vAlign w:val="center"/>
          </w:tcPr>
          <w:p w14:paraId="3A8E51F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阴离子表面活性剂</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w:t>
            </w:r>
          </w:p>
        </w:tc>
        <w:tc>
          <w:tcPr>
            <w:tcW w:w="1134" w:type="dxa"/>
            <w:noWrap/>
            <w:vAlign w:val="center"/>
          </w:tcPr>
          <w:p w14:paraId="00EC677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1028" w:type="dxa"/>
            <w:noWrap/>
            <w:vAlign w:val="center"/>
          </w:tcPr>
          <w:p w14:paraId="0849690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950" w:type="dxa"/>
            <w:noWrap/>
            <w:vAlign w:val="center"/>
          </w:tcPr>
          <w:p w14:paraId="034E87D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950" w:type="dxa"/>
            <w:noWrap/>
            <w:vAlign w:val="center"/>
          </w:tcPr>
          <w:p w14:paraId="76BCEED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c>
          <w:tcPr>
            <w:tcW w:w="950" w:type="dxa"/>
            <w:noWrap/>
            <w:vAlign w:val="center"/>
          </w:tcPr>
          <w:p w14:paraId="4924BAF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r>
      <w:tr w14:paraId="223CB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3521BB1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9</w:t>
            </w:r>
          </w:p>
        </w:tc>
        <w:tc>
          <w:tcPr>
            <w:tcW w:w="2835" w:type="dxa"/>
            <w:noWrap/>
            <w:vAlign w:val="center"/>
          </w:tcPr>
          <w:p w14:paraId="6A13DB8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铁 (mg/L) ≤</w:t>
            </w:r>
          </w:p>
        </w:tc>
        <w:tc>
          <w:tcPr>
            <w:tcW w:w="1134" w:type="dxa"/>
            <w:noWrap/>
            <w:vAlign w:val="center"/>
          </w:tcPr>
          <w:p w14:paraId="16DA2A1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1028" w:type="dxa"/>
            <w:noWrap/>
            <w:vAlign w:val="center"/>
          </w:tcPr>
          <w:p w14:paraId="4A8D1F2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950" w:type="dxa"/>
            <w:noWrap/>
            <w:vAlign w:val="center"/>
          </w:tcPr>
          <w:p w14:paraId="22F0E58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950" w:type="dxa"/>
            <w:noWrap/>
            <w:vAlign w:val="center"/>
          </w:tcPr>
          <w:p w14:paraId="0EA11A2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950" w:type="dxa"/>
            <w:noWrap/>
            <w:vAlign w:val="center"/>
          </w:tcPr>
          <w:p w14:paraId="5575C61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6F6BA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0ED1FDF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2835" w:type="dxa"/>
            <w:noWrap/>
            <w:vAlign w:val="center"/>
          </w:tcPr>
          <w:p w14:paraId="2908263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锰</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 xml:space="preserve"> ≤</w:t>
            </w:r>
          </w:p>
        </w:tc>
        <w:tc>
          <w:tcPr>
            <w:tcW w:w="1134" w:type="dxa"/>
            <w:noWrap/>
            <w:vAlign w:val="center"/>
          </w:tcPr>
          <w:p w14:paraId="38AF357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0.1</w:t>
            </w:r>
          </w:p>
        </w:tc>
        <w:tc>
          <w:tcPr>
            <w:tcW w:w="1028" w:type="dxa"/>
            <w:noWrap/>
            <w:vAlign w:val="center"/>
          </w:tcPr>
          <w:p w14:paraId="34A3117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950" w:type="dxa"/>
            <w:noWrap/>
            <w:vAlign w:val="center"/>
          </w:tcPr>
          <w:p w14:paraId="6EE2BA8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950" w:type="dxa"/>
            <w:noWrap/>
            <w:vAlign w:val="center"/>
          </w:tcPr>
          <w:p w14:paraId="0B1AD03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0.1</w:t>
            </w:r>
          </w:p>
        </w:tc>
        <w:tc>
          <w:tcPr>
            <w:tcW w:w="950" w:type="dxa"/>
            <w:noWrap/>
            <w:vAlign w:val="center"/>
          </w:tcPr>
          <w:p w14:paraId="1EB3B67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4FD9F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0F2C67D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11</w:t>
            </w:r>
          </w:p>
        </w:tc>
        <w:tc>
          <w:tcPr>
            <w:tcW w:w="2835" w:type="dxa"/>
            <w:noWrap/>
            <w:vAlign w:val="center"/>
          </w:tcPr>
          <w:p w14:paraId="35982F2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溶解氧</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w:t>
            </w:r>
          </w:p>
        </w:tc>
        <w:tc>
          <w:tcPr>
            <w:tcW w:w="5012" w:type="dxa"/>
            <w:gridSpan w:val="5"/>
            <w:noWrap/>
            <w:vAlign w:val="center"/>
          </w:tcPr>
          <w:p w14:paraId="2A5667D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r>
      <w:tr w14:paraId="00D59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77CD89D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12</w:t>
            </w:r>
          </w:p>
        </w:tc>
        <w:tc>
          <w:tcPr>
            <w:tcW w:w="2835" w:type="dxa"/>
            <w:noWrap/>
            <w:vAlign w:val="center"/>
          </w:tcPr>
          <w:p w14:paraId="232E6D4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总余氯</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5012" w:type="dxa"/>
            <w:gridSpan w:val="5"/>
            <w:noWrap/>
            <w:vAlign w:val="center"/>
          </w:tcPr>
          <w:p w14:paraId="4722103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接触30min 后≥1.0，管网末端≥0.2</w:t>
            </w:r>
          </w:p>
        </w:tc>
      </w:tr>
      <w:tr w14:paraId="1C64D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ign w:val="center"/>
          </w:tcPr>
          <w:p w14:paraId="1DB85EF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13</w:t>
            </w:r>
          </w:p>
        </w:tc>
        <w:tc>
          <w:tcPr>
            <w:tcW w:w="2835" w:type="dxa"/>
            <w:noWrap/>
            <w:vAlign w:val="center"/>
          </w:tcPr>
          <w:p w14:paraId="452016A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总大肠菌群</w:t>
            </w:r>
            <w:r>
              <w:rPr>
                <w:rFonts w:hint="eastAsia"/>
                <w:color w:val="000000" w:themeColor="text1"/>
                <w:kern w:val="0"/>
                <w:sz w:val="22"/>
                <w:szCs w:val="22"/>
                <w:lang w:eastAsia="zh-CN"/>
              </w:rPr>
              <w:t>（</w:t>
            </w:r>
            <w:r>
              <w:rPr>
                <w:color w:val="000000" w:themeColor="text1"/>
                <w:kern w:val="0"/>
                <w:sz w:val="22"/>
                <w:szCs w:val="22"/>
              </w:rPr>
              <w:t>个/L</w:t>
            </w:r>
            <w:r>
              <w:rPr>
                <w:rFonts w:hint="eastAsia"/>
                <w:color w:val="000000" w:themeColor="text1"/>
                <w:kern w:val="0"/>
                <w:sz w:val="22"/>
                <w:szCs w:val="22"/>
                <w:lang w:eastAsia="zh-CN"/>
              </w:rPr>
              <w:t>）</w:t>
            </w:r>
            <w:r>
              <w:rPr>
                <w:color w:val="000000" w:themeColor="text1"/>
                <w:kern w:val="0"/>
                <w:sz w:val="22"/>
                <w:szCs w:val="22"/>
              </w:rPr>
              <w:t xml:space="preserve"> ≤</w:t>
            </w:r>
          </w:p>
        </w:tc>
        <w:tc>
          <w:tcPr>
            <w:tcW w:w="5012" w:type="dxa"/>
            <w:gridSpan w:val="5"/>
            <w:noWrap/>
            <w:vAlign w:val="center"/>
          </w:tcPr>
          <w:p w14:paraId="7B12D43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r>
    </w:tbl>
    <w:p w14:paraId="746A6B6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再生水用于城市绿化、道路广场浇洒目前已在平阴县得到较好应用，也是平阴县规划年再生水利用的主要目标。但污水再生利用于建筑物内作为冲厕等生活杂用水，则需在建筑内部设置独立的污水再生利用管道系统，而且还需配置增压设备以满足一定的供水压力，建造成本高，工程实施难度加大。同时考虑平阴县公众对污水再生利用有一个逐步接受的过程，可先在平阴县的大型公共建筑领域进行示范，近期内不建议大范围推广应用。</w:t>
      </w:r>
    </w:p>
    <w:p w14:paraId="1D55CF3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3、生态环境补水</w:t>
      </w:r>
    </w:p>
    <w:p w14:paraId="206800F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生态环境补水是指利用再生水补充和冲洗河道，以加大河水的流动性，增加河道的环境容量，结合疏浚清淤等其他措施的实施，可逐渐改善河道水质，提升城市水景观环境。</w:t>
      </w:r>
    </w:p>
    <w:p w14:paraId="3C3F8692">
      <w:pPr>
        <w:tabs>
          <w:tab w:val="left" w:pos="5400"/>
        </w:tabs>
        <w:spacing w:line="600" w:lineRule="exact"/>
        <w:ind w:firstLine="560" w:firstLineChars="200"/>
        <w:rPr>
          <w:color w:val="000000" w:themeColor="text1"/>
          <w:sz w:val="28"/>
          <w:szCs w:val="28"/>
        </w:rPr>
      </w:pPr>
      <w:r>
        <w:rPr>
          <w:rFonts w:hint="eastAsia"/>
          <w:bCs/>
          <w:color w:val="000000" w:themeColor="text1"/>
          <w:kern w:val="44"/>
          <w:sz w:val="28"/>
          <w:szCs w:val="28"/>
        </w:rPr>
        <w:t>据了解，当前平阴县的污水处理厂净化处理后的外排水质符合河道水功能区的控制目标要求，全部达标排入河道。但是平阴县河流多为入黄河流，入黄水质要求较高。为减少污水处理厂外排水对黄河的影响，经净化处理达到景观环境用水水质要求后，用于城市景观河生态环境补水，提高污废水回用减少外排水量。</w:t>
      </w:r>
      <w:r>
        <w:rPr>
          <w:rFonts w:hint="eastAsia"/>
          <w:color w:val="000000" w:themeColor="text1"/>
          <w:sz w:val="28"/>
          <w:szCs w:val="28"/>
        </w:rPr>
        <w:t>目前平阴县城区景观河生态补水利用再生水等，2</w:t>
      </w:r>
      <w:r>
        <w:rPr>
          <w:color w:val="000000" w:themeColor="text1"/>
          <w:sz w:val="28"/>
          <w:szCs w:val="28"/>
        </w:rPr>
        <w:t>02</w:t>
      </w:r>
      <w:r>
        <w:rPr>
          <w:rFonts w:hint="eastAsia"/>
          <w:color w:val="000000" w:themeColor="text1"/>
          <w:sz w:val="28"/>
          <w:szCs w:val="28"/>
        </w:rPr>
        <w:t>3年景观河生态补水量为</w:t>
      </w:r>
      <w:r>
        <w:rPr>
          <w:color w:val="000000" w:themeColor="text1"/>
          <w:sz w:val="28"/>
          <w:szCs w:val="28"/>
        </w:rPr>
        <w:t>622.22</w:t>
      </w:r>
      <w:r>
        <w:rPr>
          <w:bCs/>
          <w:color w:val="000000" w:themeColor="text1"/>
          <w:kern w:val="44"/>
          <w:sz w:val="28"/>
          <w:szCs w:val="28"/>
        </w:rPr>
        <w:t>万m</w:t>
      </w:r>
      <w:r>
        <w:rPr>
          <w:bCs/>
          <w:color w:val="000000" w:themeColor="text1"/>
          <w:kern w:val="44"/>
          <w:sz w:val="28"/>
          <w:szCs w:val="28"/>
          <w:vertAlign w:val="superscript"/>
        </w:rPr>
        <w:t>3</w:t>
      </w:r>
      <w:r>
        <w:rPr>
          <w:rFonts w:hint="eastAsia"/>
          <w:bCs/>
          <w:color w:val="000000" w:themeColor="text1"/>
          <w:kern w:val="44"/>
          <w:sz w:val="28"/>
          <w:szCs w:val="28"/>
        </w:rPr>
        <w:t>。</w:t>
      </w:r>
    </w:p>
    <w:p w14:paraId="26DDFB42">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因此，原水经再生水厂净化处理后，水质满足景观环境用水水质要求（具体详见表</w:t>
      </w:r>
      <w:r>
        <w:rPr>
          <w:color w:val="000000" w:themeColor="text1"/>
          <w:sz w:val="28"/>
          <w:szCs w:val="28"/>
        </w:rPr>
        <w:t>4.1-4</w:t>
      </w:r>
      <w:r>
        <w:rPr>
          <w:rFonts w:hint="eastAsia"/>
          <w:color w:val="000000" w:themeColor="text1"/>
          <w:sz w:val="28"/>
          <w:szCs w:val="28"/>
        </w:rPr>
        <w:t>），可用于景观生态环境用水，其是污水再生利用的重要途径。</w:t>
      </w:r>
    </w:p>
    <w:p w14:paraId="0BDB13B6">
      <w:pPr>
        <w:tabs>
          <w:tab w:val="left" w:pos="5400"/>
        </w:tabs>
        <w:spacing w:line="600" w:lineRule="exact"/>
        <w:ind w:firstLine="560" w:firstLineChars="200"/>
        <w:rPr>
          <w:color w:val="000000" w:themeColor="text1"/>
          <w:sz w:val="28"/>
          <w:szCs w:val="28"/>
        </w:rPr>
      </w:pPr>
    </w:p>
    <w:p w14:paraId="29AE9A92">
      <w:pPr>
        <w:keepNext/>
        <w:tabs>
          <w:tab w:val="left" w:pos="5400"/>
        </w:tabs>
        <w:spacing w:line="600" w:lineRule="exact"/>
        <w:jc w:val="center"/>
        <w:rPr>
          <w:b/>
          <w:color w:val="000000" w:themeColor="text1"/>
          <w:spacing w:val="-2"/>
          <w:sz w:val="24"/>
        </w:rPr>
      </w:pPr>
      <w:r>
        <w:rPr>
          <w:b/>
          <w:color w:val="000000" w:themeColor="text1"/>
          <w:spacing w:val="34"/>
          <w:sz w:val="24"/>
        </w:rPr>
        <w:t>表</w:t>
      </w:r>
      <w:r>
        <w:rPr>
          <w:b/>
          <w:color w:val="000000" w:themeColor="text1"/>
          <w:sz w:val="24"/>
        </w:rPr>
        <w:t xml:space="preserve">4.1-4 </w:t>
      </w:r>
      <w:r>
        <w:rPr>
          <w:b/>
          <w:color w:val="000000" w:themeColor="text1"/>
          <w:spacing w:val="67"/>
          <w:sz w:val="24"/>
        </w:rPr>
        <w:t xml:space="preserve"> </w:t>
      </w:r>
      <w:r>
        <w:rPr>
          <w:b/>
          <w:color w:val="000000" w:themeColor="text1"/>
          <w:sz w:val="24"/>
        </w:rPr>
        <w:t>景观环境用水水质的控制项目及指标</w:t>
      </w:r>
      <w:r>
        <w:rPr>
          <w:b/>
          <w:color w:val="000000" w:themeColor="text1"/>
          <w:spacing w:val="-2"/>
          <w:sz w:val="24"/>
        </w:rPr>
        <w:t>一览表</w:t>
      </w:r>
    </w:p>
    <w:tbl>
      <w:tblPr>
        <w:tblStyle w:val="46"/>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7"/>
        <w:gridCol w:w="2313"/>
        <w:gridCol w:w="709"/>
        <w:gridCol w:w="567"/>
        <w:gridCol w:w="709"/>
        <w:gridCol w:w="850"/>
        <w:gridCol w:w="851"/>
        <w:gridCol w:w="868"/>
        <w:gridCol w:w="1025"/>
      </w:tblGrid>
      <w:tr w14:paraId="40009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vMerge w:val="restart"/>
            <w:vAlign w:val="center"/>
          </w:tcPr>
          <w:p w14:paraId="2722C37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序号</w:t>
            </w:r>
          </w:p>
        </w:tc>
        <w:tc>
          <w:tcPr>
            <w:tcW w:w="2313" w:type="dxa"/>
            <w:vMerge w:val="restart"/>
            <w:vAlign w:val="center"/>
          </w:tcPr>
          <w:p w14:paraId="7BB19CD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项目</w:t>
            </w:r>
          </w:p>
        </w:tc>
        <w:tc>
          <w:tcPr>
            <w:tcW w:w="1985" w:type="dxa"/>
            <w:gridSpan w:val="3"/>
            <w:noWrap/>
            <w:vAlign w:val="center"/>
          </w:tcPr>
          <w:p w14:paraId="67DB0AE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观赏性环境景观用水</w:t>
            </w:r>
          </w:p>
        </w:tc>
        <w:tc>
          <w:tcPr>
            <w:tcW w:w="2569" w:type="dxa"/>
            <w:gridSpan w:val="3"/>
            <w:noWrap/>
            <w:vAlign w:val="center"/>
          </w:tcPr>
          <w:p w14:paraId="593DD9E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娱乐性环境景观用水</w:t>
            </w:r>
          </w:p>
        </w:tc>
        <w:tc>
          <w:tcPr>
            <w:tcW w:w="1025" w:type="dxa"/>
            <w:vMerge w:val="restart"/>
            <w:noWrap/>
            <w:vAlign w:val="center"/>
          </w:tcPr>
          <w:p w14:paraId="34DDE75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景观湿地环境用水</w:t>
            </w:r>
          </w:p>
        </w:tc>
      </w:tr>
      <w:tr w14:paraId="0EDCA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vMerge w:val="continue"/>
            <w:vAlign w:val="center"/>
          </w:tcPr>
          <w:p w14:paraId="716E5FA1">
            <w:pPr>
              <w:widowControl/>
              <w:adjustRightInd w:val="0"/>
              <w:snapToGrid w:val="0"/>
              <w:ind w:left="-105" w:leftChars="-50" w:right="-105" w:rightChars="-50"/>
              <w:jc w:val="left"/>
              <w:rPr>
                <w:color w:val="000000" w:themeColor="text1"/>
                <w:kern w:val="0"/>
                <w:sz w:val="22"/>
                <w:szCs w:val="22"/>
              </w:rPr>
            </w:pPr>
          </w:p>
        </w:tc>
        <w:tc>
          <w:tcPr>
            <w:tcW w:w="2313" w:type="dxa"/>
            <w:vMerge w:val="continue"/>
            <w:vAlign w:val="center"/>
          </w:tcPr>
          <w:p w14:paraId="32579DB3">
            <w:pPr>
              <w:widowControl/>
              <w:adjustRightInd w:val="0"/>
              <w:snapToGrid w:val="0"/>
              <w:ind w:left="-105" w:leftChars="-50" w:right="-105" w:rightChars="-50"/>
              <w:jc w:val="left"/>
              <w:rPr>
                <w:color w:val="000000" w:themeColor="text1"/>
                <w:kern w:val="0"/>
                <w:sz w:val="22"/>
                <w:szCs w:val="22"/>
              </w:rPr>
            </w:pPr>
          </w:p>
        </w:tc>
        <w:tc>
          <w:tcPr>
            <w:tcW w:w="709" w:type="dxa"/>
            <w:noWrap/>
            <w:vAlign w:val="center"/>
          </w:tcPr>
          <w:p w14:paraId="6649996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河道类</w:t>
            </w:r>
          </w:p>
        </w:tc>
        <w:tc>
          <w:tcPr>
            <w:tcW w:w="567" w:type="dxa"/>
            <w:noWrap/>
            <w:vAlign w:val="center"/>
          </w:tcPr>
          <w:p w14:paraId="308E887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湖泊类</w:t>
            </w:r>
          </w:p>
        </w:tc>
        <w:tc>
          <w:tcPr>
            <w:tcW w:w="709" w:type="dxa"/>
            <w:noWrap/>
            <w:vAlign w:val="center"/>
          </w:tcPr>
          <w:p w14:paraId="67160FB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水景类</w:t>
            </w:r>
          </w:p>
        </w:tc>
        <w:tc>
          <w:tcPr>
            <w:tcW w:w="850" w:type="dxa"/>
            <w:noWrap/>
            <w:vAlign w:val="center"/>
          </w:tcPr>
          <w:p w14:paraId="54662BE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河道类</w:t>
            </w:r>
          </w:p>
        </w:tc>
        <w:tc>
          <w:tcPr>
            <w:tcW w:w="851" w:type="dxa"/>
            <w:noWrap/>
            <w:vAlign w:val="center"/>
          </w:tcPr>
          <w:p w14:paraId="6EAE6AB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湖泊类</w:t>
            </w:r>
          </w:p>
        </w:tc>
        <w:tc>
          <w:tcPr>
            <w:tcW w:w="868" w:type="dxa"/>
            <w:noWrap/>
            <w:vAlign w:val="center"/>
          </w:tcPr>
          <w:p w14:paraId="34410B1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水景类</w:t>
            </w:r>
          </w:p>
        </w:tc>
        <w:tc>
          <w:tcPr>
            <w:tcW w:w="1025" w:type="dxa"/>
            <w:vMerge w:val="continue"/>
            <w:noWrap/>
            <w:vAlign w:val="center"/>
          </w:tcPr>
          <w:p w14:paraId="3E52F062">
            <w:pPr>
              <w:widowControl/>
              <w:adjustRightInd w:val="0"/>
              <w:snapToGrid w:val="0"/>
              <w:ind w:left="-105" w:leftChars="-50" w:right="-105" w:rightChars="-50"/>
              <w:jc w:val="center"/>
              <w:rPr>
                <w:color w:val="000000" w:themeColor="text1"/>
                <w:kern w:val="0"/>
                <w:sz w:val="22"/>
                <w:szCs w:val="22"/>
              </w:rPr>
            </w:pPr>
          </w:p>
        </w:tc>
      </w:tr>
      <w:tr w14:paraId="45888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42AF2DA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2313" w:type="dxa"/>
            <w:noWrap/>
            <w:vAlign w:val="center"/>
          </w:tcPr>
          <w:p w14:paraId="55770DD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基本要求</w:t>
            </w:r>
          </w:p>
        </w:tc>
        <w:tc>
          <w:tcPr>
            <w:tcW w:w="5579" w:type="dxa"/>
            <w:gridSpan w:val="7"/>
            <w:noWrap/>
            <w:vAlign w:val="center"/>
          </w:tcPr>
          <w:p w14:paraId="535A2D4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无漂浮物，无令人不愉快的臭和味</w:t>
            </w:r>
          </w:p>
        </w:tc>
      </w:tr>
      <w:tr w14:paraId="0F79A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21CA44E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w:t>
            </w:r>
          </w:p>
        </w:tc>
        <w:tc>
          <w:tcPr>
            <w:tcW w:w="2313" w:type="dxa"/>
            <w:noWrap/>
            <w:vAlign w:val="center"/>
          </w:tcPr>
          <w:p w14:paraId="67C317B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pH值（无量纲）</w:t>
            </w:r>
          </w:p>
        </w:tc>
        <w:tc>
          <w:tcPr>
            <w:tcW w:w="5579" w:type="dxa"/>
            <w:gridSpan w:val="7"/>
            <w:noWrap/>
            <w:vAlign w:val="center"/>
          </w:tcPr>
          <w:p w14:paraId="42714BE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6.0-9.0</w:t>
            </w:r>
          </w:p>
        </w:tc>
      </w:tr>
      <w:tr w14:paraId="169E3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49C434E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2313" w:type="dxa"/>
            <w:noWrap/>
            <w:vAlign w:val="center"/>
          </w:tcPr>
          <w:p w14:paraId="072E4B0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五日生化需氧量</w:t>
            </w:r>
            <w:r>
              <w:rPr>
                <w:rFonts w:hint="eastAsia"/>
                <w:color w:val="000000" w:themeColor="text1"/>
                <w:kern w:val="0"/>
                <w:sz w:val="22"/>
                <w:szCs w:val="22"/>
                <w:lang w:eastAsia="zh-CN"/>
              </w:rPr>
              <w:t>（</w:t>
            </w:r>
            <w:r>
              <w:rPr>
                <w:color w:val="000000" w:themeColor="text1"/>
                <w:kern w:val="0"/>
                <w:sz w:val="22"/>
                <w:szCs w:val="22"/>
              </w:rPr>
              <w:t>BOD5</w:t>
            </w:r>
            <w:r>
              <w:rPr>
                <w:rFonts w:hint="eastAsia"/>
                <w:color w:val="000000" w:themeColor="text1"/>
                <w:kern w:val="0"/>
                <w:sz w:val="22"/>
                <w:szCs w:val="22"/>
                <w:lang w:eastAsia="zh-CN"/>
              </w:rPr>
              <w:t>）</w:t>
            </w:r>
            <w:r>
              <w:rPr>
                <w:color w:val="000000" w:themeColor="text1"/>
                <w:kern w:val="0"/>
                <w:sz w:val="22"/>
                <w:szCs w:val="22"/>
              </w:rPr>
              <w:t>(mg/L) ≤</w:t>
            </w:r>
          </w:p>
        </w:tc>
        <w:tc>
          <w:tcPr>
            <w:tcW w:w="709" w:type="dxa"/>
            <w:noWrap/>
            <w:vAlign w:val="center"/>
          </w:tcPr>
          <w:p w14:paraId="1601EFF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276" w:type="dxa"/>
            <w:gridSpan w:val="2"/>
            <w:noWrap/>
            <w:vAlign w:val="center"/>
          </w:tcPr>
          <w:p w14:paraId="6360949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850" w:type="dxa"/>
            <w:noWrap/>
            <w:vAlign w:val="center"/>
          </w:tcPr>
          <w:p w14:paraId="0B30B92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719" w:type="dxa"/>
            <w:gridSpan w:val="2"/>
            <w:noWrap/>
            <w:vAlign w:val="center"/>
          </w:tcPr>
          <w:p w14:paraId="673CAAC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1025" w:type="dxa"/>
            <w:noWrap/>
            <w:vAlign w:val="center"/>
          </w:tcPr>
          <w:p w14:paraId="1D71177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r>
      <w:tr w14:paraId="4D600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4F66F07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w:t>
            </w:r>
          </w:p>
        </w:tc>
        <w:tc>
          <w:tcPr>
            <w:tcW w:w="2313" w:type="dxa"/>
            <w:noWrap/>
            <w:vAlign w:val="center"/>
          </w:tcPr>
          <w:p w14:paraId="3B23FC8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lang w:eastAsia="zh-CN"/>
              </w:rPr>
              <w:t>（</w:t>
            </w:r>
            <w:r>
              <w:rPr>
                <w:color w:val="000000" w:themeColor="text1"/>
                <w:kern w:val="0"/>
                <w:sz w:val="22"/>
                <w:szCs w:val="22"/>
              </w:rPr>
              <w:t>NTU</w:t>
            </w:r>
            <w:r>
              <w:rPr>
                <w:rFonts w:hint="eastAsia"/>
                <w:color w:val="000000" w:themeColor="text1"/>
                <w:kern w:val="0"/>
                <w:sz w:val="22"/>
                <w:szCs w:val="22"/>
                <w:lang w:eastAsia="zh-CN"/>
              </w:rPr>
              <w:t>）</w:t>
            </w:r>
            <w:r>
              <w:rPr>
                <w:color w:val="000000" w:themeColor="text1"/>
                <w:kern w:val="0"/>
                <w:sz w:val="22"/>
                <w:szCs w:val="22"/>
              </w:rPr>
              <w:t xml:space="preserve"> ≤</w:t>
            </w:r>
          </w:p>
        </w:tc>
        <w:tc>
          <w:tcPr>
            <w:tcW w:w="709" w:type="dxa"/>
            <w:noWrap/>
            <w:vAlign w:val="center"/>
          </w:tcPr>
          <w:p w14:paraId="6E9B346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276" w:type="dxa"/>
            <w:gridSpan w:val="2"/>
            <w:noWrap/>
            <w:vAlign w:val="center"/>
          </w:tcPr>
          <w:p w14:paraId="53358B0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850" w:type="dxa"/>
            <w:noWrap/>
            <w:vAlign w:val="center"/>
          </w:tcPr>
          <w:p w14:paraId="4823C6C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719" w:type="dxa"/>
            <w:gridSpan w:val="2"/>
            <w:noWrap/>
            <w:vAlign w:val="center"/>
          </w:tcPr>
          <w:p w14:paraId="1F8E0A2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025" w:type="dxa"/>
            <w:noWrap/>
            <w:vAlign w:val="center"/>
          </w:tcPr>
          <w:p w14:paraId="27283AA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r>
      <w:tr w14:paraId="06DF1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790A2D6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2313" w:type="dxa"/>
            <w:noWrap/>
            <w:vAlign w:val="center"/>
          </w:tcPr>
          <w:p w14:paraId="167C8B1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总磷 </w:t>
            </w:r>
            <w:r>
              <w:rPr>
                <w:rFonts w:hint="eastAsia"/>
                <w:color w:val="000000" w:themeColor="text1"/>
                <w:kern w:val="0"/>
                <w:sz w:val="22"/>
                <w:szCs w:val="22"/>
                <w:lang w:eastAsia="zh-CN"/>
              </w:rPr>
              <w:t>（</w:t>
            </w:r>
            <w:r>
              <w:rPr>
                <w:color w:val="000000" w:themeColor="text1"/>
                <w:kern w:val="0"/>
                <w:sz w:val="22"/>
                <w:szCs w:val="22"/>
              </w:rPr>
              <w:t>以P计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709" w:type="dxa"/>
            <w:noWrap/>
            <w:vAlign w:val="center"/>
          </w:tcPr>
          <w:p w14:paraId="42F157C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c>
          <w:tcPr>
            <w:tcW w:w="1276" w:type="dxa"/>
            <w:gridSpan w:val="2"/>
            <w:noWrap/>
            <w:vAlign w:val="center"/>
          </w:tcPr>
          <w:p w14:paraId="3FC09C3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850" w:type="dxa"/>
            <w:noWrap/>
            <w:vAlign w:val="center"/>
          </w:tcPr>
          <w:p w14:paraId="5B35FC0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c>
          <w:tcPr>
            <w:tcW w:w="1719" w:type="dxa"/>
            <w:gridSpan w:val="2"/>
            <w:noWrap/>
            <w:vAlign w:val="center"/>
          </w:tcPr>
          <w:p w14:paraId="4111FFF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1025" w:type="dxa"/>
            <w:noWrap/>
            <w:vAlign w:val="center"/>
          </w:tcPr>
          <w:p w14:paraId="6A9590C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r>
      <w:tr w14:paraId="3B47F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3779A1E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2313" w:type="dxa"/>
            <w:noWrap/>
            <w:vAlign w:val="center"/>
          </w:tcPr>
          <w:p w14:paraId="50447A4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总氮 </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709" w:type="dxa"/>
            <w:noWrap/>
            <w:vAlign w:val="center"/>
          </w:tcPr>
          <w:p w14:paraId="6E12BB9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1276" w:type="dxa"/>
            <w:gridSpan w:val="2"/>
            <w:noWrap/>
            <w:vAlign w:val="center"/>
          </w:tcPr>
          <w:p w14:paraId="5FB3A7F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850" w:type="dxa"/>
            <w:noWrap/>
            <w:vAlign w:val="center"/>
          </w:tcPr>
          <w:p w14:paraId="0A3F580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1719" w:type="dxa"/>
            <w:gridSpan w:val="2"/>
            <w:noWrap/>
            <w:vAlign w:val="center"/>
          </w:tcPr>
          <w:p w14:paraId="3B206E8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025" w:type="dxa"/>
            <w:noWrap/>
            <w:vAlign w:val="center"/>
          </w:tcPr>
          <w:p w14:paraId="663C885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r>
      <w:tr w14:paraId="3838B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524464C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7</w:t>
            </w:r>
          </w:p>
        </w:tc>
        <w:tc>
          <w:tcPr>
            <w:tcW w:w="2313" w:type="dxa"/>
            <w:noWrap/>
            <w:vAlign w:val="center"/>
          </w:tcPr>
          <w:p w14:paraId="24DB40C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709" w:type="dxa"/>
            <w:noWrap/>
            <w:vAlign w:val="center"/>
          </w:tcPr>
          <w:p w14:paraId="0A519A6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276" w:type="dxa"/>
            <w:gridSpan w:val="2"/>
            <w:noWrap/>
            <w:vAlign w:val="center"/>
          </w:tcPr>
          <w:p w14:paraId="779DB93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850" w:type="dxa"/>
            <w:noWrap/>
            <w:vAlign w:val="center"/>
          </w:tcPr>
          <w:p w14:paraId="78D72B4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719" w:type="dxa"/>
            <w:gridSpan w:val="2"/>
            <w:noWrap/>
            <w:vAlign w:val="center"/>
          </w:tcPr>
          <w:p w14:paraId="71A31FF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1025" w:type="dxa"/>
            <w:noWrap/>
            <w:vAlign w:val="center"/>
          </w:tcPr>
          <w:p w14:paraId="1A0E78B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r>
      <w:tr w14:paraId="799A9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735F38C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w:t>
            </w:r>
          </w:p>
        </w:tc>
        <w:tc>
          <w:tcPr>
            <w:tcW w:w="2313" w:type="dxa"/>
            <w:noWrap/>
            <w:vAlign w:val="center"/>
          </w:tcPr>
          <w:p w14:paraId="2712C6C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粪大肠菌群</w:t>
            </w:r>
            <w:r>
              <w:rPr>
                <w:rFonts w:hint="eastAsia"/>
                <w:color w:val="000000" w:themeColor="text1"/>
                <w:kern w:val="0"/>
                <w:sz w:val="22"/>
                <w:szCs w:val="22"/>
                <w:lang w:eastAsia="zh-CN"/>
              </w:rPr>
              <w:t>（</w:t>
            </w:r>
            <w:r>
              <w:rPr>
                <w:color w:val="000000" w:themeColor="text1"/>
                <w:kern w:val="0"/>
                <w:sz w:val="22"/>
                <w:szCs w:val="22"/>
              </w:rPr>
              <w:t>个/L</w:t>
            </w:r>
            <w:r>
              <w:rPr>
                <w:rFonts w:hint="eastAsia"/>
                <w:color w:val="000000" w:themeColor="text1"/>
                <w:kern w:val="0"/>
                <w:sz w:val="22"/>
                <w:szCs w:val="22"/>
                <w:lang w:eastAsia="zh-CN"/>
              </w:rPr>
              <w:t>）</w:t>
            </w:r>
            <w:r>
              <w:rPr>
                <w:color w:val="000000" w:themeColor="text1"/>
                <w:kern w:val="0"/>
                <w:sz w:val="22"/>
                <w:szCs w:val="22"/>
              </w:rPr>
              <w:t xml:space="preserve"> ≤</w:t>
            </w:r>
          </w:p>
        </w:tc>
        <w:tc>
          <w:tcPr>
            <w:tcW w:w="1985" w:type="dxa"/>
            <w:gridSpan w:val="3"/>
            <w:noWrap/>
            <w:vAlign w:val="center"/>
          </w:tcPr>
          <w:p w14:paraId="16614E1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1701" w:type="dxa"/>
            <w:gridSpan w:val="2"/>
            <w:noWrap/>
            <w:vAlign w:val="center"/>
          </w:tcPr>
          <w:p w14:paraId="2DFE656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868" w:type="dxa"/>
            <w:noWrap/>
            <w:vAlign w:val="center"/>
          </w:tcPr>
          <w:p w14:paraId="138438F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1025" w:type="dxa"/>
            <w:noWrap/>
            <w:vAlign w:val="center"/>
          </w:tcPr>
          <w:p w14:paraId="5289554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r>
      <w:tr w14:paraId="5E89E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3A9763C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9</w:t>
            </w:r>
          </w:p>
        </w:tc>
        <w:tc>
          <w:tcPr>
            <w:tcW w:w="2313" w:type="dxa"/>
            <w:noWrap/>
            <w:vAlign w:val="center"/>
          </w:tcPr>
          <w:p w14:paraId="5CDAA89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余氯</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3686" w:type="dxa"/>
            <w:gridSpan w:val="5"/>
            <w:noWrap/>
            <w:vAlign w:val="center"/>
          </w:tcPr>
          <w:p w14:paraId="4B81D17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68" w:type="dxa"/>
            <w:noWrap/>
            <w:vAlign w:val="center"/>
          </w:tcPr>
          <w:p w14:paraId="4E4E8A3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0.05~0.1</w:t>
            </w:r>
          </w:p>
        </w:tc>
        <w:tc>
          <w:tcPr>
            <w:tcW w:w="1025" w:type="dxa"/>
            <w:noWrap/>
            <w:vAlign w:val="center"/>
          </w:tcPr>
          <w:p w14:paraId="3618553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3D2C3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7" w:type="dxa"/>
            <w:noWrap/>
            <w:vAlign w:val="center"/>
          </w:tcPr>
          <w:p w14:paraId="6BD0FC5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2313" w:type="dxa"/>
            <w:noWrap/>
            <w:vAlign w:val="center"/>
          </w:tcPr>
          <w:p w14:paraId="4B6D921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lang w:eastAsia="zh-CN"/>
              </w:rPr>
              <w:t>（</w:t>
            </w:r>
            <w:r>
              <w:rPr>
                <w:color w:val="000000" w:themeColor="text1"/>
                <w:kern w:val="0"/>
                <w:sz w:val="22"/>
                <w:szCs w:val="22"/>
              </w:rPr>
              <w:t>度</w:t>
            </w:r>
            <w:r>
              <w:rPr>
                <w:rFonts w:hint="eastAsia"/>
                <w:color w:val="000000" w:themeColor="text1"/>
                <w:kern w:val="0"/>
                <w:sz w:val="22"/>
                <w:szCs w:val="22"/>
                <w:lang w:eastAsia="zh-CN"/>
              </w:rPr>
              <w:t>）</w:t>
            </w:r>
            <w:r>
              <w:rPr>
                <w:color w:val="000000" w:themeColor="text1"/>
                <w:kern w:val="0"/>
                <w:sz w:val="22"/>
                <w:szCs w:val="22"/>
              </w:rPr>
              <w:t xml:space="preserve"> ≤</w:t>
            </w:r>
          </w:p>
        </w:tc>
        <w:tc>
          <w:tcPr>
            <w:tcW w:w="5579" w:type="dxa"/>
            <w:gridSpan w:val="7"/>
            <w:noWrap/>
            <w:vAlign w:val="center"/>
          </w:tcPr>
          <w:p w14:paraId="45893E6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20</w:t>
            </w:r>
          </w:p>
        </w:tc>
      </w:tr>
      <w:tr w14:paraId="0D542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gridSpan w:val="9"/>
            <w:vAlign w:val="center"/>
          </w:tcPr>
          <w:p w14:paraId="6356A065">
            <w:pPr>
              <w:widowControl/>
              <w:adjustRightInd w:val="0"/>
              <w:snapToGrid w:val="0"/>
              <w:ind w:left="-105" w:leftChars="-50" w:right="-105" w:rightChars="-50"/>
              <w:jc w:val="left"/>
              <w:rPr>
                <w:color w:val="000000" w:themeColor="text1"/>
                <w:kern w:val="0"/>
                <w:sz w:val="22"/>
                <w:szCs w:val="22"/>
              </w:rPr>
            </w:pPr>
            <w:r>
              <w:rPr>
                <w:color w:val="000000" w:themeColor="text1"/>
                <w:kern w:val="0"/>
                <w:sz w:val="22"/>
                <w:szCs w:val="22"/>
              </w:rPr>
              <w:t>注1：未采用加氯消毒方式的再生水，其补水</w:t>
            </w:r>
            <w:r>
              <w:rPr>
                <w:rFonts w:hint="eastAsia"/>
                <w:color w:val="000000" w:themeColor="text1"/>
                <w:kern w:val="0"/>
                <w:sz w:val="22"/>
                <w:szCs w:val="22"/>
              </w:rPr>
              <w:t>点</w:t>
            </w:r>
            <w:r>
              <w:rPr>
                <w:color w:val="000000" w:themeColor="text1"/>
                <w:kern w:val="0"/>
                <w:sz w:val="22"/>
                <w:szCs w:val="22"/>
              </w:rPr>
              <w:t>无余氯要求。</w:t>
            </w:r>
            <w:r>
              <w:rPr>
                <w:color w:val="000000" w:themeColor="text1"/>
                <w:kern w:val="0"/>
                <w:sz w:val="22"/>
                <w:szCs w:val="22"/>
              </w:rPr>
              <w:br w:type="textWrapping"/>
            </w:r>
            <w:r>
              <w:rPr>
                <w:color w:val="000000" w:themeColor="text1"/>
                <w:kern w:val="0"/>
                <w:sz w:val="22"/>
                <w:szCs w:val="22"/>
              </w:rPr>
              <w:t>注2：“—”表示对此项无要求。</w:t>
            </w:r>
          </w:p>
        </w:tc>
      </w:tr>
    </w:tbl>
    <w:p w14:paraId="393C7C08">
      <w:pPr>
        <w:autoSpaceDE w:val="0"/>
        <w:autoSpaceDN w:val="0"/>
        <w:adjustRightInd w:val="0"/>
        <w:snapToGrid w:val="0"/>
        <w:spacing w:line="600" w:lineRule="exact"/>
        <w:textAlignment w:val="bottom"/>
        <w:outlineLvl w:val="2"/>
        <w:rPr>
          <w:b/>
          <w:color w:val="000000" w:themeColor="text1"/>
          <w:sz w:val="28"/>
          <w:szCs w:val="28"/>
        </w:rPr>
      </w:pPr>
      <w:bookmarkStart w:id="132" w:name="_Toc143780494"/>
      <w:bookmarkStart w:id="133" w:name="_Toc144243723"/>
      <w:r>
        <w:rPr>
          <w:b/>
          <w:color w:val="000000" w:themeColor="text1"/>
          <w:sz w:val="28"/>
          <w:szCs w:val="28"/>
        </w:rPr>
        <w:t>4.1.2</w:t>
      </w:r>
      <w:r>
        <w:rPr>
          <w:rFonts w:hint="eastAsia"/>
          <w:b/>
          <w:color w:val="000000" w:themeColor="text1"/>
          <w:sz w:val="28"/>
          <w:szCs w:val="28"/>
        </w:rPr>
        <w:t xml:space="preserve"> 不同区域利用需求调查</w:t>
      </w:r>
      <w:bookmarkEnd w:id="132"/>
      <w:bookmarkEnd w:id="133"/>
    </w:p>
    <w:p w14:paraId="02DDCCF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目前平阴县再生水利用主要位于中心城区和孔村镇，其他区域再生水利用较少，其中位于中心城区、安城镇和孔村镇的山东平阴经济开发区虽然配置了再生水，但是由于再生水净水厂及供水管网等配套工程未建成，而未充分利用再生水。下面结合当地再生水可利用条件分别确定各分区的再生水利用需求。</w:t>
      </w:r>
    </w:p>
    <w:p w14:paraId="4CD45B9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1、中心城区</w:t>
      </w:r>
    </w:p>
    <w:p w14:paraId="5DB54BB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中心城区主要是平阴县榆山街道和锦水街道，是平阴县主城区，其西南部是工业主要分布区。</w:t>
      </w:r>
    </w:p>
    <w:p w14:paraId="04687D00">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经调查分析，中心城区内具备使用再生水条件的有工业用水、城市杂用水、景观河道生态补水。其中工业主要用于济南玮泉生物发电有限公司、济南黄河特钢有限责任公司等企业。</w:t>
      </w:r>
    </w:p>
    <w:p w14:paraId="6E7CF59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中心城区现有平阴水务发展有限公司（一厂），其污废水经玫城湿地净化，由平阴北控水环境开发有限公司负责供水。规划在主要企业用水户周边铺设供水管网，再生水利用条件优越。城区的绿化、道路和广场等分布面积较大，城区内有景观河，城市杂用水和景观河生态补水量较大，以平阴北控水环境开发有限公司的再生水为水源。因此，城区再生水主要用于工业、城市杂用水和景观河生态环境补水。</w:t>
      </w:r>
    </w:p>
    <w:p w14:paraId="5A5E21D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2、安城镇</w:t>
      </w:r>
    </w:p>
    <w:p w14:paraId="73765B8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安城镇位于城区北侧，现有平阴水务发展有限公司（二厂）。根据平阴县规划发展，安城镇将打造为东部产业新城，其属于山东平阴经济开发区，将着重发展新能源新材料制造、机械加工等产业。</w:t>
      </w:r>
    </w:p>
    <w:p w14:paraId="6EB916E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结合当地发展规划和山东平阴经济开发区规划水资源论证成果，安城镇将依托平阴水务发展有限公司（二厂）建设再生水供水工程及配套设施，外供再生水。依据安城镇用水现状和规划成果，确定再生水需求为工业用水、城市杂用水和景观河生态环境补水。</w:t>
      </w:r>
    </w:p>
    <w:p w14:paraId="49CA2F55">
      <w:pPr>
        <w:tabs>
          <w:tab w:val="left" w:pos="5400"/>
        </w:tabs>
        <w:spacing w:line="600" w:lineRule="exact"/>
        <w:ind w:firstLine="560" w:firstLineChars="200"/>
        <w:rPr>
          <w:color w:val="000000" w:themeColor="text1"/>
          <w:sz w:val="28"/>
          <w:szCs w:val="28"/>
        </w:rPr>
      </w:pPr>
      <w:r>
        <w:rPr>
          <w:color w:val="000000" w:themeColor="text1"/>
          <w:sz w:val="28"/>
          <w:szCs w:val="28"/>
        </w:rPr>
        <w:t>3</w:t>
      </w:r>
      <w:r>
        <w:rPr>
          <w:rFonts w:hint="eastAsia"/>
          <w:color w:val="000000" w:themeColor="text1"/>
          <w:sz w:val="28"/>
          <w:szCs w:val="28"/>
        </w:rPr>
        <w:t>、玫瑰镇</w:t>
      </w:r>
    </w:p>
    <w:p w14:paraId="6C86BBB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及玫瑰镇规划发展，玫瑰镇充分利用区位及玫瑰花产业优势，建设以玫瑰花产业和现代工业为主导、旅游业发达的新型生态园林型城镇。结合玫瑰镇用水现状和污水处理现状，确定再生水需求为城市杂用水。</w:t>
      </w:r>
    </w:p>
    <w:p w14:paraId="38DF4496">
      <w:pPr>
        <w:tabs>
          <w:tab w:val="left" w:pos="5400"/>
        </w:tabs>
        <w:spacing w:line="600" w:lineRule="exact"/>
        <w:ind w:firstLine="560" w:firstLineChars="200"/>
        <w:rPr>
          <w:color w:val="000000" w:themeColor="text1"/>
          <w:sz w:val="28"/>
          <w:szCs w:val="28"/>
        </w:rPr>
      </w:pPr>
      <w:r>
        <w:rPr>
          <w:color w:val="000000" w:themeColor="text1"/>
          <w:sz w:val="28"/>
          <w:szCs w:val="28"/>
        </w:rPr>
        <w:t>4</w:t>
      </w:r>
      <w:r>
        <w:rPr>
          <w:rFonts w:hint="eastAsia"/>
          <w:color w:val="000000" w:themeColor="text1"/>
          <w:sz w:val="28"/>
          <w:szCs w:val="28"/>
        </w:rPr>
        <w:t>、东阿镇</w:t>
      </w:r>
    </w:p>
    <w:p w14:paraId="6856EFA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东阿镇为阿胶古城，是以养生和旅游业为特色的历史文化古镇。目前东阿镇现有平阴水务发展有限公司（三厂），结合东阿镇用水现状和规划发展情况，确定再生水需求为城市杂用水。</w:t>
      </w:r>
    </w:p>
    <w:p w14:paraId="5B9494C0">
      <w:pPr>
        <w:tabs>
          <w:tab w:val="left" w:pos="5400"/>
        </w:tabs>
        <w:spacing w:line="600" w:lineRule="exact"/>
        <w:ind w:firstLine="560" w:firstLineChars="200"/>
        <w:rPr>
          <w:color w:val="000000" w:themeColor="text1"/>
          <w:sz w:val="28"/>
          <w:szCs w:val="28"/>
        </w:rPr>
      </w:pPr>
      <w:r>
        <w:rPr>
          <w:color w:val="000000" w:themeColor="text1"/>
          <w:sz w:val="28"/>
          <w:szCs w:val="28"/>
        </w:rPr>
        <w:t>5</w:t>
      </w:r>
      <w:r>
        <w:rPr>
          <w:rFonts w:hint="eastAsia"/>
          <w:color w:val="000000" w:themeColor="text1"/>
          <w:sz w:val="28"/>
          <w:szCs w:val="28"/>
        </w:rPr>
        <w:t>、洪范池镇</w:t>
      </w:r>
    </w:p>
    <w:p w14:paraId="623C74A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据调查，洪范池镇规划发展旅游业，适当发展农副产品加工业，是具有“山中小泉城”特色的山水</w:t>
      </w:r>
      <w:r>
        <w:rPr>
          <w:rFonts w:hint="eastAsia" w:ascii="宋体" w:cs="宋体"/>
          <w:color w:val="000000" w:themeColor="text1"/>
          <w:kern w:val="0"/>
          <w:sz w:val="28"/>
          <w:szCs w:val="28"/>
        </w:rPr>
        <w:t>城镇，辖区内没有工业。结合洪范池镇</w:t>
      </w:r>
      <w:r>
        <w:rPr>
          <w:rFonts w:hint="eastAsia"/>
          <w:color w:val="000000" w:themeColor="text1"/>
          <w:sz w:val="28"/>
          <w:szCs w:val="28"/>
        </w:rPr>
        <w:t>用水现状和规划发展情况，确定再生水需求为城市杂用水。</w:t>
      </w:r>
    </w:p>
    <w:p w14:paraId="3D30F0B3">
      <w:pPr>
        <w:tabs>
          <w:tab w:val="left" w:pos="5400"/>
        </w:tabs>
        <w:spacing w:line="600" w:lineRule="exact"/>
        <w:ind w:firstLine="560" w:firstLineChars="200"/>
        <w:rPr>
          <w:color w:val="000000" w:themeColor="text1"/>
          <w:sz w:val="28"/>
          <w:szCs w:val="28"/>
        </w:rPr>
      </w:pPr>
      <w:r>
        <w:rPr>
          <w:color w:val="000000" w:themeColor="text1"/>
          <w:sz w:val="28"/>
          <w:szCs w:val="28"/>
        </w:rPr>
        <w:t>6</w:t>
      </w:r>
      <w:r>
        <w:rPr>
          <w:rFonts w:hint="eastAsia"/>
          <w:color w:val="000000" w:themeColor="text1"/>
          <w:sz w:val="28"/>
          <w:szCs w:val="28"/>
        </w:rPr>
        <w:t>、孝直镇</w:t>
      </w:r>
    </w:p>
    <w:p w14:paraId="198EC6C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孝直镇是</w:t>
      </w:r>
      <w:r>
        <w:rPr>
          <w:rFonts w:hint="eastAsia" w:ascii="宋体" w:cs="宋体"/>
          <w:color w:val="000000" w:themeColor="text1"/>
          <w:kern w:val="0"/>
          <w:sz w:val="28"/>
          <w:szCs w:val="28"/>
        </w:rPr>
        <w:t>济南市西南门户城镇，发展定位为建设生态宜居和特色产业城镇。孝直镇</w:t>
      </w:r>
      <w:r>
        <w:rPr>
          <w:rFonts w:hint="eastAsia"/>
          <w:color w:val="000000" w:themeColor="text1"/>
          <w:sz w:val="28"/>
          <w:szCs w:val="28"/>
        </w:rPr>
        <w:t>规划发展机械加工制造、商贸物流等产业。</w:t>
      </w:r>
      <w:r>
        <w:rPr>
          <w:rFonts w:hint="eastAsia" w:ascii="宋体" w:cs="宋体"/>
          <w:color w:val="000000" w:themeColor="text1"/>
          <w:kern w:val="0"/>
          <w:sz w:val="28"/>
          <w:szCs w:val="28"/>
        </w:rPr>
        <w:t>孝直镇现有平阴县中环水务有限公司（孝直厂）。结合孝直镇</w:t>
      </w:r>
      <w:r>
        <w:rPr>
          <w:rFonts w:hint="eastAsia"/>
          <w:color w:val="000000" w:themeColor="text1"/>
          <w:sz w:val="28"/>
          <w:szCs w:val="28"/>
        </w:rPr>
        <w:t>用水现状和规划发展情况，确定再生水需求为城市杂用水。</w:t>
      </w:r>
    </w:p>
    <w:p w14:paraId="50599552">
      <w:pPr>
        <w:tabs>
          <w:tab w:val="left" w:pos="5400"/>
        </w:tabs>
        <w:spacing w:line="600" w:lineRule="exact"/>
        <w:ind w:firstLine="560" w:firstLineChars="200"/>
        <w:rPr>
          <w:color w:val="000000" w:themeColor="text1"/>
          <w:sz w:val="28"/>
          <w:szCs w:val="28"/>
        </w:rPr>
      </w:pPr>
      <w:r>
        <w:rPr>
          <w:color w:val="000000" w:themeColor="text1"/>
          <w:sz w:val="28"/>
          <w:szCs w:val="28"/>
        </w:rPr>
        <w:t>7</w:t>
      </w:r>
      <w:r>
        <w:rPr>
          <w:rFonts w:hint="eastAsia"/>
          <w:color w:val="000000" w:themeColor="text1"/>
          <w:sz w:val="28"/>
          <w:szCs w:val="28"/>
        </w:rPr>
        <w:t>、孔村镇</w:t>
      </w:r>
    </w:p>
    <w:p w14:paraId="17C23C2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孔村镇是山东省省级示范镇、平阴县次中心，是以炭素制造为龙头产业。孔村镇内分布有工业园区，属于山东平阴经济开发区；现有平阴县中环水务有限公司（孔村厂）。</w:t>
      </w:r>
      <w:r>
        <w:rPr>
          <w:rFonts w:hint="eastAsia" w:ascii="宋体" w:cs="宋体"/>
          <w:color w:val="000000" w:themeColor="text1"/>
          <w:kern w:val="0"/>
          <w:sz w:val="28"/>
          <w:szCs w:val="28"/>
        </w:rPr>
        <w:t>结合</w:t>
      </w:r>
      <w:r>
        <w:rPr>
          <w:rFonts w:hint="eastAsia"/>
          <w:color w:val="000000" w:themeColor="text1"/>
          <w:sz w:val="28"/>
          <w:szCs w:val="28"/>
        </w:rPr>
        <w:t>孔村镇用水现状和规划发展情况，确定再生水需求为工业用水、城市杂用水。</w:t>
      </w:r>
    </w:p>
    <w:p w14:paraId="156C087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通过对平阴县中心城区及各镇的用水现状、污水处理厂和规划发展情况分析初步确定各区域的再生水需求情况，具体详见表</w:t>
      </w:r>
      <w:r>
        <w:rPr>
          <w:color w:val="000000" w:themeColor="text1"/>
          <w:sz w:val="28"/>
          <w:szCs w:val="28"/>
        </w:rPr>
        <w:t>4.1-5</w:t>
      </w:r>
      <w:r>
        <w:rPr>
          <w:rFonts w:hint="eastAsia"/>
          <w:color w:val="000000" w:themeColor="text1"/>
          <w:sz w:val="28"/>
          <w:szCs w:val="28"/>
        </w:rPr>
        <w:t>。</w:t>
      </w:r>
    </w:p>
    <w:p w14:paraId="0EBE3FA0">
      <w:pPr>
        <w:keepNext/>
        <w:tabs>
          <w:tab w:val="left" w:pos="5400"/>
        </w:tabs>
        <w:spacing w:line="600" w:lineRule="exact"/>
        <w:jc w:val="center"/>
        <w:rPr>
          <w:b/>
          <w:bCs/>
          <w:color w:val="000000" w:themeColor="text1"/>
          <w:sz w:val="24"/>
        </w:rPr>
      </w:pPr>
      <w:r>
        <w:rPr>
          <w:rFonts w:hint="eastAsia"/>
          <w:b/>
          <w:bCs/>
          <w:color w:val="000000" w:themeColor="text1"/>
          <w:sz w:val="24"/>
        </w:rPr>
        <w:t>表</w:t>
      </w:r>
      <w:r>
        <w:rPr>
          <w:b/>
          <w:bCs/>
          <w:color w:val="000000" w:themeColor="text1"/>
          <w:sz w:val="24"/>
        </w:rPr>
        <w:t xml:space="preserve">4.1-5  </w:t>
      </w:r>
      <w:r>
        <w:rPr>
          <w:rFonts w:hint="eastAsia"/>
          <w:b/>
          <w:bCs/>
          <w:color w:val="000000" w:themeColor="text1"/>
          <w:sz w:val="24"/>
        </w:rPr>
        <w:t>平阴县不同区域再生水利用需求统计表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1848"/>
        <w:gridCol w:w="2224"/>
        <w:gridCol w:w="2603"/>
      </w:tblGrid>
      <w:tr w14:paraId="5DA50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3AFC2600">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区域</w:t>
            </w:r>
          </w:p>
        </w:tc>
        <w:tc>
          <w:tcPr>
            <w:tcW w:w="1084" w:type="pct"/>
            <w:noWrap/>
            <w:vAlign w:val="center"/>
          </w:tcPr>
          <w:p w14:paraId="764AAD88">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工业用水</w:t>
            </w:r>
          </w:p>
        </w:tc>
        <w:tc>
          <w:tcPr>
            <w:tcW w:w="1305" w:type="pct"/>
            <w:noWrap/>
            <w:vAlign w:val="center"/>
          </w:tcPr>
          <w:p w14:paraId="29F02AF3">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城市杂用水</w:t>
            </w:r>
          </w:p>
        </w:tc>
        <w:tc>
          <w:tcPr>
            <w:tcW w:w="1527" w:type="pct"/>
            <w:noWrap/>
            <w:vAlign w:val="center"/>
          </w:tcPr>
          <w:p w14:paraId="7DAC7F85">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生态环境补水</w:t>
            </w:r>
          </w:p>
        </w:tc>
      </w:tr>
      <w:tr w14:paraId="725A2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1F7B9A34">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中心城区</w:t>
            </w:r>
          </w:p>
        </w:tc>
        <w:tc>
          <w:tcPr>
            <w:tcW w:w="1084" w:type="pct"/>
            <w:noWrap/>
            <w:vAlign w:val="center"/>
          </w:tcPr>
          <w:p w14:paraId="63D77815">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305" w:type="pct"/>
            <w:noWrap/>
            <w:vAlign w:val="center"/>
          </w:tcPr>
          <w:p w14:paraId="5C26AA80">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527" w:type="pct"/>
            <w:noWrap/>
            <w:vAlign w:val="center"/>
          </w:tcPr>
          <w:p w14:paraId="5267C76B">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r>
      <w:tr w14:paraId="45FED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06E38473">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安城镇</w:t>
            </w:r>
          </w:p>
        </w:tc>
        <w:tc>
          <w:tcPr>
            <w:tcW w:w="1084" w:type="pct"/>
            <w:noWrap/>
            <w:vAlign w:val="center"/>
          </w:tcPr>
          <w:p w14:paraId="615CEF8A">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305" w:type="pct"/>
            <w:noWrap/>
            <w:vAlign w:val="center"/>
          </w:tcPr>
          <w:p w14:paraId="455E7113">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527" w:type="pct"/>
            <w:noWrap/>
            <w:vAlign w:val="center"/>
          </w:tcPr>
          <w:p w14:paraId="5324CDFA">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r>
      <w:tr w14:paraId="0550B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5C42F647">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孔村镇</w:t>
            </w:r>
          </w:p>
        </w:tc>
        <w:tc>
          <w:tcPr>
            <w:tcW w:w="1084" w:type="pct"/>
            <w:noWrap/>
            <w:vAlign w:val="center"/>
          </w:tcPr>
          <w:p w14:paraId="0FEEF0D7">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305" w:type="pct"/>
            <w:noWrap/>
            <w:vAlign w:val="center"/>
          </w:tcPr>
          <w:p w14:paraId="5C9A22EC">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527" w:type="pct"/>
            <w:noWrap/>
            <w:vAlign w:val="center"/>
          </w:tcPr>
          <w:p w14:paraId="203AA821">
            <w:pPr>
              <w:widowControl/>
              <w:jc w:val="center"/>
              <w:rPr>
                <w:rFonts w:hint="eastAsia" w:ascii="宋体" w:hAnsi="宋体" w:cs="宋体"/>
                <w:color w:val="000000" w:themeColor="text1"/>
                <w:kern w:val="0"/>
                <w:sz w:val="24"/>
              </w:rPr>
            </w:pPr>
          </w:p>
        </w:tc>
      </w:tr>
      <w:tr w14:paraId="64979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05C1E163">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玫瑰镇</w:t>
            </w:r>
          </w:p>
        </w:tc>
        <w:tc>
          <w:tcPr>
            <w:tcW w:w="1084" w:type="pct"/>
            <w:noWrap/>
            <w:vAlign w:val="center"/>
          </w:tcPr>
          <w:p w14:paraId="79F03880">
            <w:pPr>
              <w:widowControl/>
              <w:jc w:val="center"/>
              <w:rPr>
                <w:rFonts w:hint="eastAsia" w:ascii="宋体" w:hAnsi="宋体" w:cs="宋体"/>
                <w:color w:val="000000" w:themeColor="text1"/>
                <w:kern w:val="0"/>
                <w:sz w:val="24"/>
              </w:rPr>
            </w:pPr>
          </w:p>
        </w:tc>
        <w:tc>
          <w:tcPr>
            <w:tcW w:w="1305" w:type="pct"/>
            <w:noWrap/>
            <w:vAlign w:val="center"/>
          </w:tcPr>
          <w:p w14:paraId="0FB486C8">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527" w:type="pct"/>
            <w:noWrap/>
            <w:vAlign w:val="center"/>
          </w:tcPr>
          <w:p w14:paraId="1BA358F0">
            <w:pPr>
              <w:widowControl/>
              <w:jc w:val="center"/>
              <w:rPr>
                <w:rFonts w:hint="eastAsia" w:ascii="宋体" w:hAnsi="宋体" w:cs="宋体"/>
                <w:color w:val="000000" w:themeColor="text1"/>
                <w:kern w:val="0"/>
                <w:sz w:val="24"/>
              </w:rPr>
            </w:pPr>
          </w:p>
        </w:tc>
      </w:tr>
      <w:tr w14:paraId="52607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2798CD52">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东阿镇</w:t>
            </w:r>
          </w:p>
        </w:tc>
        <w:tc>
          <w:tcPr>
            <w:tcW w:w="1084" w:type="pct"/>
            <w:noWrap/>
            <w:vAlign w:val="center"/>
          </w:tcPr>
          <w:p w14:paraId="2C098B05">
            <w:pPr>
              <w:widowControl/>
              <w:jc w:val="center"/>
              <w:rPr>
                <w:rFonts w:hint="eastAsia" w:ascii="宋体" w:hAnsi="宋体" w:cs="宋体"/>
                <w:color w:val="000000" w:themeColor="text1"/>
                <w:kern w:val="0"/>
                <w:sz w:val="24"/>
              </w:rPr>
            </w:pPr>
          </w:p>
        </w:tc>
        <w:tc>
          <w:tcPr>
            <w:tcW w:w="1305" w:type="pct"/>
            <w:noWrap/>
            <w:vAlign w:val="center"/>
          </w:tcPr>
          <w:p w14:paraId="05271C8E">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527" w:type="pct"/>
            <w:noWrap/>
            <w:vAlign w:val="center"/>
          </w:tcPr>
          <w:p w14:paraId="487F2FFA">
            <w:pPr>
              <w:widowControl/>
              <w:jc w:val="center"/>
              <w:rPr>
                <w:rFonts w:hint="eastAsia" w:ascii="宋体" w:hAnsi="宋体" w:cs="宋体"/>
                <w:color w:val="000000" w:themeColor="text1"/>
                <w:kern w:val="0"/>
                <w:sz w:val="24"/>
              </w:rPr>
            </w:pPr>
          </w:p>
        </w:tc>
      </w:tr>
      <w:tr w14:paraId="51F02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592C416D">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洪范池镇</w:t>
            </w:r>
          </w:p>
        </w:tc>
        <w:tc>
          <w:tcPr>
            <w:tcW w:w="1084" w:type="pct"/>
            <w:noWrap/>
            <w:vAlign w:val="center"/>
          </w:tcPr>
          <w:p w14:paraId="11D6C70C">
            <w:pPr>
              <w:widowControl/>
              <w:jc w:val="center"/>
              <w:rPr>
                <w:rFonts w:hint="eastAsia" w:ascii="宋体" w:hAnsi="宋体" w:cs="宋体"/>
                <w:color w:val="000000" w:themeColor="text1"/>
                <w:kern w:val="0"/>
                <w:sz w:val="24"/>
              </w:rPr>
            </w:pPr>
          </w:p>
        </w:tc>
        <w:tc>
          <w:tcPr>
            <w:tcW w:w="1305" w:type="pct"/>
            <w:noWrap/>
            <w:vAlign w:val="center"/>
          </w:tcPr>
          <w:p w14:paraId="779EBFAB">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527" w:type="pct"/>
            <w:noWrap/>
            <w:vAlign w:val="center"/>
          </w:tcPr>
          <w:p w14:paraId="202BF8B0">
            <w:pPr>
              <w:widowControl/>
              <w:jc w:val="center"/>
              <w:rPr>
                <w:rFonts w:hint="eastAsia" w:ascii="宋体" w:hAnsi="宋体" w:cs="宋体"/>
                <w:color w:val="000000" w:themeColor="text1"/>
                <w:kern w:val="0"/>
                <w:sz w:val="24"/>
              </w:rPr>
            </w:pPr>
          </w:p>
        </w:tc>
      </w:tr>
      <w:tr w14:paraId="73D57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84" w:type="pct"/>
            <w:noWrap/>
            <w:vAlign w:val="center"/>
          </w:tcPr>
          <w:p w14:paraId="05B89371">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孝直镇</w:t>
            </w:r>
          </w:p>
        </w:tc>
        <w:tc>
          <w:tcPr>
            <w:tcW w:w="1084" w:type="pct"/>
            <w:noWrap/>
            <w:vAlign w:val="center"/>
          </w:tcPr>
          <w:p w14:paraId="14FD1152">
            <w:pPr>
              <w:widowControl/>
              <w:jc w:val="center"/>
              <w:rPr>
                <w:rFonts w:hint="eastAsia" w:ascii="宋体" w:hAnsi="宋体" w:cs="宋体"/>
                <w:color w:val="000000" w:themeColor="text1"/>
                <w:kern w:val="0"/>
                <w:sz w:val="24"/>
              </w:rPr>
            </w:pPr>
          </w:p>
        </w:tc>
        <w:tc>
          <w:tcPr>
            <w:tcW w:w="1305" w:type="pct"/>
            <w:noWrap/>
            <w:vAlign w:val="center"/>
          </w:tcPr>
          <w:p w14:paraId="4B8E4444">
            <w:pPr>
              <w:widowControl/>
              <w:jc w:val="center"/>
              <w:rPr>
                <w:rFonts w:hint="eastAsia" w:ascii="宋体" w:hAnsi="宋体" w:cs="宋体"/>
                <w:color w:val="000000" w:themeColor="text1"/>
                <w:kern w:val="0"/>
                <w:sz w:val="24"/>
              </w:rPr>
            </w:pPr>
            <w:r>
              <w:rPr>
                <w:rFonts w:hint="eastAsia" w:ascii="宋体" w:hAnsi="宋体" w:cs="宋体"/>
                <w:color w:val="000000" w:themeColor="text1"/>
                <w:kern w:val="0"/>
                <w:sz w:val="24"/>
              </w:rPr>
              <w:t>有</w:t>
            </w:r>
          </w:p>
        </w:tc>
        <w:tc>
          <w:tcPr>
            <w:tcW w:w="1527" w:type="pct"/>
            <w:noWrap/>
            <w:vAlign w:val="center"/>
          </w:tcPr>
          <w:p w14:paraId="2BDDB780">
            <w:pPr>
              <w:widowControl/>
              <w:jc w:val="center"/>
              <w:rPr>
                <w:rFonts w:hint="eastAsia" w:ascii="宋体" w:hAnsi="宋体" w:cs="宋体"/>
                <w:color w:val="000000" w:themeColor="text1"/>
                <w:kern w:val="0"/>
                <w:sz w:val="24"/>
              </w:rPr>
            </w:pPr>
          </w:p>
        </w:tc>
      </w:tr>
    </w:tbl>
    <w:p w14:paraId="1A9388CC">
      <w:pPr>
        <w:snapToGrid w:val="0"/>
        <w:spacing w:before="120" w:beforeLines="50" w:after="120" w:afterLines="50" w:line="600" w:lineRule="exact"/>
        <w:outlineLvl w:val="1"/>
        <w:rPr>
          <w:b/>
          <w:color w:val="000000" w:themeColor="text1"/>
          <w:sz w:val="30"/>
          <w:szCs w:val="30"/>
        </w:rPr>
      </w:pPr>
      <w:bookmarkStart w:id="134" w:name="_Toc144243724"/>
      <w:bookmarkStart w:id="135" w:name="_Toc181472935"/>
      <w:r>
        <w:rPr>
          <w:b/>
          <w:color w:val="000000" w:themeColor="text1"/>
          <w:sz w:val="30"/>
          <w:szCs w:val="30"/>
        </w:rPr>
        <w:t>4.2 再生水用户需水量</w:t>
      </w:r>
      <w:bookmarkEnd w:id="134"/>
      <w:bookmarkEnd w:id="135"/>
    </w:p>
    <w:p w14:paraId="7B1957C7">
      <w:pPr>
        <w:autoSpaceDE w:val="0"/>
        <w:autoSpaceDN w:val="0"/>
        <w:adjustRightInd w:val="0"/>
        <w:snapToGrid w:val="0"/>
        <w:spacing w:line="600" w:lineRule="exact"/>
        <w:textAlignment w:val="bottom"/>
        <w:outlineLvl w:val="2"/>
        <w:rPr>
          <w:b/>
          <w:color w:val="000000" w:themeColor="text1"/>
          <w:sz w:val="28"/>
          <w:szCs w:val="28"/>
        </w:rPr>
      </w:pPr>
      <w:bookmarkStart w:id="136" w:name="_Toc144243725"/>
      <w:bookmarkStart w:id="137" w:name="_Toc143780496"/>
      <w:r>
        <w:rPr>
          <w:b/>
          <w:color w:val="000000" w:themeColor="text1"/>
          <w:sz w:val="28"/>
          <w:szCs w:val="28"/>
        </w:rPr>
        <w:t>4.2.1</w:t>
      </w:r>
      <w:r>
        <w:rPr>
          <w:rFonts w:hint="eastAsia"/>
          <w:b/>
          <w:color w:val="000000" w:themeColor="text1"/>
          <w:sz w:val="28"/>
          <w:szCs w:val="28"/>
        </w:rPr>
        <w:t xml:space="preserve"> 工业再生水需水量</w:t>
      </w:r>
      <w:bookmarkEnd w:id="136"/>
      <w:bookmarkEnd w:id="137"/>
    </w:p>
    <w:p w14:paraId="32C07A4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根据平阴县工业利用再生水需求调查结果分析可知，平阴县工业具有较大的再生水利用潜力。基于2023年平阴县工业分布及工业发展情况，结合企业的实际用水情况和再生水可利用条件确定工业再生水需水量。</w:t>
      </w:r>
    </w:p>
    <w:p w14:paraId="5252E38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1、近期规划年（</w:t>
      </w:r>
      <w:r>
        <w:rPr>
          <w:color w:val="000000" w:themeColor="text1"/>
          <w:sz w:val="28"/>
          <w:szCs w:val="28"/>
        </w:rPr>
        <w:t>20</w:t>
      </w:r>
      <w:r>
        <w:rPr>
          <w:rFonts w:hint="eastAsia"/>
          <w:color w:val="000000" w:themeColor="text1"/>
          <w:sz w:val="28"/>
          <w:szCs w:val="28"/>
        </w:rPr>
        <w:t>30年）</w:t>
      </w:r>
    </w:p>
    <w:p w14:paraId="5FD2974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结合平阴县社会经济发展初步确定平阴县近期规划年再生水利用总量，再结合辖区内各工业产业类型和再生水利用需求调研确定各区域及企业的再生水用水量。</w:t>
      </w:r>
    </w:p>
    <w:p w14:paraId="32A9437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根据第2.3.4节内容可知，</w:t>
      </w:r>
      <w:r>
        <w:rPr>
          <w:color w:val="000000" w:themeColor="text1"/>
          <w:sz w:val="28"/>
          <w:szCs w:val="28"/>
        </w:rPr>
        <w:t>20</w:t>
      </w:r>
      <w:r>
        <w:rPr>
          <w:rFonts w:hint="eastAsia"/>
          <w:color w:val="000000" w:themeColor="text1"/>
          <w:sz w:val="28"/>
          <w:szCs w:val="28"/>
        </w:rPr>
        <w:t>30年平阴县工业需水量为</w:t>
      </w:r>
      <w:r>
        <w:rPr>
          <w:color w:val="000000" w:themeColor="text1"/>
          <w:sz w:val="28"/>
          <w:szCs w:val="28"/>
        </w:rPr>
        <w:t>160</w:t>
      </w:r>
      <w:r>
        <w:rPr>
          <w:rFonts w:hint="eastAsia"/>
          <w:color w:val="000000" w:themeColor="text1"/>
          <w:sz w:val="28"/>
          <w:szCs w:val="28"/>
        </w:rPr>
        <w:t>8.0万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。按照《山东省水利厅等8厅关于加强再生水配置利用工作的意见》及济南市关于再生水利用要求和平阴县2</w:t>
      </w:r>
      <w:r>
        <w:rPr>
          <w:color w:val="000000" w:themeColor="text1"/>
          <w:sz w:val="28"/>
          <w:szCs w:val="28"/>
        </w:rPr>
        <w:t>0</w:t>
      </w:r>
      <w:r>
        <w:rPr>
          <w:rFonts w:hint="eastAsia"/>
          <w:color w:val="000000" w:themeColor="text1"/>
          <w:sz w:val="28"/>
          <w:szCs w:val="28"/>
        </w:rPr>
        <w:t>30年工业再生水可利用情况，初步确定2</w:t>
      </w:r>
      <w:r>
        <w:rPr>
          <w:color w:val="000000" w:themeColor="text1"/>
          <w:sz w:val="28"/>
          <w:szCs w:val="28"/>
        </w:rPr>
        <w:t>0</w:t>
      </w:r>
      <w:r>
        <w:rPr>
          <w:rFonts w:hint="eastAsia"/>
          <w:color w:val="000000" w:themeColor="text1"/>
          <w:sz w:val="28"/>
          <w:szCs w:val="28"/>
        </w:rPr>
        <w:t>30年平阴县工业用水再生水配置比例按25</w:t>
      </w:r>
      <w:r>
        <w:rPr>
          <w:color w:val="000000" w:themeColor="text1"/>
          <w:sz w:val="28"/>
          <w:szCs w:val="28"/>
        </w:rPr>
        <w:t>%</w:t>
      </w:r>
      <w:r>
        <w:rPr>
          <w:rFonts w:hint="eastAsia"/>
          <w:color w:val="000000" w:themeColor="text1"/>
          <w:sz w:val="28"/>
          <w:szCs w:val="28"/>
        </w:rPr>
        <w:t>，即近期规划年平阴县工业再生水用水量为402.0万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58EE78BE">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水务局提供数据和实地调研结果可知，平阴县除现状年实际再生水利用企业之外，有再生水利用计划的工业企业为山东齐发药业有限公司、济南黄河特钢有限责任公司、玫德集团有限公司、玫城能源换热站、济南二机床铸造有限公司、济南弘正科技有限公司、山东鸿瑞新材料科技有限公司、一网双源供热项目等；具体再生水利用量需要企业结合实际生产及用水情况确定。</w:t>
      </w:r>
    </w:p>
    <w:p w14:paraId="460CBE2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结合平阴县现状年再生水实际利用情况和各镇区规划年工业再生水利用需求，预测2030年平阴县工业再生水用水量为402.0万m</w:t>
      </w:r>
      <w:r>
        <w:rPr>
          <w:rFonts w:hint="eastAsia"/>
          <w:color w:val="000000" w:themeColor="text1"/>
          <w:sz w:val="28"/>
          <w:szCs w:val="28"/>
          <w:vertAlign w:val="superscript"/>
        </w:rPr>
        <w:t>3</w:t>
      </w:r>
      <w:r>
        <w:rPr>
          <w:rFonts w:hint="eastAsia"/>
          <w:color w:val="000000" w:themeColor="text1"/>
          <w:sz w:val="28"/>
          <w:szCs w:val="28"/>
        </w:rPr>
        <w:t>，其中中心城区再生水用水量为150万m</w:t>
      </w:r>
      <w:r>
        <w:rPr>
          <w:rFonts w:hint="eastAsia"/>
          <w:color w:val="000000" w:themeColor="text1"/>
          <w:sz w:val="28"/>
          <w:szCs w:val="28"/>
          <w:vertAlign w:val="superscript"/>
        </w:rPr>
        <w:t>3</w:t>
      </w:r>
      <w:r>
        <w:rPr>
          <w:rFonts w:hint="eastAsia"/>
          <w:color w:val="000000" w:themeColor="text1"/>
          <w:sz w:val="28"/>
          <w:szCs w:val="28"/>
        </w:rPr>
        <w:t>，安城镇再生水用水量为60.7万m</w:t>
      </w:r>
      <w:r>
        <w:rPr>
          <w:rFonts w:hint="eastAsia"/>
          <w:color w:val="000000" w:themeColor="text1"/>
          <w:sz w:val="28"/>
          <w:szCs w:val="28"/>
          <w:vertAlign w:val="superscript"/>
        </w:rPr>
        <w:t>3</w:t>
      </w:r>
      <w:r>
        <w:rPr>
          <w:rFonts w:hint="eastAsia"/>
          <w:color w:val="000000" w:themeColor="text1"/>
          <w:sz w:val="28"/>
          <w:szCs w:val="28"/>
        </w:rPr>
        <w:t>，孔村镇再生水用水量为191.3万m</w:t>
      </w:r>
      <w:r>
        <w:rPr>
          <w:rFonts w:hint="eastAsia"/>
          <w:color w:val="000000" w:themeColor="text1"/>
          <w:sz w:val="28"/>
          <w:szCs w:val="28"/>
          <w:vertAlign w:val="superscript"/>
        </w:rPr>
        <w:t>3</w:t>
      </w:r>
      <w:r>
        <w:rPr>
          <w:rFonts w:hint="eastAsia"/>
          <w:color w:val="000000" w:themeColor="text1"/>
          <w:sz w:val="28"/>
          <w:szCs w:val="28"/>
        </w:rPr>
        <w:t>。</w:t>
      </w:r>
    </w:p>
    <w:p w14:paraId="3BDE9A09">
      <w:pPr>
        <w:tabs>
          <w:tab w:val="left" w:pos="5400"/>
        </w:tabs>
        <w:spacing w:line="600" w:lineRule="exact"/>
        <w:ind w:firstLine="560" w:firstLineChars="200"/>
        <w:rPr>
          <w:color w:val="000000" w:themeColor="text1"/>
          <w:sz w:val="28"/>
          <w:szCs w:val="28"/>
        </w:rPr>
      </w:pPr>
      <w:r>
        <w:rPr>
          <w:color w:val="000000" w:themeColor="text1"/>
          <w:sz w:val="28"/>
          <w:szCs w:val="28"/>
        </w:rPr>
        <w:t>2</w:t>
      </w:r>
      <w:r>
        <w:rPr>
          <w:rFonts w:hint="eastAsia"/>
          <w:color w:val="000000" w:themeColor="text1"/>
          <w:sz w:val="28"/>
          <w:szCs w:val="28"/>
        </w:rPr>
        <w:t>、远期规划年（</w:t>
      </w:r>
      <w:r>
        <w:rPr>
          <w:color w:val="000000" w:themeColor="text1"/>
          <w:sz w:val="28"/>
          <w:szCs w:val="28"/>
        </w:rPr>
        <w:t>20</w:t>
      </w:r>
      <w:r>
        <w:rPr>
          <w:rFonts w:hint="eastAsia"/>
          <w:color w:val="000000" w:themeColor="text1"/>
          <w:sz w:val="28"/>
          <w:szCs w:val="28"/>
        </w:rPr>
        <w:t>35年）</w:t>
      </w:r>
    </w:p>
    <w:p w14:paraId="0D73E2F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根据第2.3.4节内容可知，</w:t>
      </w:r>
      <w:r>
        <w:rPr>
          <w:color w:val="000000" w:themeColor="text1"/>
          <w:sz w:val="28"/>
          <w:szCs w:val="28"/>
        </w:rPr>
        <w:t>20</w:t>
      </w:r>
      <w:r>
        <w:rPr>
          <w:rFonts w:hint="eastAsia"/>
          <w:color w:val="000000" w:themeColor="text1"/>
          <w:sz w:val="28"/>
          <w:szCs w:val="28"/>
        </w:rPr>
        <w:t>35年平阴县工业需水量为2043.9万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。按照《山东省水利厅等8厅关于加强再生水配置利用工作的意见》及济南市关于再生水利用要求和平阴县2</w:t>
      </w:r>
      <w:r>
        <w:rPr>
          <w:color w:val="000000" w:themeColor="text1"/>
          <w:sz w:val="28"/>
          <w:szCs w:val="28"/>
        </w:rPr>
        <w:t>0</w:t>
      </w:r>
      <w:r>
        <w:rPr>
          <w:rFonts w:hint="eastAsia"/>
          <w:color w:val="000000" w:themeColor="text1"/>
          <w:sz w:val="28"/>
          <w:szCs w:val="28"/>
        </w:rPr>
        <w:t>30年工业再生水配置情况，初步确定2</w:t>
      </w:r>
      <w:r>
        <w:rPr>
          <w:color w:val="000000" w:themeColor="text1"/>
          <w:sz w:val="28"/>
          <w:szCs w:val="28"/>
        </w:rPr>
        <w:t>0</w:t>
      </w:r>
      <w:r>
        <w:rPr>
          <w:rFonts w:hint="eastAsia"/>
          <w:color w:val="000000" w:themeColor="text1"/>
          <w:sz w:val="28"/>
          <w:szCs w:val="28"/>
        </w:rPr>
        <w:t>35年平阴县工业用水再生水配置比例按35</w:t>
      </w:r>
      <w:r>
        <w:rPr>
          <w:color w:val="000000" w:themeColor="text1"/>
          <w:sz w:val="28"/>
          <w:szCs w:val="28"/>
        </w:rPr>
        <w:t>%</w:t>
      </w:r>
      <w:r>
        <w:rPr>
          <w:rFonts w:hint="eastAsia"/>
          <w:color w:val="000000" w:themeColor="text1"/>
          <w:sz w:val="28"/>
          <w:szCs w:val="28"/>
        </w:rPr>
        <w:t>，即远期规划年平阴县工业再生水用水量为715.4万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3F0B7B9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基于平阴县已建成运行的工业企业利用再生水的调研成果，结合远期平阴县再生水供水规划情况以及目前平阴县已批复的工业配置再生水情况确定平阴县各区域及工业企业的再生水用水需求。远期规划年平阴县工业再生水用水量为715.4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，其中中心城区远期规划年工业再生水用水量为200万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，安城镇工业再生水用水量为</w:t>
      </w:r>
      <w:r>
        <w:rPr>
          <w:color w:val="000000" w:themeColor="text1"/>
          <w:sz w:val="28"/>
          <w:szCs w:val="28"/>
        </w:rPr>
        <w:t>1</w:t>
      </w:r>
      <w:r>
        <w:rPr>
          <w:rFonts w:hint="eastAsia"/>
          <w:color w:val="000000" w:themeColor="text1"/>
          <w:sz w:val="28"/>
          <w:szCs w:val="28"/>
        </w:rPr>
        <w:t>6</w:t>
      </w:r>
      <w:r>
        <w:rPr>
          <w:color w:val="000000" w:themeColor="text1"/>
          <w:sz w:val="28"/>
          <w:szCs w:val="28"/>
        </w:rPr>
        <w:t>6.0</w:t>
      </w:r>
      <w:r>
        <w:rPr>
          <w:rFonts w:hint="eastAsia"/>
          <w:color w:val="000000" w:themeColor="text1"/>
          <w:sz w:val="28"/>
          <w:szCs w:val="28"/>
        </w:rPr>
        <w:t>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，孔村镇工业再生水用水量为349.4万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443329EE">
      <w:pPr>
        <w:autoSpaceDE w:val="0"/>
        <w:autoSpaceDN w:val="0"/>
        <w:adjustRightInd w:val="0"/>
        <w:snapToGrid w:val="0"/>
        <w:spacing w:line="600" w:lineRule="exact"/>
        <w:textAlignment w:val="bottom"/>
        <w:outlineLvl w:val="2"/>
        <w:rPr>
          <w:b/>
          <w:color w:val="000000" w:themeColor="text1"/>
          <w:sz w:val="28"/>
          <w:szCs w:val="28"/>
        </w:rPr>
      </w:pPr>
      <w:bookmarkStart w:id="138" w:name="_Toc143780497"/>
      <w:bookmarkStart w:id="139" w:name="_Toc144243726"/>
      <w:r>
        <w:rPr>
          <w:b/>
          <w:color w:val="000000" w:themeColor="text1"/>
          <w:sz w:val="28"/>
          <w:szCs w:val="28"/>
        </w:rPr>
        <w:t>4.2.2</w:t>
      </w:r>
      <w:r>
        <w:rPr>
          <w:rFonts w:hint="eastAsia"/>
          <w:b/>
          <w:color w:val="000000" w:themeColor="text1"/>
          <w:sz w:val="28"/>
          <w:szCs w:val="28"/>
        </w:rPr>
        <w:t xml:space="preserve"> 城市杂用水再生水需水量</w:t>
      </w:r>
      <w:bookmarkEnd w:id="138"/>
      <w:bookmarkEnd w:id="139"/>
    </w:p>
    <w:p w14:paraId="5EE0645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城市杂用水主要包括城市绿化灌溉用水、城市道路广场浇洒用水及城镇公共用水等。</w:t>
      </w:r>
    </w:p>
    <w:p w14:paraId="76322B5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1、绿化灌溉及道路喷洒</w:t>
      </w:r>
    </w:p>
    <w:p w14:paraId="3820F1F5">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根据第2.3.4节内容可知，</w:t>
      </w:r>
      <w:r>
        <w:rPr>
          <w:color w:val="000000" w:themeColor="text1"/>
          <w:sz w:val="28"/>
          <w:szCs w:val="28"/>
        </w:rPr>
        <w:t>20</w:t>
      </w:r>
      <w:r>
        <w:rPr>
          <w:rFonts w:hint="eastAsia"/>
          <w:color w:val="000000" w:themeColor="text1"/>
          <w:sz w:val="28"/>
          <w:szCs w:val="28"/>
        </w:rPr>
        <w:t>30年平阴县绿化灌溉用水量为248万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，道路喷洒用水量为88.5万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；2035年平阴县绿化灌溉用水量为255.3万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，道路喷洒用水量为90.9万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3D793F5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根据不同规划年平阴县中心城区及各镇绿化面积和道路面积分别推求出平阴县不同区域的绿化灌溉用水和道路喷洒用水量，具体详见表4.2.2-1。</w:t>
      </w:r>
    </w:p>
    <w:p w14:paraId="5DA4B100">
      <w:pPr>
        <w:tabs>
          <w:tab w:val="left" w:pos="5400"/>
        </w:tabs>
        <w:spacing w:line="600" w:lineRule="exact"/>
        <w:jc w:val="center"/>
        <w:rPr>
          <w:b/>
          <w:bCs/>
          <w:color w:val="000000" w:themeColor="text1"/>
          <w:sz w:val="24"/>
        </w:rPr>
      </w:pPr>
      <w:r>
        <w:rPr>
          <w:rFonts w:hint="eastAsia"/>
          <w:b/>
          <w:bCs/>
          <w:color w:val="000000" w:themeColor="text1"/>
          <w:sz w:val="24"/>
        </w:rPr>
        <w:t xml:space="preserve">表4.2.2-1 </w:t>
      </w:r>
      <w:r>
        <w:rPr>
          <w:b/>
          <w:bCs/>
          <w:color w:val="000000" w:themeColor="text1"/>
          <w:sz w:val="24"/>
        </w:rPr>
        <w:t xml:space="preserve"> </w:t>
      </w:r>
      <w:r>
        <w:rPr>
          <w:rFonts w:hint="eastAsia"/>
          <w:b/>
          <w:bCs/>
          <w:color w:val="000000" w:themeColor="text1"/>
          <w:sz w:val="24"/>
        </w:rPr>
        <w:t>规划年平阴县城镇绿化灌溉和道路喷洒用水量预测表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5169A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000" w:type="pct"/>
            <w:vMerge w:val="restart"/>
            <w:vAlign w:val="center"/>
          </w:tcPr>
          <w:p w14:paraId="4C9AAE4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区域</w:t>
            </w:r>
          </w:p>
        </w:tc>
        <w:tc>
          <w:tcPr>
            <w:tcW w:w="2000" w:type="pct"/>
            <w:gridSpan w:val="2"/>
            <w:vAlign w:val="center"/>
          </w:tcPr>
          <w:p w14:paraId="798D64E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绿化</w:t>
            </w:r>
            <w:r>
              <w:rPr>
                <w:rFonts w:hint="eastAsia"/>
                <w:color w:val="000000" w:themeColor="text1"/>
                <w:kern w:val="0"/>
                <w:sz w:val="22"/>
                <w:szCs w:val="22"/>
              </w:rPr>
              <w:t>灌溉用</w:t>
            </w:r>
            <w:r>
              <w:rPr>
                <w:color w:val="000000" w:themeColor="text1"/>
                <w:kern w:val="0"/>
                <w:sz w:val="22"/>
                <w:szCs w:val="22"/>
              </w:rPr>
              <w:t>水量</w:t>
            </w:r>
          </w:p>
          <w:p w14:paraId="7C9DEBB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p>
        </w:tc>
        <w:tc>
          <w:tcPr>
            <w:tcW w:w="2000" w:type="pct"/>
            <w:gridSpan w:val="2"/>
            <w:vAlign w:val="center"/>
          </w:tcPr>
          <w:p w14:paraId="787B0BD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道路喷洒用</w:t>
            </w:r>
            <w:r>
              <w:rPr>
                <w:color w:val="000000" w:themeColor="text1"/>
                <w:kern w:val="0"/>
                <w:sz w:val="22"/>
                <w:szCs w:val="22"/>
              </w:rPr>
              <w:t>水量</w:t>
            </w:r>
          </w:p>
          <w:p w14:paraId="3086AB0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p>
        </w:tc>
      </w:tr>
      <w:tr w14:paraId="04459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Merge w:val="continue"/>
            <w:vAlign w:val="center"/>
          </w:tcPr>
          <w:p w14:paraId="5DE20827">
            <w:pPr>
              <w:widowControl/>
              <w:adjustRightInd w:val="0"/>
              <w:snapToGrid w:val="0"/>
              <w:ind w:left="-105" w:leftChars="-50" w:right="-105" w:rightChars="-50"/>
              <w:jc w:val="left"/>
              <w:rPr>
                <w:color w:val="000000" w:themeColor="text1"/>
                <w:kern w:val="0"/>
                <w:sz w:val="22"/>
                <w:szCs w:val="22"/>
              </w:rPr>
            </w:pPr>
          </w:p>
        </w:tc>
        <w:tc>
          <w:tcPr>
            <w:tcW w:w="1000" w:type="pct"/>
            <w:vAlign w:val="center"/>
          </w:tcPr>
          <w:p w14:paraId="72E7AC7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2030年</w:t>
            </w:r>
          </w:p>
        </w:tc>
        <w:tc>
          <w:tcPr>
            <w:tcW w:w="1000" w:type="pct"/>
            <w:vAlign w:val="center"/>
          </w:tcPr>
          <w:p w14:paraId="16DAD384">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2035年</w:t>
            </w:r>
          </w:p>
        </w:tc>
        <w:tc>
          <w:tcPr>
            <w:tcW w:w="1000" w:type="pct"/>
            <w:vAlign w:val="center"/>
          </w:tcPr>
          <w:p w14:paraId="63F137B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2030年</w:t>
            </w:r>
          </w:p>
        </w:tc>
        <w:tc>
          <w:tcPr>
            <w:tcW w:w="1000" w:type="pct"/>
            <w:vAlign w:val="center"/>
          </w:tcPr>
          <w:p w14:paraId="3CCFA04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2035年</w:t>
            </w:r>
          </w:p>
        </w:tc>
      </w:tr>
      <w:tr w14:paraId="1943F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7C1D7A5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中心城区</w:t>
            </w:r>
          </w:p>
        </w:tc>
        <w:tc>
          <w:tcPr>
            <w:tcW w:w="1000" w:type="pct"/>
            <w:vAlign w:val="center"/>
          </w:tcPr>
          <w:p w14:paraId="784856A6">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196.7</w:t>
            </w:r>
          </w:p>
        </w:tc>
        <w:tc>
          <w:tcPr>
            <w:tcW w:w="1000" w:type="pct"/>
            <w:vAlign w:val="center"/>
          </w:tcPr>
          <w:p w14:paraId="00C3443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202.5</w:t>
            </w:r>
          </w:p>
        </w:tc>
        <w:tc>
          <w:tcPr>
            <w:tcW w:w="1000" w:type="pct"/>
            <w:vAlign w:val="center"/>
          </w:tcPr>
          <w:p w14:paraId="5E1BD15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70.1</w:t>
            </w:r>
          </w:p>
        </w:tc>
        <w:tc>
          <w:tcPr>
            <w:tcW w:w="1000" w:type="pct"/>
            <w:vAlign w:val="center"/>
          </w:tcPr>
          <w:p w14:paraId="0A311D76">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72.2</w:t>
            </w:r>
          </w:p>
        </w:tc>
      </w:tr>
      <w:tr w14:paraId="17A52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5F12905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安城镇</w:t>
            </w:r>
          </w:p>
        </w:tc>
        <w:tc>
          <w:tcPr>
            <w:tcW w:w="1000" w:type="pct"/>
            <w:vAlign w:val="center"/>
          </w:tcPr>
          <w:p w14:paraId="4B9B174D">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12.8</w:t>
            </w:r>
          </w:p>
        </w:tc>
        <w:tc>
          <w:tcPr>
            <w:tcW w:w="1000" w:type="pct"/>
            <w:vAlign w:val="center"/>
          </w:tcPr>
          <w:p w14:paraId="1F17E1BC">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13.2</w:t>
            </w:r>
          </w:p>
        </w:tc>
        <w:tc>
          <w:tcPr>
            <w:tcW w:w="1000" w:type="pct"/>
            <w:vAlign w:val="center"/>
          </w:tcPr>
          <w:p w14:paraId="723BBD24">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4.6</w:t>
            </w:r>
          </w:p>
        </w:tc>
        <w:tc>
          <w:tcPr>
            <w:tcW w:w="1000" w:type="pct"/>
            <w:vAlign w:val="center"/>
          </w:tcPr>
          <w:p w14:paraId="17D9BFF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4.7</w:t>
            </w:r>
          </w:p>
        </w:tc>
      </w:tr>
      <w:tr w14:paraId="558CF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34FB228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东阿镇</w:t>
            </w:r>
          </w:p>
        </w:tc>
        <w:tc>
          <w:tcPr>
            <w:tcW w:w="1000" w:type="pct"/>
            <w:vAlign w:val="center"/>
          </w:tcPr>
          <w:p w14:paraId="1E9A2651">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6.6</w:t>
            </w:r>
          </w:p>
        </w:tc>
        <w:tc>
          <w:tcPr>
            <w:tcW w:w="1000" w:type="pct"/>
            <w:vAlign w:val="center"/>
          </w:tcPr>
          <w:p w14:paraId="75ED834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6.8</w:t>
            </w:r>
          </w:p>
        </w:tc>
        <w:tc>
          <w:tcPr>
            <w:tcW w:w="1000" w:type="pct"/>
            <w:vAlign w:val="center"/>
          </w:tcPr>
          <w:p w14:paraId="33D112E1">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2.4</w:t>
            </w:r>
          </w:p>
        </w:tc>
        <w:tc>
          <w:tcPr>
            <w:tcW w:w="1000" w:type="pct"/>
            <w:vAlign w:val="center"/>
          </w:tcPr>
          <w:p w14:paraId="1ABCBC3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2.4</w:t>
            </w:r>
          </w:p>
        </w:tc>
      </w:tr>
      <w:tr w14:paraId="0D981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1C94353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孔村镇</w:t>
            </w:r>
          </w:p>
        </w:tc>
        <w:tc>
          <w:tcPr>
            <w:tcW w:w="1000" w:type="pct"/>
            <w:vAlign w:val="center"/>
          </w:tcPr>
          <w:p w14:paraId="4164E439">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10.4</w:t>
            </w:r>
          </w:p>
        </w:tc>
        <w:tc>
          <w:tcPr>
            <w:tcW w:w="1000" w:type="pct"/>
            <w:vAlign w:val="center"/>
          </w:tcPr>
          <w:p w14:paraId="5BB4520F">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10.7</w:t>
            </w:r>
          </w:p>
        </w:tc>
        <w:tc>
          <w:tcPr>
            <w:tcW w:w="1000" w:type="pct"/>
            <w:vAlign w:val="center"/>
          </w:tcPr>
          <w:p w14:paraId="2FBCE34A">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3.7</w:t>
            </w:r>
          </w:p>
        </w:tc>
        <w:tc>
          <w:tcPr>
            <w:tcW w:w="1000" w:type="pct"/>
            <w:vAlign w:val="center"/>
          </w:tcPr>
          <w:p w14:paraId="56942D3B">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3.8</w:t>
            </w:r>
          </w:p>
        </w:tc>
      </w:tr>
      <w:tr w14:paraId="71A96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1EDFD94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孝直镇</w:t>
            </w:r>
          </w:p>
        </w:tc>
        <w:tc>
          <w:tcPr>
            <w:tcW w:w="1000" w:type="pct"/>
            <w:vAlign w:val="center"/>
          </w:tcPr>
          <w:p w14:paraId="1D4D1101">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8.9</w:t>
            </w:r>
          </w:p>
        </w:tc>
        <w:tc>
          <w:tcPr>
            <w:tcW w:w="1000" w:type="pct"/>
            <w:vAlign w:val="center"/>
          </w:tcPr>
          <w:p w14:paraId="4B26A3FA">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9.1</w:t>
            </w:r>
          </w:p>
        </w:tc>
        <w:tc>
          <w:tcPr>
            <w:tcW w:w="1000" w:type="pct"/>
            <w:vAlign w:val="center"/>
          </w:tcPr>
          <w:p w14:paraId="246D7C1F">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3.2</w:t>
            </w:r>
          </w:p>
        </w:tc>
        <w:tc>
          <w:tcPr>
            <w:tcW w:w="1000" w:type="pct"/>
            <w:vAlign w:val="center"/>
          </w:tcPr>
          <w:p w14:paraId="3092253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3.2</w:t>
            </w:r>
          </w:p>
        </w:tc>
      </w:tr>
      <w:tr w14:paraId="1928A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0A572C6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玫瑰镇</w:t>
            </w:r>
          </w:p>
        </w:tc>
        <w:tc>
          <w:tcPr>
            <w:tcW w:w="1000" w:type="pct"/>
            <w:vAlign w:val="center"/>
          </w:tcPr>
          <w:p w14:paraId="0D983683">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7.3</w:t>
            </w:r>
          </w:p>
        </w:tc>
        <w:tc>
          <w:tcPr>
            <w:tcW w:w="1000" w:type="pct"/>
            <w:vAlign w:val="center"/>
          </w:tcPr>
          <w:p w14:paraId="7AB72266">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7.6</w:t>
            </w:r>
          </w:p>
        </w:tc>
        <w:tc>
          <w:tcPr>
            <w:tcW w:w="1000" w:type="pct"/>
            <w:vAlign w:val="center"/>
          </w:tcPr>
          <w:p w14:paraId="5EAFAAAC">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2.6</w:t>
            </w:r>
          </w:p>
        </w:tc>
        <w:tc>
          <w:tcPr>
            <w:tcW w:w="1000" w:type="pct"/>
            <w:vAlign w:val="center"/>
          </w:tcPr>
          <w:p w14:paraId="236FF577">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2.7</w:t>
            </w:r>
          </w:p>
        </w:tc>
      </w:tr>
      <w:tr w14:paraId="6BEDB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46AA2EB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洪范池镇</w:t>
            </w:r>
          </w:p>
        </w:tc>
        <w:tc>
          <w:tcPr>
            <w:tcW w:w="1000" w:type="pct"/>
            <w:vAlign w:val="center"/>
          </w:tcPr>
          <w:p w14:paraId="719CBA27">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5.3</w:t>
            </w:r>
          </w:p>
        </w:tc>
        <w:tc>
          <w:tcPr>
            <w:tcW w:w="1000" w:type="pct"/>
            <w:vAlign w:val="center"/>
          </w:tcPr>
          <w:p w14:paraId="16C2289D">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5.4</w:t>
            </w:r>
          </w:p>
        </w:tc>
        <w:tc>
          <w:tcPr>
            <w:tcW w:w="1000" w:type="pct"/>
            <w:vAlign w:val="center"/>
          </w:tcPr>
          <w:p w14:paraId="319CD3BF">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1.9</w:t>
            </w:r>
          </w:p>
        </w:tc>
        <w:tc>
          <w:tcPr>
            <w:tcW w:w="1000" w:type="pct"/>
            <w:vAlign w:val="center"/>
          </w:tcPr>
          <w:p w14:paraId="249E674D">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1.9</w:t>
            </w:r>
          </w:p>
        </w:tc>
      </w:tr>
      <w:tr w14:paraId="07A53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0" w:type="pct"/>
            <w:vAlign w:val="center"/>
          </w:tcPr>
          <w:p w14:paraId="195DFEB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小计</w:t>
            </w:r>
          </w:p>
        </w:tc>
        <w:tc>
          <w:tcPr>
            <w:tcW w:w="1000" w:type="pct"/>
            <w:vAlign w:val="center"/>
          </w:tcPr>
          <w:p w14:paraId="222AB567">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248</w:t>
            </w:r>
          </w:p>
        </w:tc>
        <w:tc>
          <w:tcPr>
            <w:tcW w:w="1000" w:type="pct"/>
            <w:vAlign w:val="center"/>
          </w:tcPr>
          <w:p w14:paraId="47841F9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255.3</w:t>
            </w:r>
          </w:p>
        </w:tc>
        <w:tc>
          <w:tcPr>
            <w:tcW w:w="1000" w:type="pct"/>
            <w:vAlign w:val="center"/>
          </w:tcPr>
          <w:p w14:paraId="32BC6ECC">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88.5</w:t>
            </w:r>
          </w:p>
        </w:tc>
        <w:tc>
          <w:tcPr>
            <w:tcW w:w="1000" w:type="pct"/>
            <w:vAlign w:val="center"/>
          </w:tcPr>
          <w:p w14:paraId="5B7DE41E">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90.9</w:t>
            </w:r>
          </w:p>
        </w:tc>
      </w:tr>
    </w:tbl>
    <w:p w14:paraId="45B5D65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2、城镇公共</w:t>
      </w:r>
    </w:p>
    <w:p w14:paraId="076245B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本次规划城镇公共用水只考虑中心城区和安城镇，结合中心城区和安城镇不同规划年城镇人口预测中心城区和安城镇的城镇公共用水，其中中心城区2030年城镇公共需水量为261.7万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，2035年城镇公共需水量为314.6万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；安城镇2030年城镇公共需水量为82.6万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，2035年城镇公共需水量为99.4万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35A0A26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按照《山东省水利厅等8厅关于加强再生水配置利用工作的意见》及济南市关于再生水利用要求，结合平阴县规划年再生水可利用情况，初步确定近期和远期规划年绿化灌溉和道路喷洒用水再生水配置比例为100</w:t>
      </w:r>
      <w:r>
        <w:rPr>
          <w:color w:val="000000" w:themeColor="text1"/>
          <w:sz w:val="28"/>
          <w:szCs w:val="28"/>
        </w:rPr>
        <w:t>%</w:t>
      </w:r>
      <w:r>
        <w:rPr>
          <w:rFonts w:hint="eastAsia"/>
          <w:color w:val="000000" w:themeColor="text1"/>
          <w:sz w:val="28"/>
          <w:szCs w:val="28"/>
        </w:rPr>
        <w:t>，近期城镇公共用水再生水配置比例为10%计，远期城镇公共用水再生水配置比例为20%计。</w:t>
      </w:r>
    </w:p>
    <w:p w14:paraId="5D3CF2B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经计算，2030年平阴县城镇公共再生水用水量为34.5万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，其中中心城区城镇公共再生水用水量为26.2万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，安城镇城镇公共再生水用水量为8.3万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；2035年平阴县城镇公共再生水用水量为83.0万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，其中中心城区城镇公共再生水用水量为63.0万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，安城镇城镇公共再生水用水量为20.0万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27EC304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3、城市杂用水</w:t>
      </w:r>
    </w:p>
    <w:p w14:paraId="70AB0297">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经计算，2030年平阴县城市杂用水再生水用水量为371万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，其中城镇公共再生水用水量为34.5万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，绿化灌溉再生水用水量为248万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，道路喷洒再生水用水量为88.5万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；2035年平阴县城市杂用水再生水用水量为429.2万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，其中城镇公共再生水用水量为83.0万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，绿化灌溉再生水用水量为255.3万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，道路喷洒再生水用水量为90.9万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；具体详见表4.2.2。</w:t>
      </w:r>
    </w:p>
    <w:p w14:paraId="3D414A99">
      <w:pPr>
        <w:tabs>
          <w:tab w:val="left" w:pos="5400"/>
        </w:tabs>
        <w:spacing w:line="600" w:lineRule="exact"/>
        <w:jc w:val="center"/>
        <w:rPr>
          <w:b/>
          <w:bCs/>
          <w:color w:val="000000" w:themeColor="text1"/>
          <w:sz w:val="24"/>
        </w:rPr>
      </w:pPr>
      <w:bookmarkStart w:id="140" w:name="_Toc144243727"/>
      <w:bookmarkStart w:id="141" w:name="_Toc143780498"/>
      <w:r>
        <w:rPr>
          <w:rFonts w:hint="eastAsia"/>
          <w:b/>
          <w:bCs/>
          <w:color w:val="000000" w:themeColor="text1"/>
          <w:sz w:val="24"/>
        </w:rPr>
        <w:t>表</w:t>
      </w:r>
      <w:r>
        <w:rPr>
          <w:b/>
          <w:bCs/>
          <w:color w:val="000000" w:themeColor="text1"/>
          <w:sz w:val="24"/>
        </w:rPr>
        <w:t>4.2</w:t>
      </w:r>
      <w:r>
        <w:rPr>
          <w:rFonts w:hint="eastAsia"/>
          <w:b/>
          <w:bCs/>
          <w:color w:val="000000" w:themeColor="text1"/>
          <w:sz w:val="24"/>
        </w:rPr>
        <w:t>.2</w:t>
      </w:r>
      <w:r>
        <w:rPr>
          <w:b/>
          <w:bCs/>
          <w:color w:val="000000" w:themeColor="text1"/>
          <w:sz w:val="24"/>
        </w:rPr>
        <w:t xml:space="preserve">  </w:t>
      </w:r>
      <w:r>
        <w:rPr>
          <w:rFonts w:hint="eastAsia"/>
          <w:b/>
          <w:bCs/>
          <w:color w:val="000000" w:themeColor="text1"/>
          <w:sz w:val="24"/>
        </w:rPr>
        <w:t>规划年平阴县各区域城市杂用水再生水用水量预测表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1007"/>
        <w:gridCol w:w="989"/>
        <w:gridCol w:w="914"/>
        <w:gridCol w:w="915"/>
        <w:gridCol w:w="840"/>
        <w:gridCol w:w="840"/>
        <w:gridCol w:w="840"/>
        <w:gridCol w:w="837"/>
      </w:tblGrid>
      <w:tr w14:paraId="4C998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Merge w:val="restart"/>
            <w:vAlign w:val="center"/>
          </w:tcPr>
          <w:p w14:paraId="1982819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区域</w:t>
            </w:r>
          </w:p>
        </w:tc>
        <w:tc>
          <w:tcPr>
            <w:tcW w:w="1171" w:type="pct"/>
            <w:gridSpan w:val="2"/>
            <w:vAlign w:val="center"/>
          </w:tcPr>
          <w:p w14:paraId="5952382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绿化灌溉</w:t>
            </w:r>
          </w:p>
          <w:p w14:paraId="3E951EF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p>
        </w:tc>
        <w:tc>
          <w:tcPr>
            <w:tcW w:w="1073" w:type="pct"/>
            <w:gridSpan w:val="2"/>
            <w:vAlign w:val="center"/>
          </w:tcPr>
          <w:p w14:paraId="79D248F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道路及广场喷洒</w:t>
            </w:r>
          </w:p>
          <w:p w14:paraId="1345238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p>
        </w:tc>
        <w:tc>
          <w:tcPr>
            <w:tcW w:w="986" w:type="pct"/>
            <w:gridSpan w:val="2"/>
            <w:vAlign w:val="center"/>
          </w:tcPr>
          <w:p w14:paraId="5E702A0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城镇公共用水</w:t>
            </w:r>
          </w:p>
          <w:p w14:paraId="1009861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p>
        </w:tc>
        <w:tc>
          <w:tcPr>
            <w:tcW w:w="984" w:type="pct"/>
            <w:gridSpan w:val="2"/>
            <w:vAlign w:val="center"/>
          </w:tcPr>
          <w:p w14:paraId="586B077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城市杂用水</w:t>
            </w:r>
          </w:p>
          <w:p w14:paraId="1D0B110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p>
        </w:tc>
      </w:tr>
      <w:tr w14:paraId="1C450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Merge w:val="continue"/>
            <w:vAlign w:val="center"/>
          </w:tcPr>
          <w:p w14:paraId="384A2752">
            <w:pPr>
              <w:widowControl/>
              <w:adjustRightInd w:val="0"/>
              <w:snapToGrid w:val="0"/>
              <w:ind w:left="-105" w:leftChars="-50" w:right="-105" w:rightChars="-50"/>
              <w:jc w:val="center"/>
              <w:rPr>
                <w:color w:val="000000" w:themeColor="text1"/>
                <w:kern w:val="0"/>
                <w:sz w:val="22"/>
                <w:szCs w:val="22"/>
              </w:rPr>
            </w:pPr>
          </w:p>
        </w:tc>
        <w:tc>
          <w:tcPr>
            <w:tcW w:w="591" w:type="pct"/>
            <w:vAlign w:val="center"/>
          </w:tcPr>
          <w:p w14:paraId="0FD343B1">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2030年</w:t>
            </w:r>
          </w:p>
        </w:tc>
        <w:tc>
          <w:tcPr>
            <w:tcW w:w="580" w:type="pct"/>
            <w:vAlign w:val="center"/>
          </w:tcPr>
          <w:p w14:paraId="36D89B0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2035年</w:t>
            </w:r>
          </w:p>
        </w:tc>
        <w:tc>
          <w:tcPr>
            <w:tcW w:w="536" w:type="pct"/>
            <w:vAlign w:val="center"/>
          </w:tcPr>
          <w:p w14:paraId="2EC0C24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2030年</w:t>
            </w:r>
          </w:p>
        </w:tc>
        <w:tc>
          <w:tcPr>
            <w:tcW w:w="537" w:type="pct"/>
            <w:vAlign w:val="center"/>
          </w:tcPr>
          <w:p w14:paraId="33E8CF24">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2035年</w:t>
            </w:r>
          </w:p>
        </w:tc>
        <w:tc>
          <w:tcPr>
            <w:tcW w:w="493" w:type="pct"/>
            <w:vAlign w:val="center"/>
          </w:tcPr>
          <w:p w14:paraId="055F734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2030年</w:t>
            </w:r>
          </w:p>
        </w:tc>
        <w:tc>
          <w:tcPr>
            <w:tcW w:w="493" w:type="pct"/>
            <w:vAlign w:val="center"/>
          </w:tcPr>
          <w:p w14:paraId="39D5D3B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2035年</w:t>
            </w:r>
          </w:p>
        </w:tc>
        <w:tc>
          <w:tcPr>
            <w:tcW w:w="493" w:type="pct"/>
            <w:vAlign w:val="center"/>
          </w:tcPr>
          <w:p w14:paraId="5B27EF6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2030年</w:t>
            </w:r>
          </w:p>
        </w:tc>
        <w:tc>
          <w:tcPr>
            <w:tcW w:w="491" w:type="pct"/>
            <w:vAlign w:val="center"/>
          </w:tcPr>
          <w:p w14:paraId="2618B0D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2035年</w:t>
            </w:r>
          </w:p>
        </w:tc>
      </w:tr>
      <w:tr w14:paraId="13785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1E4BB3E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中心城区</w:t>
            </w:r>
          </w:p>
        </w:tc>
        <w:tc>
          <w:tcPr>
            <w:tcW w:w="591" w:type="pct"/>
            <w:vAlign w:val="center"/>
          </w:tcPr>
          <w:p w14:paraId="59409AF9">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196.7</w:t>
            </w:r>
          </w:p>
        </w:tc>
        <w:tc>
          <w:tcPr>
            <w:tcW w:w="580" w:type="pct"/>
            <w:vAlign w:val="center"/>
          </w:tcPr>
          <w:p w14:paraId="1E86334D">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202.5</w:t>
            </w:r>
          </w:p>
        </w:tc>
        <w:tc>
          <w:tcPr>
            <w:tcW w:w="536" w:type="pct"/>
            <w:noWrap/>
            <w:vAlign w:val="center"/>
          </w:tcPr>
          <w:p w14:paraId="1D6AD99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70.1</w:t>
            </w:r>
          </w:p>
        </w:tc>
        <w:tc>
          <w:tcPr>
            <w:tcW w:w="537" w:type="pct"/>
            <w:noWrap/>
            <w:vAlign w:val="center"/>
          </w:tcPr>
          <w:p w14:paraId="2729DCFB">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72.2</w:t>
            </w:r>
          </w:p>
        </w:tc>
        <w:tc>
          <w:tcPr>
            <w:tcW w:w="493" w:type="pct"/>
            <w:noWrap/>
            <w:vAlign w:val="center"/>
          </w:tcPr>
          <w:p w14:paraId="0C0F5756">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26.2</w:t>
            </w:r>
          </w:p>
        </w:tc>
        <w:tc>
          <w:tcPr>
            <w:tcW w:w="493" w:type="pct"/>
            <w:noWrap/>
            <w:vAlign w:val="center"/>
          </w:tcPr>
          <w:p w14:paraId="43964307">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63</w:t>
            </w:r>
          </w:p>
        </w:tc>
        <w:tc>
          <w:tcPr>
            <w:tcW w:w="493" w:type="pct"/>
            <w:noWrap/>
            <w:vAlign w:val="center"/>
          </w:tcPr>
          <w:p w14:paraId="769633A3">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293</w:t>
            </w:r>
          </w:p>
        </w:tc>
        <w:tc>
          <w:tcPr>
            <w:tcW w:w="491" w:type="pct"/>
            <w:noWrap/>
            <w:vAlign w:val="center"/>
          </w:tcPr>
          <w:p w14:paraId="7B47FB1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337.7</w:t>
            </w:r>
          </w:p>
        </w:tc>
      </w:tr>
      <w:tr w14:paraId="2A07B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0A16443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安城镇</w:t>
            </w:r>
          </w:p>
        </w:tc>
        <w:tc>
          <w:tcPr>
            <w:tcW w:w="591" w:type="pct"/>
            <w:vAlign w:val="center"/>
          </w:tcPr>
          <w:p w14:paraId="13445B9C">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12.8</w:t>
            </w:r>
          </w:p>
        </w:tc>
        <w:tc>
          <w:tcPr>
            <w:tcW w:w="580" w:type="pct"/>
            <w:vAlign w:val="center"/>
          </w:tcPr>
          <w:p w14:paraId="407B30C9">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13.2</w:t>
            </w:r>
          </w:p>
        </w:tc>
        <w:tc>
          <w:tcPr>
            <w:tcW w:w="536" w:type="pct"/>
            <w:noWrap/>
            <w:vAlign w:val="center"/>
          </w:tcPr>
          <w:p w14:paraId="510B62F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4.6</w:t>
            </w:r>
          </w:p>
        </w:tc>
        <w:tc>
          <w:tcPr>
            <w:tcW w:w="537" w:type="pct"/>
            <w:noWrap/>
            <w:vAlign w:val="center"/>
          </w:tcPr>
          <w:p w14:paraId="3CDF7BD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4.7</w:t>
            </w:r>
          </w:p>
        </w:tc>
        <w:tc>
          <w:tcPr>
            <w:tcW w:w="493" w:type="pct"/>
            <w:noWrap/>
            <w:vAlign w:val="center"/>
          </w:tcPr>
          <w:p w14:paraId="649DA03E">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8.3</w:t>
            </w:r>
          </w:p>
        </w:tc>
        <w:tc>
          <w:tcPr>
            <w:tcW w:w="493" w:type="pct"/>
            <w:noWrap/>
            <w:vAlign w:val="center"/>
          </w:tcPr>
          <w:p w14:paraId="0E1967E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20</w:t>
            </w:r>
          </w:p>
        </w:tc>
        <w:tc>
          <w:tcPr>
            <w:tcW w:w="493" w:type="pct"/>
            <w:noWrap/>
            <w:vAlign w:val="center"/>
          </w:tcPr>
          <w:p w14:paraId="7FB2F827">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25.7</w:t>
            </w:r>
          </w:p>
        </w:tc>
        <w:tc>
          <w:tcPr>
            <w:tcW w:w="491" w:type="pct"/>
            <w:noWrap/>
            <w:vAlign w:val="center"/>
          </w:tcPr>
          <w:p w14:paraId="0FE6F31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37.9</w:t>
            </w:r>
          </w:p>
        </w:tc>
      </w:tr>
      <w:tr w14:paraId="33167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05682E6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东阿镇</w:t>
            </w:r>
          </w:p>
        </w:tc>
        <w:tc>
          <w:tcPr>
            <w:tcW w:w="591" w:type="pct"/>
            <w:vAlign w:val="center"/>
          </w:tcPr>
          <w:p w14:paraId="08C8D6A6">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6.6</w:t>
            </w:r>
          </w:p>
        </w:tc>
        <w:tc>
          <w:tcPr>
            <w:tcW w:w="580" w:type="pct"/>
            <w:vAlign w:val="center"/>
          </w:tcPr>
          <w:p w14:paraId="1BDF5EBF">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6.8</w:t>
            </w:r>
          </w:p>
        </w:tc>
        <w:tc>
          <w:tcPr>
            <w:tcW w:w="536" w:type="pct"/>
            <w:noWrap/>
            <w:vAlign w:val="center"/>
          </w:tcPr>
          <w:p w14:paraId="634280F4">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2.4</w:t>
            </w:r>
          </w:p>
        </w:tc>
        <w:tc>
          <w:tcPr>
            <w:tcW w:w="537" w:type="pct"/>
            <w:noWrap/>
            <w:vAlign w:val="center"/>
          </w:tcPr>
          <w:p w14:paraId="0959F9FE">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2.4</w:t>
            </w:r>
          </w:p>
        </w:tc>
        <w:tc>
          <w:tcPr>
            <w:tcW w:w="493" w:type="pct"/>
            <w:noWrap/>
            <w:vAlign w:val="center"/>
          </w:tcPr>
          <w:p w14:paraId="5BD8479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133F15D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7634C1F9">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9</w:t>
            </w:r>
          </w:p>
        </w:tc>
        <w:tc>
          <w:tcPr>
            <w:tcW w:w="491" w:type="pct"/>
            <w:noWrap/>
            <w:vAlign w:val="center"/>
          </w:tcPr>
          <w:p w14:paraId="61025F7F">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9.2</w:t>
            </w:r>
          </w:p>
        </w:tc>
      </w:tr>
      <w:tr w14:paraId="241DA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7FD2FDF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孔村镇</w:t>
            </w:r>
          </w:p>
        </w:tc>
        <w:tc>
          <w:tcPr>
            <w:tcW w:w="591" w:type="pct"/>
            <w:vAlign w:val="center"/>
          </w:tcPr>
          <w:p w14:paraId="5C66055C">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10.4</w:t>
            </w:r>
          </w:p>
        </w:tc>
        <w:tc>
          <w:tcPr>
            <w:tcW w:w="580" w:type="pct"/>
            <w:vAlign w:val="center"/>
          </w:tcPr>
          <w:p w14:paraId="50E87469">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10.7</w:t>
            </w:r>
          </w:p>
        </w:tc>
        <w:tc>
          <w:tcPr>
            <w:tcW w:w="536" w:type="pct"/>
            <w:noWrap/>
            <w:vAlign w:val="center"/>
          </w:tcPr>
          <w:p w14:paraId="00C6BFC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3.7</w:t>
            </w:r>
          </w:p>
        </w:tc>
        <w:tc>
          <w:tcPr>
            <w:tcW w:w="537" w:type="pct"/>
            <w:noWrap/>
            <w:vAlign w:val="center"/>
          </w:tcPr>
          <w:p w14:paraId="63B7204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3.8</w:t>
            </w:r>
          </w:p>
        </w:tc>
        <w:tc>
          <w:tcPr>
            <w:tcW w:w="493" w:type="pct"/>
            <w:noWrap/>
            <w:vAlign w:val="center"/>
          </w:tcPr>
          <w:p w14:paraId="035D795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3403E89A">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14FF1D1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14.1</w:t>
            </w:r>
          </w:p>
        </w:tc>
        <w:tc>
          <w:tcPr>
            <w:tcW w:w="491" w:type="pct"/>
            <w:noWrap/>
            <w:vAlign w:val="center"/>
          </w:tcPr>
          <w:p w14:paraId="1A0A9C5F">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14.5</w:t>
            </w:r>
          </w:p>
        </w:tc>
      </w:tr>
      <w:tr w14:paraId="56659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2179ED9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孝直镇</w:t>
            </w:r>
          </w:p>
        </w:tc>
        <w:tc>
          <w:tcPr>
            <w:tcW w:w="591" w:type="pct"/>
            <w:vAlign w:val="center"/>
          </w:tcPr>
          <w:p w14:paraId="5D9D7707">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8.9</w:t>
            </w:r>
          </w:p>
        </w:tc>
        <w:tc>
          <w:tcPr>
            <w:tcW w:w="580" w:type="pct"/>
            <w:vAlign w:val="center"/>
          </w:tcPr>
          <w:p w14:paraId="7CEC1CF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9.1</w:t>
            </w:r>
          </w:p>
        </w:tc>
        <w:tc>
          <w:tcPr>
            <w:tcW w:w="536" w:type="pct"/>
            <w:noWrap/>
            <w:vAlign w:val="center"/>
          </w:tcPr>
          <w:p w14:paraId="091FE5E8">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3.2</w:t>
            </w:r>
          </w:p>
        </w:tc>
        <w:tc>
          <w:tcPr>
            <w:tcW w:w="537" w:type="pct"/>
            <w:noWrap/>
            <w:vAlign w:val="center"/>
          </w:tcPr>
          <w:p w14:paraId="27C3B559">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3.2</w:t>
            </w:r>
          </w:p>
        </w:tc>
        <w:tc>
          <w:tcPr>
            <w:tcW w:w="493" w:type="pct"/>
            <w:noWrap/>
            <w:vAlign w:val="center"/>
          </w:tcPr>
          <w:p w14:paraId="1A10D66D">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12FEC4D4">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52D1B974">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12.1</w:t>
            </w:r>
          </w:p>
        </w:tc>
        <w:tc>
          <w:tcPr>
            <w:tcW w:w="491" w:type="pct"/>
            <w:noWrap/>
            <w:vAlign w:val="center"/>
          </w:tcPr>
          <w:p w14:paraId="52C4791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12.3</w:t>
            </w:r>
          </w:p>
        </w:tc>
      </w:tr>
      <w:tr w14:paraId="01316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11743D2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玫瑰镇</w:t>
            </w:r>
          </w:p>
        </w:tc>
        <w:tc>
          <w:tcPr>
            <w:tcW w:w="591" w:type="pct"/>
            <w:vAlign w:val="center"/>
          </w:tcPr>
          <w:p w14:paraId="335A5E67">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7.3</w:t>
            </w:r>
          </w:p>
        </w:tc>
        <w:tc>
          <w:tcPr>
            <w:tcW w:w="580" w:type="pct"/>
            <w:vAlign w:val="center"/>
          </w:tcPr>
          <w:p w14:paraId="2CE46478">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7.6</w:t>
            </w:r>
          </w:p>
        </w:tc>
        <w:tc>
          <w:tcPr>
            <w:tcW w:w="536" w:type="pct"/>
            <w:noWrap/>
            <w:vAlign w:val="center"/>
          </w:tcPr>
          <w:p w14:paraId="50EF1B4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2.6</w:t>
            </w:r>
          </w:p>
        </w:tc>
        <w:tc>
          <w:tcPr>
            <w:tcW w:w="537" w:type="pct"/>
            <w:noWrap/>
            <w:vAlign w:val="center"/>
          </w:tcPr>
          <w:p w14:paraId="7FF6116F">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2.7</w:t>
            </w:r>
          </w:p>
        </w:tc>
        <w:tc>
          <w:tcPr>
            <w:tcW w:w="493" w:type="pct"/>
            <w:noWrap/>
            <w:vAlign w:val="center"/>
          </w:tcPr>
          <w:p w14:paraId="1E07DAB1">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2E5D8C7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55E1CA94">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9.9</w:t>
            </w:r>
          </w:p>
        </w:tc>
        <w:tc>
          <w:tcPr>
            <w:tcW w:w="491" w:type="pct"/>
            <w:noWrap/>
            <w:vAlign w:val="center"/>
          </w:tcPr>
          <w:p w14:paraId="52256F73">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10.3</w:t>
            </w:r>
          </w:p>
        </w:tc>
      </w:tr>
      <w:tr w14:paraId="1CF00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5F452A0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洪范池镇</w:t>
            </w:r>
          </w:p>
        </w:tc>
        <w:tc>
          <w:tcPr>
            <w:tcW w:w="591" w:type="pct"/>
            <w:vAlign w:val="center"/>
          </w:tcPr>
          <w:p w14:paraId="7B6AD371">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5.3</w:t>
            </w:r>
          </w:p>
        </w:tc>
        <w:tc>
          <w:tcPr>
            <w:tcW w:w="580" w:type="pct"/>
            <w:vAlign w:val="center"/>
          </w:tcPr>
          <w:p w14:paraId="4C3E8D7C">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5.4</w:t>
            </w:r>
          </w:p>
        </w:tc>
        <w:tc>
          <w:tcPr>
            <w:tcW w:w="536" w:type="pct"/>
            <w:noWrap/>
            <w:vAlign w:val="center"/>
          </w:tcPr>
          <w:p w14:paraId="16C6BC92">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1.9</w:t>
            </w:r>
          </w:p>
        </w:tc>
        <w:tc>
          <w:tcPr>
            <w:tcW w:w="537" w:type="pct"/>
            <w:noWrap/>
            <w:vAlign w:val="center"/>
          </w:tcPr>
          <w:p w14:paraId="613CDD71">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1.9</w:t>
            </w:r>
          </w:p>
        </w:tc>
        <w:tc>
          <w:tcPr>
            <w:tcW w:w="493" w:type="pct"/>
            <w:noWrap/>
            <w:vAlign w:val="center"/>
          </w:tcPr>
          <w:p w14:paraId="77081EED">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0D97530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0</w:t>
            </w:r>
          </w:p>
        </w:tc>
        <w:tc>
          <w:tcPr>
            <w:tcW w:w="493" w:type="pct"/>
            <w:noWrap/>
            <w:vAlign w:val="center"/>
          </w:tcPr>
          <w:p w14:paraId="0157E5DE">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7.2</w:t>
            </w:r>
          </w:p>
        </w:tc>
        <w:tc>
          <w:tcPr>
            <w:tcW w:w="491" w:type="pct"/>
            <w:noWrap/>
            <w:vAlign w:val="center"/>
          </w:tcPr>
          <w:p w14:paraId="241A3856">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7.3</w:t>
            </w:r>
          </w:p>
        </w:tc>
      </w:tr>
      <w:tr w14:paraId="27836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6" w:type="pct"/>
            <w:vAlign w:val="center"/>
          </w:tcPr>
          <w:p w14:paraId="3F717A4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合计</w:t>
            </w:r>
          </w:p>
        </w:tc>
        <w:tc>
          <w:tcPr>
            <w:tcW w:w="591" w:type="pct"/>
            <w:noWrap/>
            <w:vAlign w:val="center"/>
          </w:tcPr>
          <w:p w14:paraId="7F6DDE88">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248</w:t>
            </w:r>
          </w:p>
        </w:tc>
        <w:tc>
          <w:tcPr>
            <w:tcW w:w="580" w:type="pct"/>
            <w:noWrap/>
            <w:vAlign w:val="center"/>
          </w:tcPr>
          <w:p w14:paraId="34FF07FC">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255.3</w:t>
            </w:r>
          </w:p>
        </w:tc>
        <w:tc>
          <w:tcPr>
            <w:tcW w:w="536" w:type="pct"/>
            <w:noWrap/>
            <w:vAlign w:val="center"/>
          </w:tcPr>
          <w:p w14:paraId="36E21CB3">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88.5</w:t>
            </w:r>
          </w:p>
        </w:tc>
        <w:tc>
          <w:tcPr>
            <w:tcW w:w="537" w:type="pct"/>
            <w:noWrap/>
            <w:vAlign w:val="center"/>
          </w:tcPr>
          <w:p w14:paraId="1B73C3D0">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90.9</w:t>
            </w:r>
          </w:p>
        </w:tc>
        <w:tc>
          <w:tcPr>
            <w:tcW w:w="493" w:type="pct"/>
            <w:noWrap/>
            <w:vAlign w:val="center"/>
          </w:tcPr>
          <w:p w14:paraId="432BD2A9">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34.5</w:t>
            </w:r>
          </w:p>
        </w:tc>
        <w:tc>
          <w:tcPr>
            <w:tcW w:w="493" w:type="pct"/>
            <w:noWrap/>
            <w:vAlign w:val="center"/>
          </w:tcPr>
          <w:p w14:paraId="033D7DE8">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83</w:t>
            </w:r>
          </w:p>
        </w:tc>
        <w:tc>
          <w:tcPr>
            <w:tcW w:w="493" w:type="pct"/>
            <w:noWrap/>
            <w:vAlign w:val="center"/>
          </w:tcPr>
          <w:p w14:paraId="6913DEF5">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371</w:t>
            </w:r>
          </w:p>
        </w:tc>
        <w:tc>
          <w:tcPr>
            <w:tcW w:w="491" w:type="pct"/>
            <w:noWrap/>
            <w:vAlign w:val="center"/>
          </w:tcPr>
          <w:p w14:paraId="3A5D4741">
            <w:pPr>
              <w:widowControl/>
              <w:adjustRightInd w:val="0"/>
              <w:snapToGrid w:val="0"/>
              <w:ind w:left="-105" w:leftChars="-50" w:right="-105" w:rightChars="-50"/>
              <w:jc w:val="center"/>
              <w:rPr>
                <w:color w:val="000000" w:themeColor="text1"/>
                <w:kern w:val="0"/>
                <w:sz w:val="22"/>
                <w:szCs w:val="22"/>
              </w:rPr>
            </w:pPr>
            <w:r>
              <w:rPr>
                <w:rFonts w:eastAsia="等线"/>
                <w:color w:val="000000"/>
                <w:sz w:val="22"/>
                <w:szCs w:val="22"/>
              </w:rPr>
              <w:t>429.2</w:t>
            </w:r>
          </w:p>
        </w:tc>
      </w:tr>
    </w:tbl>
    <w:p w14:paraId="444A39E8">
      <w:pPr>
        <w:autoSpaceDE w:val="0"/>
        <w:autoSpaceDN w:val="0"/>
        <w:adjustRightInd w:val="0"/>
        <w:snapToGrid w:val="0"/>
        <w:spacing w:line="600" w:lineRule="exact"/>
        <w:textAlignment w:val="bottom"/>
        <w:outlineLvl w:val="2"/>
        <w:rPr>
          <w:b/>
          <w:color w:val="000000" w:themeColor="text1"/>
          <w:sz w:val="28"/>
          <w:szCs w:val="28"/>
        </w:rPr>
      </w:pPr>
      <w:r>
        <w:rPr>
          <w:b/>
          <w:color w:val="000000" w:themeColor="text1"/>
          <w:sz w:val="28"/>
          <w:szCs w:val="28"/>
        </w:rPr>
        <w:t>4.2.3</w:t>
      </w:r>
      <w:r>
        <w:rPr>
          <w:rFonts w:hint="eastAsia"/>
          <w:b/>
          <w:color w:val="000000" w:themeColor="text1"/>
          <w:sz w:val="28"/>
          <w:szCs w:val="28"/>
        </w:rPr>
        <w:t xml:space="preserve"> 生态环境补水再生水用水量</w:t>
      </w:r>
      <w:bookmarkEnd w:id="140"/>
      <w:bookmarkEnd w:id="141"/>
    </w:p>
    <w:p w14:paraId="21C356C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生态环境补水是指城镇景观河流的生态补水。通过对平阴县各城镇景观河道分布现状及规划建设情况调研，城镇景观河流主要分布于中心城区和安城镇。</w:t>
      </w:r>
    </w:p>
    <w:p w14:paraId="73665500">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目前，计算河道生态景观需水量方法主要有水文学法、水力学法、栖息地模拟法、整体分析法等类型。水文学方法常用的代表方法有蒙大拿法和Qp法等，水力学法主要有湿周法和 R2-Cross法等，栖息地模拟法中IFIM法较为常用，整体分析法以BBM法为代表。</w:t>
      </w:r>
    </w:p>
    <w:p w14:paraId="70D5F48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本次规划针对平阴县河湖特点，结合《河湖生态环境需水计算规范》</w:t>
      </w:r>
      <w:r>
        <w:rPr>
          <w:rFonts w:hint="eastAsia"/>
          <w:color w:val="000000" w:themeColor="text1"/>
          <w:sz w:val="28"/>
          <w:szCs w:val="28"/>
          <w:lang w:eastAsia="zh-CN"/>
        </w:rPr>
        <w:t>（</w:t>
      </w:r>
      <w:r>
        <w:rPr>
          <w:rFonts w:hint="eastAsia"/>
          <w:color w:val="000000" w:themeColor="text1"/>
          <w:sz w:val="28"/>
          <w:szCs w:val="28"/>
        </w:rPr>
        <w:t>SL/T712-2021</w:t>
      </w:r>
      <w:r>
        <w:rPr>
          <w:rFonts w:hint="eastAsia"/>
          <w:color w:val="000000" w:themeColor="text1"/>
          <w:sz w:val="28"/>
          <w:szCs w:val="28"/>
          <w:lang w:eastAsia="zh-CN"/>
        </w:rPr>
        <w:t>）</w:t>
      </w:r>
      <w:r>
        <w:rPr>
          <w:rFonts w:hint="eastAsia"/>
          <w:color w:val="000000" w:themeColor="text1"/>
          <w:sz w:val="28"/>
          <w:szCs w:val="28"/>
        </w:rPr>
        <w:t>，选取蒙大拿法、湿周法、生态流速法等3种方法计算中心城区和安城镇的河道生态基流量，同时考虑蒸发水量、下渗水量、降水量，计算河道所需生态景观补水量。</w:t>
      </w:r>
    </w:p>
    <w:p w14:paraId="530D1DAE">
      <w:pPr>
        <w:tabs>
          <w:tab w:val="left" w:pos="5400"/>
        </w:tabs>
        <w:spacing w:line="600" w:lineRule="exact"/>
        <w:ind w:firstLine="560" w:firstLineChars="200"/>
        <w:rPr>
          <w:color w:val="000000" w:themeColor="text1"/>
          <w:sz w:val="28"/>
          <w:szCs w:val="28"/>
        </w:rPr>
      </w:pPr>
      <w:bookmarkStart w:id="142" w:name="_Hlk144071959"/>
      <w:r>
        <w:rPr>
          <w:rFonts w:hint="eastAsia"/>
          <w:color w:val="000000" w:themeColor="text1"/>
          <w:sz w:val="28"/>
          <w:szCs w:val="28"/>
        </w:rPr>
        <w:t>1、蒙大拿法</w:t>
      </w:r>
      <w:bookmarkEnd w:id="142"/>
      <w:r>
        <w:rPr>
          <w:rFonts w:hint="eastAsia"/>
          <w:color w:val="000000" w:themeColor="text1"/>
          <w:sz w:val="28"/>
          <w:szCs w:val="28"/>
        </w:rPr>
        <w:t>（Tennant法）</w:t>
      </w:r>
    </w:p>
    <w:p w14:paraId="133891BA">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蒙大拿法是根据水文资料以年平均径流量百分数来描述河道内流量状态的一种计算方法。根据蒙大拿法：多年平均流量的10%是保持大多数水生生物短时间生存所推荐的最低瞬时径流量；多年平均流量的30%是保持大多数水生动物良好栖息条件所推荐的基本流量</w:t>
      </w:r>
      <w:r>
        <w:rPr>
          <w:rFonts w:hint="eastAsia"/>
          <w:color w:val="000000" w:themeColor="text1"/>
          <w:sz w:val="28"/>
          <w:szCs w:val="28"/>
          <w:lang w:eastAsia="zh-CN"/>
        </w:rPr>
        <w:t>；</w:t>
      </w:r>
      <w:r>
        <w:rPr>
          <w:rFonts w:hint="eastAsia"/>
          <w:color w:val="000000" w:themeColor="text1"/>
          <w:sz w:val="28"/>
          <w:szCs w:val="28"/>
        </w:rPr>
        <w:t>多年平均流量的60%是为大多数水生生物在主要生长期提供优良至极好栖息条件所推荐的基本径流量。</w:t>
      </w:r>
    </w:p>
    <w:p w14:paraId="0B5F182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河流生态基流的计算方法及其适用性分析》，北方河流的生态基流应分为汛期和非汛期两个水期分别进行计算，一般非汛期生态基流不可低于多年平均天然径流量的10%，汛期生态基流应达到多年平均天然径流量的20%</w:t>
      </w:r>
      <w:r>
        <w:rPr>
          <w:rFonts w:hint="eastAsia"/>
          <w:color w:val="000000" w:themeColor="text1"/>
          <w:sz w:val="28"/>
          <w:szCs w:val="28"/>
          <w:lang w:eastAsia="zh-CN"/>
        </w:rPr>
        <w:t>～</w:t>
      </w:r>
      <w:r>
        <w:rPr>
          <w:rFonts w:hint="eastAsia"/>
          <w:color w:val="000000" w:themeColor="text1"/>
          <w:sz w:val="28"/>
          <w:szCs w:val="28"/>
        </w:rPr>
        <w:t>30%。</w:t>
      </w:r>
    </w:p>
    <w:p w14:paraId="07A6FD81">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2、生态流速法</w:t>
      </w:r>
    </w:p>
    <w:p w14:paraId="2CB1309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生态流速法是以流速作为反映生物栖息地指标，来确定河道内生态需水量。在用流速法计算河道基本生态需水量时，因藻类与无脊椎动物对水量的要求明显小于鱼类，而且鱼类对河流的水文变化敏感，因此选取鱼类为河道中的关键生物物种，生态流速需满足鱼类产卵的最低流速和鱼类喜欢的最低流速。</w:t>
      </w:r>
    </w:p>
    <w:p w14:paraId="2EC26976">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3、湿周法</w:t>
      </w:r>
    </w:p>
    <w:p w14:paraId="18F6283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湿周法是水力学法中最常用的方法，利用湿周作为水生生物栖息地指标，通过收集水生生物栖息地的河道尺寸及对应的流量数据，分析湿周与流量之间的关系，建立湿周</w:t>
      </w:r>
      <w:r>
        <w:rPr>
          <w:rFonts w:hint="eastAsia"/>
          <w:color w:val="000000" w:themeColor="text1"/>
          <w:sz w:val="28"/>
          <w:szCs w:val="28"/>
          <w:lang w:eastAsia="zh-CN"/>
        </w:rPr>
        <w:t>－</w:t>
      </w:r>
      <w:r>
        <w:rPr>
          <w:rFonts w:hint="eastAsia"/>
          <w:color w:val="000000" w:themeColor="text1"/>
          <w:sz w:val="28"/>
          <w:szCs w:val="28"/>
        </w:rPr>
        <w:t>流量的关系曲线。</w:t>
      </w:r>
    </w:p>
    <w:p w14:paraId="396437D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据《河流生态基流的计算方法及其适用性分析》确定平阴县中心城区和安城镇的景观河流生态补水量，2</w:t>
      </w:r>
      <w:r>
        <w:rPr>
          <w:color w:val="000000" w:themeColor="text1"/>
          <w:sz w:val="28"/>
          <w:szCs w:val="28"/>
        </w:rPr>
        <w:t>0</w:t>
      </w:r>
      <w:r>
        <w:rPr>
          <w:rFonts w:hint="eastAsia"/>
          <w:color w:val="000000" w:themeColor="text1"/>
          <w:sz w:val="28"/>
          <w:szCs w:val="28"/>
        </w:rPr>
        <w:t>30年生态补水量600万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，其中中心城区需水量为55</w:t>
      </w:r>
      <w:r>
        <w:rPr>
          <w:color w:val="000000" w:themeColor="text1"/>
          <w:sz w:val="28"/>
          <w:szCs w:val="28"/>
        </w:rPr>
        <w:t>0</w:t>
      </w:r>
      <w:r>
        <w:rPr>
          <w:rFonts w:hint="eastAsia"/>
          <w:color w:val="000000" w:themeColor="text1"/>
          <w:sz w:val="28"/>
          <w:szCs w:val="28"/>
        </w:rPr>
        <w:t>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、安城镇需水量为50万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。随着平阴县中心城区和安城镇的规划建设，生态水系将会扩建，根据《济南市平阴县“十四五”水利发展规划》确定，2</w:t>
      </w:r>
      <w:r>
        <w:rPr>
          <w:color w:val="000000" w:themeColor="text1"/>
          <w:sz w:val="28"/>
          <w:szCs w:val="28"/>
        </w:rPr>
        <w:t>035</w:t>
      </w:r>
      <w:r>
        <w:rPr>
          <w:rFonts w:hint="eastAsia"/>
          <w:color w:val="000000" w:themeColor="text1"/>
          <w:sz w:val="28"/>
          <w:szCs w:val="28"/>
        </w:rPr>
        <w:t>年生态补水量700万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，其中中心城区需水量为600万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、安城镇需水量为100万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1FC8E30C">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按照《关于加强再生水配置利用工作的意见》及济南市关于再生水利用要求，结合平阴县规划年再生水可利用情况，初步确定近期和远期规划年生态环境补水再生水配置比例按100</w:t>
      </w:r>
      <w:r>
        <w:rPr>
          <w:color w:val="000000" w:themeColor="text1"/>
          <w:sz w:val="28"/>
          <w:szCs w:val="28"/>
        </w:rPr>
        <w:t>%</w:t>
      </w:r>
      <w:r>
        <w:rPr>
          <w:rFonts w:hint="eastAsia"/>
          <w:color w:val="000000" w:themeColor="text1"/>
          <w:sz w:val="28"/>
          <w:szCs w:val="28"/>
        </w:rPr>
        <w:t>计。因此，</w:t>
      </w:r>
      <w:r>
        <w:rPr>
          <w:color w:val="000000" w:themeColor="text1"/>
          <w:sz w:val="28"/>
          <w:szCs w:val="28"/>
        </w:rPr>
        <w:t>20</w:t>
      </w:r>
      <w:r>
        <w:rPr>
          <w:rFonts w:hint="eastAsia"/>
          <w:color w:val="000000" w:themeColor="text1"/>
          <w:sz w:val="28"/>
          <w:szCs w:val="28"/>
        </w:rPr>
        <w:t>30年平阴县生态环境补水再生水用水量为600万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r>
        <w:rPr>
          <w:color w:val="000000" w:themeColor="text1"/>
          <w:sz w:val="28"/>
          <w:szCs w:val="28"/>
        </w:rPr>
        <w:t>2035</w:t>
      </w:r>
      <w:r>
        <w:rPr>
          <w:rFonts w:hint="eastAsia"/>
          <w:color w:val="000000" w:themeColor="text1"/>
          <w:sz w:val="28"/>
          <w:szCs w:val="28"/>
        </w:rPr>
        <w:t>年平阴县生态环境补水再生水用水量为700万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27312726">
      <w:pPr>
        <w:autoSpaceDE w:val="0"/>
        <w:autoSpaceDN w:val="0"/>
        <w:adjustRightInd w:val="0"/>
        <w:snapToGrid w:val="0"/>
        <w:spacing w:line="600" w:lineRule="exact"/>
        <w:textAlignment w:val="bottom"/>
        <w:outlineLvl w:val="2"/>
        <w:rPr>
          <w:b/>
          <w:color w:val="000000" w:themeColor="text1"/>
          <w:sz w:val="28"/>
          <w:szCs w:val="28"/>
        </w:rPr>
      </w:pPr>
      <w:bookmarkStart w:id="143" w:name="_Toc144243728"/>
      <w:bookmarkStart w:id="144" w:name="_Toc143780499"/>
      <w:r>
        <w:rPr>
          <w:b/>
          <w:color w:val="000000" w:themeColor="text1"/>
          <w:sz w:val="28"/>
          <w:szCs w:val="28"/>
        </w:rPr>
        <w:t>4.2.4</w:t>
      </w:r>
      <w:r>
        <w:rPr>
          <w:rFonts w:hint="eastAsia"/>
          <w:b/>
          <w:color w:val="000000" w:themeColor="text1"/>
          <w:sz w:val="28"/>
          <w:szCs w:val="28"/>
        </w:rPr>
        <w:t xml:space="preserve"> 再生水需水总量</w:t>
      </w:r>
      <w:bookmarkEnd w:id="143"/>
      <w:bookmarkEnd w:id="144"/>
    </w:p>
    <w:p w14:paraId="5062753B">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1、再生水需水总量计算</w:t>
      </w:r>
    </w:p>
    <w:p w14:paraId="73B267A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根据平阴县各行业及各城镇规划年再生水用水量预测可知，平阴县2</w:t>
      </w:r>
      <w:r>
        <w:rPr>
          <w:color w:val="000000" w:themeColor="text1"/>
          <w:sz w:val="28"/>
          <w:szCs w:val="28"/>
        </w:rPr>
        <w:t>0</w:t>
      </w:r>
      <w:r>
        <w:rPr>
          <w:rFonts w:hint="eastAsia"/>
          <w:color w:val="000000" w:themeColor="text1"/>
          <w:sz w:val="28"/>
          <w:szCs w:val="28"/>
        </w:rPr>
        <w:t>30年再生水用水量为1373.0万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年再生水用水量为1844.6万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，具体详见表</w:t>
      </w:r>
      <w:r>
        <w:rPr>
          <w:color w:val="000000" w:themeColor="text1"/>
          <w:sz w:val="28"/>
          <w:szCs w:val="28"/>
        </w:rPr>
        <w:t>4.2</w:t>
      </w:r>
      <w:r>
        <w:rPr>
          <w:rFonts w:hint="eastAsia"/>
          <w:color w:val="000000" w:themeColor="text1"/>
          <w:sz w:val="28"/>
          <w:szCs w:val="28"/>
        </w:rPr>
        <w:t>.4-1。</w:t>
      </w:r>
    </w:p>
    <w:p w14:paraId="66F30D68">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平阴县为推进各行业配置利用再生水，结合各区域用水需求将规划铺设布置再生水供水管网。因此，平阴县再生水需水总量需要考虑供水管网漏损，由于再生水供水管网全部为新建管网，则管网漏损率按总用水量的2</w:t>
      </w:r>
      <w:r>
        <w:rPr>
          <w:color w:val="000000" w:themeColor="text1"/>
          <w:sz w:val="28"/>
          <w:szCs w:val="28"/>
        </w:rPr>
        <w:t>%</w:t>
      </w:r>
      <w:r>
        <w:rPr>
          <w:rFonts w:hint="eastAsia"/>
          <w:color w:val="000000" w:themeColor="text1"/>
          <w:sz w:val="28"/>
          <w:szCs w:val="28"/>
        </w:rPr>
        <w:t>计。经计算，2</w:t>
      </w:r>
      <w:r>
        <w:rPr>
          <w:color w:val="000000" w:themeColor="text1"/>
          <w:sz w:val="28"/>
          <w:szCs w:val="28"/>
        </w:rPr>
        <w:t>0</w:t>
      </w:r>
      <w:r>
        <w:rPr>
          <w:rFonts w:hint="eastAsia"/>
          <w:color w:val="000000" w:themeColor="text1"/>
          <w:sz w:val="28"/>
          <w:szCs w:val="28"/>
        </w:rPr>
        <w:t>30年平阴县再生水供水管网漏损水量为28.0万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年为37.6万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，具体详见表</w:t>
      </w:r>
      <w:r>
        <w:rPr>
          <w:color w:val="000000" w:themeColor="text1"/>
          <w:sz w:val="28"/>
          <w:szCs w:val="28"/>
        </w:rPr>
        <w:t>4.2</w:t>
      </w:r>
      <w:r>
        <w:rPr>
          <w:rFonts w:hint="eastAsia"/>
          <w:color w:val="000000" w:themeColor="text1"/>
          <w:sz w:val="28"/>
          <w:szCs w:val="28"/>
        </w:rPr>
        <w:t>.4-1。</w:t>
      </w:r>
    </w:p>
    <w:p w14:paraId="4152CDC8">
      <w:pPr>
        <w:tabs>
          <w:tab w:val="left" w:pos="5400"/>
        </w:tabs>
        <w:spacing w:line="600" w:lineRule="exact"/>
        <w:jc w:val="right"/>
        <w:rPr>
          <w:b/>
          <w:bCs/>
          <w:color w:val="000000" w:themeColor="text1"/>
          <w:sz w:val="24"/>
        </w:rPr>
      </w:pPr>
      <w:r>
        <w:rPr>
          <w:rFonts w:hint="eastAsia"/>
          <w:b/>
          <w:bCs/>
          <w:color w:val="000000" w:themeColor="text1"/>
          <w:sz w:val="24"/>
        </w:rPr>
        <w:t>表</w:t>
      </w:r>
      <w:r>
        <w:rPr>
          <w:b/>
          <w:bCs/>
          <w:color w:val="000000" w:themeColor="text1"/>
          <w:sz w:val="24"/>
        </w:rPr>
        <w:t>4.2</w:t>
      </w:r>
      <w:r>
        <w:rPr>
          <w:rFonts w:hint="eastAsia"/>
          <w:b/>
          <w:bCs/>
          <w:color w:val="000000" w:themeColor="text1"/>
          <w:sz w:val="24"/>
        </w:rPr>
        <w:t>.4-1  平阴县不同规划年度再生水需水量计算成果表          单位：万m</w:t>
      </w:r>
      <w:r>
        <w:rPr>
          <w:rFonts w:hint="eastAsia"/>
          <w:b/>
          <w:bCs/>
          <w:color w:val="000000" w:themeColor="text1"/>
          <w:sz w:val="24"/>
          <w:vertAlign w:val="superscript"/>
        </w:rPr>
        <w:t>3</w:t>
      </w:r>
    </w:p>
    <w:tbl>
      <w:tblPr>
        <w:tblStyle w:val="46"/>
        <w:tblW w:w="5053" w:type="pct"/>
        <w:jc w:val="center"/>
        <w:tblLayout w:type="autofit"/>
        <w:tblCellMar>
          <w:top w:w="0" w:type="dxa"/>
          <w:left w:w="108" w:type="dxa"/>
          <w:bottom w:w="0" w:type="dxa"/>
          <w:right w:w="108" w:type="dxa"/>
        </w:tblCellMar>
      </w:tblPr>
      <w:tblGrid>
        <w:gridCol w:w="1376"/>
        <w:gridCol w:w="1374"/>
        <w:gridCol w:w="1377"/>
        <w:gridCol w:w="1554"/>
        <w:gridCol w:w="1468"/>
        <w:gridCol w:w="1463"/>
      </w:tblGrid>
      <w:tr w14:paraId="112EB3AA">
        <w:tblPrEx>
          <w:tblCellMar>
            <w:top w:w="0" w:type="dxa"/>
            <w:left w:w="108" w:type="dxa"/>
            <w:bottom w:w="0" w:type="dxa"/>
            <w:right w:w="108" w:type="dxa"/>
          </w:tblCellMar>
        </w:tblPrEx>
        <w:trPr>
          <w:trHeight w:val="454" w:hRule="atLeast"/>
          <w:jc w:val="center"/>
        </w:trPr>
        <w:tc>
          <w:tcPr>
            <w:tcW w:w="799" w:type="pct"/>
            <w:tcBorders>
              <w:top w:val="single" w:color="auto" w:sz="4" w:space="0"/>
              <w:left w:val="single" w:color="auto" w:sz="4" w:space="0"/>
              <w:bottom w:val="single" w:color="auto" w:sz="4" w:space="0"/>
              <w:right w:val="single" w:color="auto" w:sz="4" w:space="0"/>
            </w:tcBorders>
            <w:noWrap/>
            <w:vAlign w:val="center"/>
          </w:tcPr>
          <w:p w14:paraId="20AD3A0A">
            <w:pPr>
              <w:widowControl/>
              <w:adjustRightInd w:val="0"/>
              <w:snapToGrid w:val="0"/>
              <w:jc w:val="center"/>
              <w:rPr>
                <w:color w:val="000000"/>
                <w:kern w:val="0"/>
                <w:sz w:val="22"/>
                <w:szCs w:val="22"/>
              </w:rPr>
            </w:pPr>
            <w:r>
              <w:rPr>
                <w:color w:val="000000"/>
                <w:kern w:val="0"/>
                <w:sz w:val="22"/>
                <w:szCs w:val="22"/>
              </w:rPr>
              <w:t>规划年</w:t>
            </w:r>
          </w:p>
        </w:tc>
        <w:tc>
          <w:tcPr>
            <w:tcW w:w="798" w:type="pct"/>
            <w:tcBorders>
              <w:top w:val="single" w:color="auto" w:sz="4" w:space="0"/>
              <w:left w:val="nil"/>
              <w:bottom w:val="single" w:color="auto" w:sz="4" w:space="0"/>
              <w:right w:val="single" w:color="auto" w:sz="4" w:space="0"/>
            </w:tcBorders>
            <w:vAlign w:val="center"/>
          </w:tcPr>
          <w:p w14:paraId="309856F1">
            <w:pPr>
              <w:widowControl/>
              <w:adjustRightInd w:val="0"/>
              <w:snapToGrid w:val="0"/>
              <w:jc w:val="center"/>
              <w:rPr>
                <w:color w:val="000000"/>
                <w:kern w:val="0"/>
                <w:sz w:val="22"/>
                <w:szCs w:val="22"/>
              </w:rPr>
            </w:pPr>
            <w:r>
              <w:rPr>
                <w:color w:val="000000"/>
                <w:kern w:val="0"/>
                <w:sz w:val="22"/>
                <w:szCs w:val="22"/>
              </w:rPr>
              <w:t>工业用水</w:t>
            </w:r>
          </w:p>
        </w:tc>
        <w:tc>
          <w:tcPr>
            <w:tcW w:w="799" w:type="pct"/>
            <w:tcBorders>
              <w:top w:val="single" w:color="auto" w:sz="4" w:space="0"/>
              <w:left w:val="nil"/>
              <w:bottom w:val="single" w:color="auto" w:sz="4" w:space="0"/>
              <w:right w:val="single" w:color="auto" w:sz="4" w:space="0"/>
            </w:tcBorders>
            <w:vAlign w:val="center"/>
          </w:tcPr>
          <w:p w14:paraId="5F4C3610">
            <w:pPr>
              <w:widowControl/>
              <w:adjustRightInd w:val="0"/>
              <w:snapToGrid w:val="0"/>
              <w:jc w:val="center"/>
              <w:rPr>
                <w:color w:val="000000"/>
                <w:kern w:val="0"/>
                <w:sz w:val="22"/>
                <w:szCs w:val="22"/>
              </w:rPr>
            </w:pPr>
            <w:r>
              <w:rPr>
                <w:color w:val="000000"/>
                <w:kern w:val="0"/>
                <w:sz w:val="22"/>
                <w:szCs w:val="22"/>
              </w:rPr>
              <w:t>城市杂用水</w:t>
            </w:r>
          </w:p>
        </w:tc>
        <w:tc>
          <w:tcPr>
            <w:tcW w:w="902" w:type="pct"/>
            <w:tcBorders>
              <w:top w:val="single" w:color="auto" w:sz="4" w:space="0"/>
              <w:left w:val="nil"/>
              <w:bottom w:val="single" w:color="auto" w:sz="4" w:space="0"/>
              <w:right w:val="single" w:color="auto" w:sz="4" w:space="0"/>
            </w:tcBorders>
            <w:vAlign w:val="center"/>
          </w:tcPr>
          <w:p w14:paraId="09C2EDD7">
            <w:pPr>
              <w:widowControl/>
              <w:adjustRightInd w:val="0"/>
              <w:snapToGrid w:val="0"/>
              <w:jc w:val="center"/>
              <w:rPr>
                <w:color w:val="000000"/>
                <w:kern w:val="0"/>
                <w:sz w:val="22"/>
                <w:szCs w:val="22"/>
              </w:rPr>
            </w:pPr>
            <w:r>
              <w:rPr>
                <w:color w:val="000000"/>
                <w:kern w:val="0"/>
                <w:sz w:val="22"/>
                <w:szCs w:val="22"/>
              </w:rPr>
              <w:t>生态环境补水</w:t>
            </w:r>
          </w:p>
        </w:tc>
        <w:tc>
          <w:tcPr>
            <w:tcW w:w="852" w:type="pct"/>
            <w:tcBorders>
              <w:top w:val="single" w:color="auto" w:sz="4" w:space="0"/>
              <w:left w:val="nil"/>
              <w:bottom w:val="single" w:color="auto" w:sz="4" w:space="0"/>
              <w:right w:val="single" w:color="auto" w:sz="4" w:space="0"/>
            </w:tcBorders>
            <w:noWrap/>
            <w:vAlign w:val="center"/>
          </w:tcPr>
          <w:p w14:paraId="162B0569">
            <w:pPr>
              <w:widowControl/>
              <w:adjustRightInd w:val="0"/>
              <w:snapToGrid w:val="0"/>
              <w:jc w:val="center"/>
              <w:rPr>
                <w:color w:val="000000"/>
                <w:kern w:val="0"/>
                <w:sz w:val="22"/>
                <w:szCs w:val="22"/>
              </w:rPr>
            </w:pPr>
            <w:r>
              <w:rPr>
                <w:color w:val="000000"/>
                <w:kern w:val="0"/>
                <w:sz w:val="22"/>
                <w:szCs w:val="22"/>
              </w:rPr>
              <w:t>管网漏损量</w:t>
            </w:r>
          </w:p>
        </w:tc>
        <w:tc>
          <w:tcPr>
            <w:tcW w:w="849" w:type="pct"/>
            <w:tcBorders>
              <w:top w:val="single" w:color="auto" w:sz="4" w:space="0"/>
              <w:left w:val="nil"/>
              <w:bottom w:val="single" w:color="auto" w:sz="4" w:space="0"/>
              <w:right w:val="single" w:color="auto" w:sz="4" w:space="0"/>
            </w:tcBorders>
            <w:vAlign w:val="center"/>
          </w:tcPr>
          <w:p w14:paraId="0B7B3862">
            <w:pPr>
              <w:widowControl/>
              <w:adjustRightInd w:val="0"/>
              <w:snapToGrid w:val="0"/>
              <w:jc w:val="center"/>
              <w:rPr>
                <w:color w:val="000000"/>
                <w:kern w:val="0"/>
                <w:sz w:val="22"/>
                <w:szCs w:val="22"/>
              </w:rPr>
            </w:pPr>
            <w:r>
              <w:rPr>
                <w:color w:val="000000"/>
                <w:kern w:val="0"/>
                <w:sz w:val="22"/>
                <w:szCs w:val="22"/>
              </w:rPr>
              <w:t>再生水需水量</w:t>
            </w:r>
          </w:p>
        </w:tc>
      </w:tr>
      <w:tr w14:paraId="6570D2A8">
        <w:tblPrEx>
          <w:tblCellMar>
            <w:top w:w="0" w:type="dxa"/>
            <w:left w:w="108" w:type="dxa"/>
            <w:bottom w:w="0" w:type="dxa"/>
            <w:right w:w="108" w:type="dxa"/>
          </w:tblCellMar>
        </w:tblPrEx>
        <w:trPr>
          <w:trHeight w:val="454" w:hRule="atLeast"/>
          <w:jc w:val="center"/>
        </w:trPr>
        <w:tc>
          <w:tcPr>
            <w:tcW w:w="799" w:type="pct"/>
            <w:tcBorders>
              <w:top w:val="nil"/>
              <w:left w:val="single" w:color="auto" w:sz="4" w:space="0"/>
              <w:bottom w:val="single" w:color="auto" w:sz="4" w:space="0"/>
              <w:right w:val="single" w:color="auto" w:sz="4" w:space="0"/>
            </w:tcBorders>
            <w:vAlign w:val="center"/>
          </w:tcPr>
          <w:p w14:paraId="47AF2CBE">
            <w:pPr>
              <w:widowControl/>
              <w:adjustRightInd w:val="0"/>
              <w:snapToGrid w:val="0"/>
              <w:jc w:val="center"/>
              <w:rPr>
                <w:color w:val="000000"/>
                <w:kern w:val="0"/>
                <w:sz w:val="22"/>
                <w:szCs w:val="22"/>
              </w:rPr>
            </w:pPr>
            <w:r>
              <w:rPr>
                <w:color w:val="000000"/>
                <w:kern w:val="0"/>
                <w:sz w:val="22"/>
                <w:szCs w:val="22"/>
              </w:rPr>
              <w:t>2030</w:t>
            </w:r>
          </w:p>
        </w:tc>
        <w:tc>
          <w:tcPr>
            <w:tcW w:w="798" w:type="pct"/>
            <w:tcBorders>
              <w:top w:val="nil"/>
              <w:left w:val="nil"/>
              <w:bottom w:val="single" w:color="auto" w:sz="4" w:space="0"/>
              <w:right w:val="single" w:color="auto" w:sz="4" w:space="0"/>
            </w:tcBorders>
            <w:noWrap/>
            <w:vAlign w:val="center"/>
          </w:tcPr>
          <w:p w14:paraId="26544067">
            <w:pPr>
              <w:widowControl/>
              <w:adjustRightInd w:val="0"/>
              <w:snapToGrid w:val="0"/>
              <w:jc w:val="center"/>
              <w:rPr>
                <w:color w:val="000000"/>
                <w:kern w:val="0"/>
                <w:sz w:val="22"/>
                <w:szCs w:val="22"/>
              </w:rPr>
            </w:pPr>
            <w:r>
              <w:rPr>
                <w:rFonts w:eastAsia="等线"/>
                <w:color w:val="000000"/>
                <w:sz w:val="22"/>
                <w:szCs w:val="22"/>
              </w:rPr>
              <w:t>402</w:t>
            </w:r>
          </w:p>
        </w:tc>
        <w:tc>
          <w:tcPr>
            <w:tcW w:w="799" w:type="pct"/>
            <w:tcBorders>
              <w:top w:val="nil"/>
              <w:left w:val="nil"/>
              <w:bottom w:val="single" w:color="auto" w:sz="4" w:space="0"/>
              <w:right w:val="single" w:color="auto" w:sz="4" w:space="0"/>
            </w:tcBorders>
            <w:noWrap/>
            <w:vAlign w:val="center"/>
          </w:tcPr>
          <w:p w14:paraId="09377EEC">
            <w:pPr>
              <w:widowControl/>
              <w:adjustRightInd w:val="0"/>
              <w:snapToGrid w:val="0"/>
              <w:jc w:val="center"/>
              <w:rPr>
                <w:color w:val="000000"/>
                <w:kern w:val="0"/>
                <w:sz w:val="22"/>
                <w:szCs w:val="22"/>
              </w:rPr>
            </w:pPr>
            <w:r>
              <w:rPr>
                <w:rFonts w:eastAsia="等线"/>
                <w:color w:val="000000"/>
                <w:sz w:val="22"/>
                <w:szCs w:val="22"/>
              </w:rPr>
              <w:t>371</w:t>
            </w:r>
          </w:p>
        </w:tc>
        <w:tc>
          <w:tcPr>
            <w:tcW w:w="902" w:type="pct"/>
            <w:tcBorders>
              <w:top w:val="nil"/>
              <w:left w:val="nil"/>
              <w:bottom w:val="single" w:color="auto" w:sz="4" w:space="0"/>
              <w:right w:val="single" w:color="auto" w:sz="4" w:space="0"/>
            </w:tcBorders>
            <w:noWrap/>
            <w:vAlign w:val="center"/>
          </w:tcPr>
          <w:p w14:paraId="310CCC7F">
            <w:pPr>
              <w:widowControl/>
              <w:adjustRightInd w:val="0"/>
              <w:snapToGrid w:val="0"/>
              <w:jc w:val="center"/>
              <w:rPr>
                <w:color w:val="000000"/>
                <w:kern w:val="0"/>
                <w:sz w:val="22"/>
                <w:szCs w:val="22"/>
              </w:rPr>
            </w:pPr>
            <w:r>
              <w:rPr>
                <w:rFonts w:eastAsia="等线"/>
                <w:color w:val="000000"/>
                <w:sz w:val="22"/>
                <w:szCs w:val="22"/>
              </w:rPr>
              <w:t>600</w:t>
            </w:r>
          </w:p>
        </w:tc>
        <w:tc>
          <w:tcPr>
            <w:tcW w:w="852" w:type="pct"/>
            <w:tcBorders>
              <w:top w:val="nil"/>
              <w:left w:val="nil"/>
              <w:bottom w:val="single" w:color="auto" w:sz="4" w:space="0"/>
              <w:right w:val="single" w:color="auto" w:sz="4" w:space="0"/>
            </w:tcBorders>
            <w:noWrap/>
            <w:vAlign w:val="center"/>
          </w:tcPr>
          <w:p w14:paraId="530DF6C8">
            <w:pPr>
              <w:widowControl/>
              <w:adjustRightInd w:val="0"/>
              <w:snapToGrid w:val="0"/>
              <w:jc w:val="center"/>
              <w:rPr>
                <w:color w:val="000000"/>
                <w:kern w:val="0"/>
                <w:sz w:val="22"/>
                <w:szCs w:val="22"/>
              </w:rPr>
            </w:pPr>
            <w:r>
              <w:rPr>
                <w:rFonts w:eastAsia="等线"/>
                <w:color w:val="000000"/>
                <w:sz w:val="22"/>
                <w:szCs w:val="22"/>
              </w:rPr>
              <w:t>28</w:t>
            </w:r>
          </w:p>
        </w:tc>
        <w:tc>
          <w:tcPr>
            <w:tcW w:w="849" w:type="pct"/>
            <w:tcBorders>
              <w:top w:val="nil"/>
              <w:left w:val="nil"/>
              <w:bottom w:val="single" w:color="auto" w:sz="4" w:space="0"/>
              <w:right w:val="single" w:color="auto" w:sz="4" w:space="0"/>
            </w:tcBorders>
            <w:noWrap/>
            <w:vAlign w:val="center"/>
          </w:tcPr>
          <w:p w14:paraId="59C13DE8">
            <w:pPr>
              <w:widowControl/>
              <w:adjustRightInd w:val="0"/>
              <w:snapToGrid w:val="0"/>
              <w:jc w:val="center"/>
              <w:rPr>
                <w:color w:val="000000"/>
                <w:kern w:val="0"/>
                <w:sz w:val="22"/>
                <w:szCs w:val="22"/>
              </w:rPr>
            </w:pPr>
            <w:r>
              <w:rPr>
                <w:rFonts w:eastAsia="等线"/>
                <w:color w:val="000000"/>
                <w:sz w:val="22"/>
                <w:szCs w:val="22"/>
              </w:rPr>
              <w:t>1401.0</w:t>
            </w:r>
          </w:p>
        </w:tc>
      </w:tr>
      <w:tr w14:paraId="15D78400">
        <w:tblPrEx>
          <w:tblCellMar>
            <w:top w:w="0" w:type="dxa"/>
            <w:left w:w="108" w:type="dxa"/>
            <w:bottom w:w="0" w:type="dxa"/>
            <w:right w:w="108" w:type="dxa"/>
          </w:tblCellMar>
        </w:tblPrEx>
        <w:trPr>
          <w:trHeight w:val="454" w:hRule="atLeast"/>
          <w:jc w:val="center"/>
        </w:trPr>
        <w:tc>
          <w:tcPr>
            <w:tcW w:w="799" w:type="pct"/>
            <w:tcBorders>
              <w:top w:val="nil"/>
              <w:left w:val="single" w:color="auto" w:sz="4" w:space="0"/>
              <w:bottom w:val="single" w:color="auto" w:sz="4" w:space="0"/>
              <w:right w:val="single" w:color="auto" w:sz="4" w:space="0"/>
            </w:tcBorders>
            <w:vAlign w:val="center"/>
          </w:tcPr>
          <w:p w14:paraId="344E6E05">
            <w:pPr>
              <w:widowControl/>
              <w:adjustRightInd w:val="0"/>
              <w:snapToGrid w:val="0"/>
              <w:jc w:val="center"/>
              <w:rPr>
                <w:color w:val="000000"/>
                <w:kern w:val="0"/>
                <w:sz w:val="22"/>
                <w:szCs w:val="22"/>
              </w:rPr>
            </w:pPr>
            <w:r>
              <w:rPr>
                <w:color w:val="000000"/>
                <w:kern w:val="0"/>
                <w:sz w:val="22"/>
                <w:szCs w:val="22"/>
              </w:rPr>
              <w:t>2035</w:t>
            </w:r>
          </w:p>
        </w:tc>
        <w:tc>
          <w:tcPr>
            <w:tcW w:w="798" w:type="pct"/>
            <w:tcBorders>
              <w:top w:val="nil"/>
              <w:left w:val="nil"/>
              <w:bottom w:val="single" w:color="auto" w:sz="4" w:space="0"/>
              <w:right w:val="single" w:color="auto" w:sz="4" w:space="0"/>
            </w:tcBorders>
            <w:noWrap/>
            <w:vAlign w:val="center"/>
          </w:tcPr>
          <w:p w14:paraId="3FDF7A60">
            <w:pPr>
              <w:widowControl/>
              <w:adjustRightInd w:val="0"/>
              <w:snapToGrid w:val="0"/>
              <w:jc w:val="center"/>
              <w:rPr>
                <w:color w:val="000000"/>
                <w:kern w:val="0"/>
                <w:sz w:val="22"/>
                <w:szCs w:val="22"/>
              </w:rPr>
            </w:pPr>
            <w:r>
              <w:rPr>
                <w:rFonts w:eastAsia="等线"/>
                <w:color w:val="000000"/>
                <w:sz w:val="22"/>
                <w:szCs w:val="22"/>
              </w:rPr>
              <w:t>715.4</w:t>
            </w:r>
          </w:p>
        </w:tc>
        <w:tc>
          <w:tcPr>
            <w:tcW w:w="799" w:type="pct"/>
            <w:tcBorders>
              <w:top w:val="nil"/>
              <w:left w:val="nil"/>
              <w:bottom w:val="single" w:color="auto" w:sz="4" w:space="0"/>
              <w:right w:val="single" w:color="auto" w:sz="4" w:space="0"/>
            </w:tcBorders>
            <w:noWrap/>
            <w:vAlign w:val="center"/>
          </w:tcPr>
          <w:p w14:paraId="7B66966E">
            <w:pPr>
              <w:widowControl/>
              <w:adjustRightInd w:val="0"/>
              <w:snapToGrid w:val="0"/>
              <w:jc w:val="center"/>
              <w:rPr>
                <w:color w:val="000000"/>
                <w:kern w:val="0"/>
                <w:sz w:val="22"/>
                <w:szCs w:val="22"/>
              </w:rPr>
            </w:pPr>
            <w:r>
              <w:rPr>
                <w:rFonts w:eastAsia="等线"/>
                <w:color w:val="000000"/>
                <w:sz w:val="22"/>
                <w:szCs w:val="22"/>
              </w:rPr>
              <w:t>429.2</w:t>
            </w:r>
          </w:p>
        </w:tc>
        <w:tc>
          <w:tcPr>
            <w:tcW w:w="902" w:type="pct"/>
            <w:tcBorders>
              <w:top w:val="nil"/>
              <w:left w:val="nil"/>
              <w:bottom w:val="single" w:color="auto" w:sz="4" w:space="0"/>
              <w:right w:val="single" w:color="auto" w:sz="4" w:space="0"/>
            </w:tcBorders>
            <w:noWrap/>
            <w:vAlign w:val="center"/>
          </w:tcPr>
          <w:p w14:paraId="29A5E6D5">
            <w:pPr>
              <w:widowControl/>
              <w:adjustRightInd w:val="0"/>
              <w:snapToGrid w:val="0"/>
              <w:jc w:val="center"/>
              <w:rPr>
                <w:color w:val="000000"/>
                <w:kern w:val="0"/>
                <w:sz w:val="22"/>
                <w:szCs w:val="22"/>
              </w:rPr>
            </w:pPr>
            <w:r>
              <w:rPr>
                <w:rFonts w:eastAsia="等线"/>
                <w:color w:val="000000"/>
                <w:sz w:val="22"/>
                <w:szCs w:val="22"/>
              </w:rPr>
              <w:t>700</w:t>
            </w:r>
          </w:p>
        </w:tc>
        <w:tc>
          <w:tcPr>
            <w:tcW w:w="852" w:type="pct"/>
            <w:tcBorders>
              <w:top w:val="nil"/>
              <w:left w:val="nil"/>
              <w:bottom w:val="single" w:color="auto" w:sz="4" w:space="0"/>
              <w:right w:val="single" w:color="auto" w:sz="4" w:space="0"/>
            </w:tcBorders>
            <w:noWrap/>
            <w:vAlign w:val="center"/>
          </w:tcPr>
          <w:p w14:paraId="5C95505F">
            <w:pPr>
              <w:widowControl/>
              <w:adjustRightInd w:val="0"/>
              <w:snapToGrid w:val="0"/>
              <w:jc w:val="center"/>
              <w:rPr>
                <w:color w:val="000000"/>
                <w:kern w:val="0"/>
                <w:sz w:val="22"/>
                <w:szCs w:val="22"/>
              </w:rPr>
            </w:pPr>
            <w:r>
              <w:rPr>
                <w:rFonts w:eastAsia="等线"/>
                <w:color w:val="000000"/>
                <w:sz w:val="22"/>
                <w:szCs w:val="22"/>
              </w:rPr>
              <w:t>37.6</w:t>
            </w:r>
          </w:p>
        </w:tc>
        <w:tc>
          <w:tcPr>
            <w:tcW w:w="849" w:type="pct"/>
            <w:tcBorders>
              <w:top w:val="nil"/>
              <w:left w:val="nil"/>
              <w:bottom w:val="single" w:color="auto" w:sz="4" w:space="0"/>
              <w:right w:val="single" w:color="auto" w:sz="4" w:space="0"/>
            </w:tcBorders>
            <w:noWrap/>
            <w:vAlign w:val="center"/>
          </w:tcPr>
          <w:p w14:paraId="673921EE">
            <w:pPr>
              <w:widowControl/>
              <w:adjustRightInd w:val="0"/>
              <w:snapToGrid w:val="0"/>
              <w:jc w:val="center"/>
              <w:rPr>
                <w:color w:val="000000"/>
                <w:kern w:val="0"/>
                <w:sz w:val="22"/>
                <w:szCs w:val="22"/>
              </w:rPr>
            </w:pPr>
            <w:r>
              <w:rPr>
                <w:rFonts w:eastAsia="等线"/>
                <w:color w:val="000000"/>
                <w:sz w:val="22"/>
                <w:szCs w:val="22"/>
              </w:rPr>
              <w:t>1882.2</w:t>
            </w:r>
          </w:p>
        </w:tc>
      </w:tr>
    </w:tbl>
    <w:p w14:paraId="3DFC60A9">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综上计算可知，平阴县2</w:t>
      </w:r>
      <w:r>
        <w:rPr>
          <w:color w:val="000000" w:themeColor="text1"/>
          <w:sz w:val="28"/>
          <w:szCs w:val="28"/>
        </w:rPr>
        <w:t>0</w:t>
      </w:r>
      <w:r>
        <w:rPr>
          <w:rFonts w:hint="eastAsia"/>
          <w:color w:val="000000" w:themeColor="text1"/>
          <w:sz w:val="28"/>
          <w:szCs w:val="28"/>
        </w:rPr>
        <w:t>30年再生水总需水量为1401.0万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年再生水总需水量为1882.2万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，具体详见表</w:t>
      </w:r>
      <w:r>
        <w:rPr>
          <w:color w:val="000000" w:themeColor="text1"/>
          <w:sz w:val="28"/>
          <w:szCs w:val="28"/>
        </w:rPr>
        <w:t>4.2</w:t>
      </w:r>
      <w:r>
        <w:rPr>
          <w:rFonts w:hint="eastAsia"/>
          <w:color w:val="000000" w:themeColor="text1"/>
          <w:sz w:val="28"/>
          <w:szCs w:val="28"/>
        </w:rPr>
        <w:t>.4-1。平阴县各区镇不同规划年再生水用水需求具体详见表4.2.4-2。</w:t>
      </w:r>
    </w:p>
    <w:p w14:paraId="3B67589A">
      <w:pPr>
        <w:keepNext/>
        <w:tabs>
          <w:tab w:val="left" w:pos="5400"/>
        </w:tabs>
        <w:spacing w:line="600" w:lineRule="exact"/>
        <w:jc w:val="center"/>
        <w:rPr>
          <w:b/>
          <w:bCs/>
          <w:color w:val="000000" w:themeColor="text1"/>
          <w:sz w:val="24"/>
        </w:rPr>
      </w:pPr>
      <w:r>
        <w:rPr>
          <w:rFonts w:hint="eastAsia"/>
          <w:b/>
          <w:bCs/>
          <w:color w:val="000000" w:themeColor="text1"/>
          <w:sz w:val="24"/>
        </w:rPr>
        <w:t>表4.2.4-2    平阴县各区域不同规划年度再生水需水量预测成果表</w:t>
      </w:r>
    </w:p>
    <w:tbl>
      <w:tblPr>
        <w:tblStyle w:val="46"/>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936"/>
        <w:gridCol w:w="1173"/>
        <w:gridCol w:w="1310"/>
        <w:gridCol w:w="1387"/>
        <w:gridCol w:w="1270"/>
        <w:gridCol w:w="1486"/>
      </w:tblGrid>
      <w:tr w14:paraId="61403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Align w:val="center"/>
          </w:tcPr>
          <w:p w14:paraId="0D9F29D3">
            <w:pPr>
              <w:widowControl/>
              <w:ind w:left="-105" w:leftChars="-50" w:right="-105" w:rightChars="-50"/>
              <w:jc w:val="center"/>
              <w:rPr>
                <w:color w:val="000000"/>
                <w:kern w:val="0"/>
                <w:sz w:val="22"/>
                <w:szCs w:val="22"/>
              </w:rPr>
            </w:pPr>
            <w:r>
              <w:rPr>
                <w:color w:val="000000"/>
                <w:kern w:val="0"/>
                <w:sz w:val="22"/>
                <w:szCs w:val="22"/>
              </w:rPr>
              <w:t>区域</w:t>
            </w:r>
          </w:p>
        </w:tc>
        <w:tc>
          <w:tcPr>
            <w:tcW w:w="0" w:type="auto"/>
            <w:vAlign w:val="center"/>
          </w:tcPr>
          <w:p w14:paraId="2E142EBD">
            <w:pPr>
              <w:widowControl/>
              <w:ind w:left="-105" w:leftChars="-50" w:right="-105" w:rightChars="-50"/>
              <w:jc w:val="center"/>
              <w:rPr>
                <w:color w:val="000000"/>
                <w:kern w:val="0"/>
                <w:sz w:val="22"/>
                <w:szCs w:val="22"/>
              </w:rPr>
            </w:pPr>
            <w:r>
              <w:rPr>
                <w:color w:val="000000"/>
                <w:kern w:val="0"/>
                <w:sz w:val="22"/>
                <w:szCs w:val="22"/>
              </w:rPr>
              <w:t>不同规划年</w:t>
            </w:r>
          </w:p>
        </w:tc>
        <w:tc>
          <w:tcPr>
            <w:tcW w:w="0" w:type="auto"/>
            <w:vAlign w:val="center"/>
          </w:tcPr>
          <w:p w14:paraId="5751CD25">
            <w:pPr>
              <w:widowControl/>
              <w:ind w:left="-105" w:leftChars="-50" w:right="-105" w:rightChars="-50"/>
              <w:jc w:val="center"/>
              <w:rPr>
                <w:color w:val="000000"/>
                <w:kern w:val="0"/>
                <w:sz w:val="22"/>
                <w:szCs w:val="22"/>
              </w:rPr>
            </w:pPr>
            <w:r>
              <w:rPr>
                <w:color w:val="000000"/>
                <w:kern w:val="0"/>
                <w:sz w:val="22"/>
                <w:szCs w:val="22"/>
              </w:rPr>
              <w:t>工业用水</w:t>
            </w:r>
            <w:r>
              <w:rPr>
                <w:rFonts w:hint="eastAsia"/>
                <w:color w:val="000000"/>
                <w:kern w:val="0"/>
                <w:sz w:val="22"/>
                <w:szCs w:val="22"/>
              </w:rPr>
              <w:t>/万m</w:t>
            </w:r>
            <w:r>
              <w:rPr>
                <w:rFonts w:hint="eastAsia"/>
                <w:color w:val="000000"/>
                <w:kern w:val="0"/>
                <w:sz w:val="22"/>
                <w:szCs w:val="22"/>
                <w:vertAlign w:val="superscript"/>
              </w:rPr>
              <w:t>3</w:t>
            </w:r>
          </w:p>
        </w:tc>
        <w:tc>
          <w:tcPr>
            <w:tcW w:w="0" w:type="auto"/>
            <w:vAlign w:val="center"/>
          </w:tcPr>
          <w:p w14:paraId="7837DF07">
            <w:pPr>
              <w:widowControl/>
              <w:ind w:left="-105" w:leftChars="-50" w:right="-105" w:rightChars="-50"/>
              <w:jc w:val="center"/>
              <w:rPr>
                <w:color w:val="000000"/>
                <w:kern w:val="0"/>
                <w:sz w:val="22"/>
                <w:szCs w:val="22"/>
              </w:rPr>
            </w:pPr>
            <w:r>
              <w:rPr>
                <w:color w:val="000000"/>
                <w:kern w:val="0"/>
                <w:sz w:val="22"/>
                <w:szCs w:val="22"/>
              </w:rPr>
              <w:t>城市杂用水</w:t>
            </w:r>
            <w:r>
              <w:rPr>
                <w:rFonts w:hint="eastAsia"/>
                <w:color w:val="000000"/>
                <w:kern w:val="0"/>
                <w:sz w:val="22"/>
                <w:szCs w:val="22"/>
              </w:rPr>
              <w:t>/万m</w:t>
            </w:r>
            <w:r>
              <w:rPr>
                <w:rFonts w:hint="eastAsia"/>
                <w:color w:val="000000"/>
                <w:kern w:val="0"/>
                <w:sz w:val="22"/>
                <w:szCs w:val="22"/>
                <w:vertAlign w:val="superscript"/>
              </w:rPr>
              <w:t>3</w:t>
            </w:r>
          </w:p>
        </w:tc>
        <w:tc>
          <w:tcPr>
            <w:tcW w:w="0" w:type="auto"/>
            <w:vAlign w:val="center"/>
          </w:tcPr>
          <w:p w14:paraId="1274008A">
            <w:pPr>
              <w:widowControl/>
              <w:ind w:left="-105" w:leftChars="-50" w:right="-105" w:rightChars="-50"/>
              <w:jc w:val="center"/>
              <w:rPr>
                <w:color w:val="000000"/>
                <w:kern w:val="0"/>
                <w:sz w:val="22"/>
                <w:szCs w:val="22"/>
              </w:rPr>
            </w:pPr>
            <w:r>
              <w:rPr>
                <w:color w:val="000000"/>
                <w:kern w:val="0"/>
                <w:sz w:val="22"/>
                <w:szCs w:val="22"/>
              </w:rPr>
              <w:t>生态环境补水</w:t>
            </w:r>
            <w:r>
              <w:rPr>
                <w:rFonts w:hint="eastAsia"/>
                <w:color w:val="000000"/>
                <w:kern w:val="0"/>
                <w:sz w:val="22"/>
                <w:szCs w:val="22"/>
              </w:rPr>
              <w:t>/万m</w:t>
            </w:r>
            <w:r>
              <w:rPr>
                <w:rFonts w:hint="eastAsia"/>
                <w:color w:val="000000"/>
                <w:kern w:val="0"/>
                <w:sz w:val="22"/>
                <w:szCs w:val="22"/>
                <w:vertAlign w:val="superscript"/>
              </w:rPr>
              <w:t>3</w:t>
            </w:r>
          </w:p>
        </w:tc>
        <w:tc>
          <w:tcPr>
            <w:tcW w:w="0" w:type="auto"/>
            <w:vAlign w:val="center"/>
          </w:tcPr>
          <w:p w14:paraId="0B3FF50A">
            <w:pPr>
              <w:widowControl/>
              <w:ind w:left="-105" w:leftChars="-50" w:right="-105" w:rightChars="-50"/>
              <w:jc w:val="center"/>
              <w:rPr>
                <w:color w:val="000000"/>
                <w:kern w:val="0"/>
                <w:sz w:val="22"/>
                <w:szCs w:val="22"/>
              </w:rPr>
            </w:pPr>
            <w:r>
              <w:rPr>
                <w:color w:val="000000"/>
                <w:kern w:val="0"/>
                <w:sz w:val="22"/>
                <w:szCs w:val="22"/>
              </w:rPr>
              <w:t>管网漏损量</w:t>
            </w:r>
            <w:r>
              <w:rPr>
                <w:rFonts w:hint="eastAsia"/>
                <w:color w:val="000000"/>
                <w:kern w:val="0"/>
                <w:sz w:val="22"/>
                <w:szCs w:val="22"/>
              </w:rPr>
              <w:t>/万m</w:t>
            </w:r>
            <w:r>
              <w:rPr>
                <w:rFonts w:hint="eastAsia"/>
                <w:color w:val="000000"/>
                <w:kern w:val="0"/>
                <w:sz w:val="22"/>
                <w:szCs w:val="22"/>
                <w:vertAlign w:val="superscript"/>
              </w:rPr>
              <w:t>3</w:t>
            </w:r>
          </w:p>
        </w:tc>
        <w:tc>
          <w:tcPr>
            <w:tcW w:w="0" w:type="auto"/>
            <w:vAlign w:val="center"/>
          </w:tcPr>
          <w:p w14:paraId="2FA8292C">
            <w:pPr>
              <w:widowControl/>
              <w:ind w:left="-105" w:leftChars="-50" w:right="-105" w:rightChars="-50"/>
              <w:jc w:val="center"/>
              <w:rPr>
                <w:color w:val="000000"/>
                <w:kern w:val="0"/>
                <w:sz w:val="22"/>
                <w:szCs w:val="22"/>
              </w:rPr>
            </w:pPr>
            <w:r>
              <w:rPr>
                <w:color w:val="000000"/>
                <w:kern w:val="0"/>
                <w:sz w:val="22"/>
                <w:szCs w:val="22"/>
              </w:rPr>
              <w:t>再生水需水量</w:t>
            </w:r>
            <w:r>
              <w:rPr>
                <w:rFonts w:hint="eastAsia"/>
                <w:color w:val="000000"/>
                <w:kern w:val="0"/>
                <w:sz w:val="22"/>
                <w:szCs w:val="22"/>
              </w:rPr>
              <w:t>/万m</w:t>
            </w:r>
            <w:r>
              <w:rPr>
                <w:rFonts w:hint="eastAsia"/>
                <w:color w:val="000000"/>
                <w:kern w:val="0"/>
                <w:sz w:val="22"/>
                <w:szCs w:val="22"/>
                <w:vertAlign w:val="superscript"/>
              </w:rPr>
              <w:t>3</w:t>
            </w:r>
          </w:p>
        </w:tc>
      </w:tr>
      <w:tr w14:paraId="219AD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7819BED1">
            <w:pPr>
              <w:widowControl/>
              <w:jc w:val="center"/>
              <w:rPr>
                <w:color w:val="000000"/>
                <w:kern w:val="0"/>
                <w:sz w:val="22"/>
                <w:szCs w:val="22"/>
              </w:rPr>
            </w:pPr>
            <w:r>
              <w:rPr>
                <w:color w:val="000000"/>
                <w:kern w:val="0"/>
                <w:sz w:val="22"/>
                <w:szCs w:val="22"/>
              </w:rPr>
              <w:t>中心城区</w:t>
            </w:r>
          </w:p>
        </w:tc>
        <w:tc>
          <w:tcPr>
            <w:tcW w:w="0" w:type="auto"/>
            <w:vAlign w:val="center"/>
          </w:tcPr>
          <w:p w14:paraId="0EBA628C">
            <w:pPr>
              <w:widowControl/>
              <w:jc w:val="center"/>
              <w:rPr>
                <w:color w:val="000000"/>
                <w:kern w:val="0"/>
                <w:sz w:val="22"/>
                <w:szCs w:val="22"/>
              </w:rPr>
            </w:pPr>
            <w:r>
              <w:rPr>
                <w:color w:val="000000"/>
                <w:kern w:val="0"/>
                <w:sz w:val="22"/>
                <w:szCs w:val="22"/>
              </w:rPr>
              <w:t>2030</w:t>
            </w:r>
          </w:p>
        </w:tc>
        <w:tc>
          <w:tcPr>
            <w:tcW w:w="0" w:type="auto"/>
            <w:vAlign w:val="center"/>
          </w:tcPr>
          <w:p w14:paraId="1F6349D6">
            <w:pPr>
              <w:widowControl/>
              <w:jc w:val="center"/>
              <w:rPr>
                <w:color w:val="000000"/>
                <w:kern w:val="0"/>
                <w:sz w:val="22"/>
                <w:szCs w:val="22"/>
              </w:rPr>
            </w:pPr>
            <w:r>
              <w:rPr>
                <w:rFonts w:eastAsia="等线"/>
                <w:color w:val="000000"/>
              </w:rPr>
              <w:t>150</w:t>
            </w:r>
          </w:p>
        </w:tc>
        <w:tc>
          <w:tcPr>
            <w:tcW w:w="0" w:type="auto"/>
            <w:vAlign w:val="center"/>
          </w:tcPr>
          <w:p w14:paraId="3F145A54">
            <w:pPr>
              <w:widowControl/>
              <w:jc w:val="center"/>
              <w:rPr>
                <w:color w:val="000000"/>
                <w:kern w:val="0"/>
                <w:sz w:val="22"/>
                <w:szCs w:val="22"/>
              </w:rPr>
            </w:pPr>
            <w:r>
              <w:rPr>
                <w:rFonts w:eastAsia="等线"/>
                <w:color w:val="000000"/>
              </w:rPr>
              <w:t>293</w:t>
            </w:r>
          </w:p>
        </w:tc>
        <w:tc>
          <w:tcPr>
            <w:tcW w:w="0" w:type="auto"/>
            <w:vAlign w:val="center"/>
          </w:tcPr>
          <w:p w14:paraId="0ADA1C37">
            <w:pPr>
              <w:widowControl/>
              <w:jc w:val="center"/>
              <w:rPr>
                <w:color w:val="000000"/>
                <w:kern w:val="0"/>
                <w:sz w:val="22"/>
                <w:szCs w:val="22"/>
              </w:rPr>
            </w:pPr>
            <w:r>
              <w:rPr>
                <w:rFonts w:eastAsia="等线"/>
                <w:color w:val="000000"/>
              </w:rPr>
              <w:t>550</w:t>
            </w:r>
          </w:p>
        </w:tc>
        <w:tc>
          <w:tcPr>
            <w:tcW w:w="0" w:type="auto"/>
            <w:vAlign w:val="center"/>
          </w:tcPr>
          <w:p w14:paraId="7CCDCA49">
            <w:pPr>
              <w:widowControl/>
              <w:jc w:val="center"/>
              <w:rPr>
                <w:color w:val="000000"/>
                <w:kern w:val="0"/>
                <w:sz w:val="22"/>
                <w:szCs w:val="22"/>
              </w:rPr>
            </w:pPr>
            <w:r>
              <w:rPr>
                <w:rFonts w:eastAsia="等线"/>
                <w:color w:val="000000"/>
              </w:rPr>
              <w:t>20.3</w:t>
            </w:r>
          </w:p>
        </w:tc>
        <w:tc>
          <w:tcPr>
            <w:tcW w:w="0" w:type="auto"/>
            <w:vAlign w:val="center"/>
          </w:tcPr>
          <w:p w14:paraId="7DD64ED2">
            <w:pPr>
              <w:widowControl/>
              <w:jc w:val="center"/>
              <w:rPr>
                <w:color w:val="000000"/>
                <w:kern w:val="0"/>
                <w:sz w:val="22"/>
                <w:szCs w:val="22"/>
              </w:rPr>
            </w:pPr>
            <w:r>
              <w:rPr>
                <w:rFonts w:eastAsia="等线"/>
                <w:color w:val="000000"/>
              </w:rPr>
              <w:t>1013.3</w:t>
            </w:r>
          </w:p>
        </w:tc>
      </w:tr>
      <w:tr w14:paraId="0CB37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4CEA72C2">
            <w:pPr>
              <w:widowControl/>
              <w:jc w:val="center"/>
              <w:rPr>
                <w:color w:val="000000"/>
                <w:kern w:val="0"/>
                <w:sz w:val="22"/>
                <w:szCs w:val="22"/>
              </w:rPr>
            </w:pPr>
          </w:p>
        </w:tc>
        <w:tc>
          <w:tcPr>
            <w:tcW w:w="0" w:type="auto"/>
            <w:vAlign w:val="center"/>
          </w:tcPr>
          <w:p w14:paraId="5941606E">
            <w:pPr>
              <w:widowControl/>
              <w:jc w:val="center"/>
              <w:rPr>
                <w:color w:val="000000"/>
                <w:kern w:val="0"/>
                <w:sz w:val="22"/>
                <w:szCs w:val="22"/>
              </w:rPr>
            </w:pPr>
            <w:r>
              <w:rPr>
                <w:color w:val="000000"/>
                <w:kern w:val="0"/>
                <w:sz w:val="22"/>
                <w:szCs w:val="22"/>
              </w:rPr>
              <w:t>2035</w:t>
            </w:r>
          </w:p>
        </w:tc>
        <w:tc>
          <w:tcPr>
            <w:tcW w:w="0" w:type="auto"/>
            <w:vAlign w:val="center"/>
          </w:tcPr>
          <w:p w14:paraId="3C1D41A4">
            <w:pPr>
              <w:widowControl/>
              <w:jc w:val="center"/>
              <w:rPr>
                <w:color w:val="000000"/>
                <w:kern w:val="0"/>
                <w:sz w:val="22"/>
                <w:szCs w:val="22"/>
              </w:rPr>
            </w:pPr>
            <w:r>
              <w:rPr>
                <w:rFonts w:eastAsia="等线"/>
                <w:color w:val="000000"/>
              </w:rPr>
              <w:t>200</w:t>
            </w:r>
          </w:p>
        </w:tc>
        <w:tc>
          <w:tcPr>
            <w:tcW w:w="0" w:type="auto"/>
            <w:vAlign w:val="center"/>
          </w:tcPr>
          <w:p w14:paraId="496BF6B6">
            <w:pPr>
              <w:widowControl/>
              <w:jc w:val="center"/>
              <w:rPr>
                <w:color w:val="000000"/>
                <w:kern w:val="0"/>
                <w:sz w:val="22"/>
                <w:szCs w:val="22"/>
              </w:rPr>
            </w:pPr>
            <w:r>
              <w:rPr>
                <w:rFonts w:eastAsia="等线"/>
                <w:color w:val="000000"/>
              </w:rPr>
              <w:t>337.7</w:t>
            </w:r>
          </w:p>
        </w:tc>
        <w:tc>
          <w:tcPr>
            <w:tcW w:w="0" w:type="auto"/>
            <w:vAlign w:val="center"/>
          </w:tcPr>
          <w:p w14:paraId="4DE47E8E">
            <w:pPr>
              <w:widowControl/>
              <w:jc w:val="center"/>
              <w:rPr>
                <w:color w:val="000000"/>
                <w:kern w:val="0"/>
                <w:sz w:val="22"/>
                <w:szCs w:val="22"/>
              </w:rPr>
            </w:pPr>
            <w:r>
              <w:rPr>
                <w:rFonts w:eastAsia="等线"/>
                <w:color w:val="000000"/>
              </w:rPr>
              <w:t>600</w:t>
            </w:r>
          </w:p>
        </w:tc>
        <w:tc>
          <w:tcPr>
            <w:tcW w:w="0" w:type="auto"/>
            <w:vAlign w:val="center"/>
          </w:tcPr>
          <w:p w14:paraId="6437A25C">
            <w:pPr>
              <w:widowControl/>
              <w:jc w:val="center"/>
              <w:rPr>
                <w:color w:val="000000"/>
                <w:kern w:val="0"/>
                <w:sz w:val="22"/>
                <w:szCs w:val="22"/>
              </w:rPr>
            </w:pPr>
            <w:r>
              <w:rPr>
                <w:rFonts w:eastAsia="等线"/>
                <w:color w:val="000000"/>
              </w:rPr>
              <w:t>23.2</w:t>
            </w:r>
          </w:p>
        </w:tc>
        <w:tc>
          <w:tcPr>
            <w:tcW w:w="0" w:type="auto"/>
            <w:vAlign w:val="center"/>
          </w:tcPr>
          <w:p w14:paraId="455C9B02">
            <w:pPr>
              <w:widowControl/>
              <w:jc w:val="center"/>
              <w:rPr>
                <w:color w:val="000000"/>
                <w:kern w:val="0"/>
                <w:sz w:val="22"/>
                <w:szCs w:val="22"/>
              </w:rPr>
            </w:pPr>
            <w:r>
              <w:rPr>
                <w:rFonts w:eastAsia="等线"/>
                <w:color w:val="000000"/>
              </w:rPr>
              <w:t>1160.9</w:t>
            </w:r>
          </w:p>
        </w:tc>
      </w:tr>
      <w:tr w14:paraId="1EC15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5B1C9412">
            <w:pPr>
              <w:widowControl/>
              <w:jc w:val="center"/>
              <w:rPr>
                <w:color w:val="000000"/>
                <w:kern w:val="0"/>
                <w:sz w:val="22"/>
                <w:szCs w:val="22"/>
              </w:rPr>
            </w:pPr>
            <w:r>
              <w:rPr>
                <w:color w:val="000000"/>
                <w:kern w:val="0"/>
                <w:sz w:val="22"/>
                <w:szCs w:val="22"/>
              </w:rPr>
              <w:t>安城镇</w:t>
            </w:r>
          </w:p>
        </w:tc>
        <w:tc>
          <w:tcPr>
            <w:tcW w:w="0" w:type="auto"/>
            <w:vAlign w:val="center"/>
          </w:tcPr>
          <w:p w14:paraId="72696667">
            <w:pPr>
              <w:widowControl/>
              <w:jc w:val="center"/>
              <w:rPr>
                <w:color w:val="000000"/>
                <w:kern w:val="0"/>
                <w:sz w:val="22"/>
                <w:szCs w:val="22"/>
              </w:rPr>
            </w:pPr>
            <w:r>
              <w:rPr>
                <w:color w:val="000000"/>
                <w:kern w:val="0"/>
                <w:sz w:val="22"/>
                <w:szCs w:val="22"/>
              </w:rPr>
              <w:t>2030</w:t>
            </w:r>
          </w:p>
        </w:tc>
        <w:tc>
          <w:tcPr>
            <w:tcW w:w="0" w:type="auto"/>
            <w:vAlign w:val="center"/>
          </w:tcPr>
          <w:p w14:paraId="508A84E3">
            <w:pPr>
              <w:widowControl/>
              <w:jc w:val="center"/>
              <w:rPr>
                <w:color w:val="000000"/>
                <w:kern w:val="0"/>
                <w:sz w:val="22"/>
                <w:szCs w:val="22"/>
              </w:rPr>
            </w:pPr>
            <w:r>
              <w:rPr>
                <w:rFonts w:eastAsia="等线"/>
                <w:color w:val="000000"/>
              </w:rPr>
              <w:t>60.7</w:t>
            </w:r>
          </w:p>
        </w:tc>
        <w:tc>
          <w:tcPr>
            <w:tcW w:w="0" w:type="auto"/>
            <w:vAlign w:val="center"/>
          </w:tcPr>
          <w:p w14:paraId="6D18E1E3">
            <w:pPr>
              <w:widowControl/>
              <w:jc w:val="center"/>
              <w:rPr>
                <w:color w:val="000000"/>
                <w:kern w:val="0"/>
                <w:sz w:val="22"/>
                <w:szCs w:val="22"/>
              </w:rPr>
            </w:pPr>
            <w:r>
              <w:rPr>
                <w:rFonts w:eastAsia="等线"/>
                <w:color w:val="000000"/>
              </w:rPr>
              <w:t>25.7</w:t>
            </w:r>
          </w:p>
        </w:tc>
        <w:tc>
          <w:tcPr>
            <w:tcW w:w="0" w:type="auto"/>
            <w:vAlign w:val="center"/>
          </w:tcPr>
          <w:p w14:paraId="6E9EB11B">
            <w:pPr>
              <w:widowControl/>
              <w:jc w:val="center"/>
              <w:rPr>
                <w:color w:val="000000"/>
                <w:kern w:val="0"/>
                <w:sz w:val="22"/>
                <w:szCs w:val="22"/>
              </w:rPr>
            </w:pPr>
            <w:r>
              <w:rPr>
                <w:rFonts w:eastAsia="等线"/>
                <w:color w:val="000000"/>
              </w:rPr>
              <w:t>50</w:t>
            </w:r>
          </w:p>
        </w:tc>
        <w:tc>
          <w:tcPr>
            <w:tcW w:w="0" w:type="auto"/>
            <w:vAlign w:val="center"/>
          </w:tcPr>
          <w:p w14:paraId="0847311E">
            <w:pPr>
              <w:widowControl/>
              <w:jc w:val="center"/>
              <w:rPr>
                <w:color w:val="000000"/>
                <w:kern w:val="0"/>
                <w:sz w:val="22"/>
                <w:szCs w:val="22"/>
              </w:rPr>
            </w:pPr>
            <w:r>
              <w:rPr>
                <w:rFonts w:eastAsia="等线"/>
                <w:color w:val="000000"/>
              </w:rPr>
              <w:t>2.8</w:t>
            </w:r>
          </w:p>
        </w:tc>
        <w:tc>
          <w:tcPr>
            <w:tcW w:w="0" w:type="auto"/>
            <w:vAlign w:val="center"/>
          </w:tcPr>
          <w:p w14:paraId="2E3412C8">
            <w:pPr>
              <w:widowControl/>
              <w:jc w:val="center"/>
              <w:rPr>
                <w:color w:val="000000"/>
                <w:kern w:val="0"/>
                <w:sz w:val="22"/>
                <w:szCs w:val="22"/>
              </w:rPr>
            </w:pPr>
            <w:r>
              <w:rPr>
                <w:rFonts w:eastAsia="等线"/>
                <w:color w:val="000000"/>
              </w:rPr>
              <w:t>139.2</w:t>
            </w:r>
          </w:p>
        </w:tc>
      </w:tr>
      <w:tr w14:paraId="1066F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7A0F10ED">
            <w:pPr>
              <w:widowControl/>
              <w:jc w:val="center"/>
              <w:rPr>
                <w:color w:val="000000"/>
                <w:kern w:val="0"/>
                <w:sz w:val="22"/>
                <w:szCs w:val="22"/>
              </w:rPr>
            </w:pPr>
          </w:p>
        </w:tc>
        <w:tc>
          <w:tcPr>
            <w:tcW w:w="0" w:type="auto"/>
            <w:vAlign w:val="center"/>
          </w:tcPr>
          <w:p w14:paraId="2F095CFE">
            <w:pPr>
              <w:widowControl/>
              <w:jc w:val="center"/>
              <w:rPr>
                <w:color w:val="000000"/>
                <w:kern w:val="0"/>
                <w:sz w:val="22"/>
                <w:szCs w:val="22"/>
              </w:rPr>
            </w:pPr>
            <w:r>
              <w:rPr>
                <w:color w:val="000000"/>
                <w:kern w:val="0"/>
                <w:sz w:val="22"/>
                <w:szCs w:val="22"/>
              </w:rPr>
              <w:t>2035</w:t>
            </w:r>
          </w:p>
        </w:tc>
        <w:tc>
          <w:tcPr>
            <w:tcW w:w="0" w:type="auto"/>
            <w:vAlign w:val="center"/>
          </w:tcPr>
          <w:p w14:paraId="154150B8">
            <w:pPr>
              <w:widowControl/>
              <w:jc w:val="center"/>
              <w:rPr>
                <w:color w:val="000000"/>
                <w:kern w:val="0"/>
                <w:sz w:val="22"/>
                <w:szCs w:val="22"/>
              </w:rPr>
            </w:pPr>
            <w:r>
              <w:rPr>
                <w:rFonts w:eastAsia="等线"/>
                <w:color w:val="000000"/>
              </w:rPr>
              <w:t>166</w:t>
            </w:r>
          </w:p>
        </w:tc>
        <w:tc>
          <w:tcPr>
            <w:tcW w:w="0" w:type="auto"/>
            <w:vAlign w:val="center"/>
          </w:tcPr>
          <w:p w14:paraId="05C27186">
            <w:pPr>
              <w:widowControl/>
              <w:jc w:val="center"/>
              <w:rPr>
                <w:color w:val="000000"/>
                <w:kern w:val="0"/>
                <w:sz w:val="22"/>
                <w:szCs w:val="22"/>
              </w:rPr>
            </w:pPr>
            <w:r>
              <w:rPr>
                <w:rFonts w:eastAsia="等线"/>
                <w:color w:val="000000"/>
              </w:rPr>
              <w:t>37.9</w:t>
            </w:r>
          </w:p>
        </w:tc>
        <w:tc>
          <w:tcPr>
            <w:tcW w:w="0" w:type="auto"/>
            <w:vAlign w:val="center"/>
          </w:tcPr>
          <w:p w14:paraId="0F89CA85">
            <w:pPr>
              <w:widowControl/>
              <w:jc w:val="center"/>
              <w:rPr>
                <w:color w:val="000000"/>
                <w:kern w:val="0"/>
                <w:sz w:val="22"/>
                <w:szCs w:val="22"/>
              </w:rPr>
            </w:pPr>
            <w:r>
              <w:rPr>
                <w:rFonts w:eastAsia="等线"/>
                <w:color w:val="000000"/>
              </w:rPr>
              <w:t>100</w:t>
            </w:r>
          </w:p>
        </w:tc>
        <w:tc>
          <w:tcPr>
            <w:tcW w:w="0" w:type="auto"/>
            <w:vAlign w:val="center"/>
          </w:tcPr>
          <w:p w14:paraId="7134B4CE">
            <w:pPr>
              <w:widowControl/>
              <w:jc w:val="center"/>
              <w:rPr>
                <w:color w:val="000000"/>
                <w:kern w:val="0"/>
                <w:sz w:val="22"/>
                <w:szCs w:val="22"/>
              </w:rPr>
            </w:pPr>
            <w:r>
              <w:rPr>
                <w:rFonts w:eastAsia="等线"/>
                <w:color w:val="000000"/>
              </w:rPr>
              <w:t>6.2</w:t>
            </w:r>
          </w:p>
        </w:tc>
        <w:tc>
          <w:tcPr>
            <w:tcW w:w="0" w:type="auto"/>
            <w:vAlign w:val="center"/>
          </w:tcPr>
          <w:p w14:paraId="0E092898">
            <w:pPr>
              <w:widowControl/>
              <w:jc w:val="center"/>
              <w:rPr>
                <w:color w:val="000000"/>
                <w:kern w:val="0"/>
                <w:sz w:val="22"/>
                <w:szCs w:val="22"/>
              </w:rPr>
            </w:pPr>
            <w:r>
              <w:rPr>
                <w:rFonts w:eastAsia="等线"/>
                <w:color w:val="000000"/>
              </w:rPr>
              <w:t>310.1</w:t>
            </w:r>
          </w:p>
        </w:tc>
      </w:tr>
      <w:tr w14:paraId="1D8A8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58FC4E10">
            <w:pPr>
              <w:widowControl/>
              <w:jc w:val="center"/>
              <w:rPr>
                <w:color w:val="000000"/>
                <w:kern w:val="0"/>
                <w:sz w:val="22"/>
                <w:szCs w:val="22"/>
              </w:rPr>
            </w:pPr>
            <w:r>
              <w:rPr>
                <w:color w:val="000000"/>
                <w:kern w:val="0"/>
                <w:sz w:val="22"/>
                <w:szCs w:val="22"/>
              </w:rPr>
              <w:t>东阿镇</w:t>
            </w:r>
          </w:p>
        </w:tc>
        <w:tc>
          <w:tcPr>
            <w:tcW w:w="0" w:type="auto"/>
            <w:vAlign w:val="center"/>
          </w:tcPr>
          <w:p w14:paraId="624B9700">
            <w:pPr>
              <w:widowControl/>
              <w:jc w:val="center"/>
              <w:rPr>
                <w:color w:val="000000"/>
                <w:kern w:val="0"/>
                <w:sz w:val="22"/>
                <w:szCs w:val="22"/>
              </w:rPr>
            </w:pPr>
            <w:r>
              <w:rPr>
                <w:color w:val="000000"/>
                <w:kern w:val="0"/>
                <w:sz w:val="22"/>
                <w:szCs w:val="22"/>
              </w:rPr>
              <w:t>2030</w:t>
            </w:r>
          </w:p>
        </w:tc>
        <w:tc>
          <w:tcPr>
            <w:tcW w:w="0" w:type="auto"/>
            <w:vAlign w:val="center"/>
          </w:tcPr>
          <w:p w14:paraId="08ECB704">
            <w:pPr>
              <w:widowControl/>
              <w:jc w:val="center"/>
              <w:rPr>
                <w:color w:val="000000"/>
                <w:kern w:val="0"/>
                <w:sz w:val="22"/>
                <w:szCs w:val="22"/>
              </w:rPr>
            </w:pPr>
          </w:p>
        </w:tc>
        <w:tc>
          <w:tcPr>
            <w:tcW w:w="0" w:type="auto"/>
            <w:vAlign w:val="center"/>
          </w:tcPr>
          <w:p w14:paraId="7C35CA06">
            <w:pPr>
              <w:widowControl/>
              <w:jc w:val="center"/>
              <w:rPr>
                <w:color w:val="000000"/>
                <w:kern w:val="0"/>
                <w:sz w:val="22"/>
                <w:szCs w:val="22"/>
              </w:rPr>
            </w:pPr>
            <w:r>
              <w:rPr>
                <w:rFonts w:eastAsia="等线"/>
                <w:color w:val="000000"/>
              </w:rPr>
              <w:t>9</w:t>
            </w:r>
          </w:p>
        </w:tc>
        <w:tc>
          <w:tcPr>
            <w:tcW w:w="0" w:type="auto"/>
            <w:vAlign w:val="center"/>
          </w:tcPr>
          <w:p w14:paraId="36944383">
            <w:pPr>
              <w:widowControl/>
              <w:jc w:val="center"/>
              <w:rPr>
                <w:color w:val="000000"/>
                <w:kern w:val="0"/>
                <w:sz w:val="22"/>
                <w:szCs w:val="22"/>
              </w:rPr>
            </w:pPr>
          </w:p>
        </w:tc>
        <w:tc>
          <w:tcPr>
            <w:tcW w:w="0" w:type="auto"/>
            <w:vAlign w:val="center"/>
          </w:tcPr>
          <w:p w14:paraId="14F498AC">
            <w:pPr>
              <w:widowControl/>
              <w:jc w:val="center"/>
              <w:rPr>
                <w:color w:val="000000"/>
                <w:kern w:val="0"/>
                <w:sz w:val="22"/>
                <w:szCs w:val="22"/>
              </w:rPr>
            </w:pPr>
            <w:r>
              <w:rPr>
                <w:rFonts w:eastAsia="等线"/>
                <w:color w:val="000000"/>
              </w:rPr>
              <w:t>0.2</w:t>
            </w:r>
          </w:p>
        </w:tc>
        <w:tc>
          <w:tcPr>
            <w:tcW w:w="0" w:type="auto"/>
            <w:vAlign w:val="center"/>
          </w:tcPr>
          <w:p w14:paraId="0691AC45">
            <w:pPr>
              <w:widowControl/>
              <w:jc w:val="center"/>
              <w:rPr>
                <w:color w:val="000000"/>
                <w:kern w:val="0"/>
                <w:sz w:val="22"/>
                <w:szCs w:val="22"/>
              </w:rPr>
            </w:pPr>
            <w:r>
              <w:rPr>
                <w:rFonts w:eastAsia="等线"/>
                <w:color w:val="000000"/>
              </w:rPr>
              <w:t>9.2</w:t>
            </w:r>
          </w:p>
        </w:tc>
      </w:tr>
      <w:tr w14:paraId="4867E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663E7554">
            <w:pPr>
              <w:widowControl/>
              <w:jc w:val="center"/>
              <w:rPr>
                <w:color w:val="000000"/>
                <w:kern w:val="0"/>
                <w:sz w:val="22"/>
                <w:szCs w:val="22"/>
              </w:rPr>
            </w:pPr>
          </w:p>
        </w:tc>
        <w:tc>
          <w:tcPr>
            <w:tcW w:w="0" w:type="auto"/>
            <w:vAlign w:val="center"/>
          </w:tcPr>
          <w:p w14:paraId="05281600">
            <w:pPr>
              <w:widowControl/>
              <w:jc w:val="center"/>
              <w:rPr>
                <w:color w:val="000000"/>
                <w:kern w:val="0"/>
                <w:sz w:val="22"/>
                <w:szCs w:val="22"/>
              </w:rPr>
            </w:pPr>
            <w:r>
              <w:rPr>
                <w:color w:val="000000"/>
                <w:kern w:val="0"/>
                <w:sz w:val="22"/>
                <w:szCs w:val="22"/>
              </w:rPr>
              <w:t>2035</w:t>
            </w:r>
          </w:p>
        </w:tc>
        <w:tc>
          <w:tcPr>
            <w:tcW w:w="0" w:type="auto"/>
            <w:vAlign w:val="center"/>
          </w:tcPr>
          <w:p w14:paraId="6DE0A27D">
            <w:pPr>
              <w:widowControl/>
              <w:jc w:val="center"/>
              <w:rPr>
                <w:color w:val="000000"/>
                <w:kern w:val="0"/>
                <w:sz w:val="22"/>
                <w:szCs w:val="22"/>
              </w:rPr>
            </w:pPr>
          </w:p>
        </w:tc>
        <w:tc>
          <w:tcPr>
            <w:tcW w:w="0" w:type="auto"/>
            <w:vAlign w:val="center"/>
          </w:tcPr>
          <w:p w14:paraId="5DC680DB">
            <w:pPr>
              <w:widowControl/>
              <w:jc w:val="center"/>
              <w:rPr>
                <w:color w:val="000000"/>
                <w:kern w:val="0"/>
                <w:sz w:val="22"/>
                <w:szCs w:val="22"/>
              </w:rPr>
            </w:pPr>
            <w:r>
              <w:rPr>
                <w:rFonts w:eastAsia="等线"/>
                <w:color w:val="000000"/>
              </w:rPr>
              <w:t>9.2</w:t>
            </w:r>
          </w:p>
        </w:tc>
        <w:tc>
          <w:tcPr>
            <w:tcW w:w="0" w:type="auto"/>
            <w:vAlign w:val="center"/>
          </w:tcPr>
          <w:p w14:paraId="234A3DAF">
            <w:pPr>
              <w:widowControl/>
              <w:jc w:val="center"/>
              <w:rPr>
                <w:color w:val="000000"/>
                <w:kern w:val="0"/>
                <w:sz w:val="22"/>
                <w:szCs w:val="22"/>
              </w:rPr>
            </w:pPr>
          </w:p>
        </w:tc>
        <w:tc>
          <w:tcPr>
            <w:tcW w:w="0" w:type="auto"/>
            <w:vAlign w:val="center"/>
          </w:tcPr>
          <w:p w14:paraId="4751DB48">
            <w:pPr>
              <w:widowControl/>
              <w:jc w:val="center"/>
              <w:rPr>
                <w:color w:val="000000"/>
                <w:kern w:val="0"/>
                <w:sz w:val="22"/>
                <w:szCs w:val="22"/>
              </w:rPr>
            </w:pPr>
            <w:r>
              <w:rPr>
                <w:rFonts w:eastAsia="等线"/>
                <w:color w:val="000000"/>
              </w:rPr>
              <w:t>0.2</w:t>
            </w:r>
          </w:p>
        </w:tc>
        <w:tc>
          <w:tcPr>
            <w:tcW w:w="0" w:type="auto"/>
            <w:vAlign w:val="center"/>
          </w:tcPr>
          <w:p w14:paraId="2A563625">
            <w:pPr>
              <w:widowControl/>
              <w:jc w:val="center"/>
              <w:rPr>
                <w:color w:val="000000"/>
                <w:kern w:val="0"/>
                <w:sz w:val="22"/>
                <w:szCs w:val="22"/>
              </w:rPr>
            </w:pPr>
            <w:r>
              <w:rPr>
                <w:rFonts w:eastAsia="等线"/>
                <w:color w:val="000000"/>
              </w:rPr>
              <w:t>9.4</w:t>
            </w:r>
          </w:p>
        </w:tc>
      </w:tr>
      <w:tr w14:paraId="0B3AD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55F7397F">
            <w:pPr>
              <w:widowControl/>
              <w:jc w:val="center"/>
              <w:rPr>
                <w:color w:val="000000"/>
                <w:kern w:val="0"/>
                <w:sz w:val="22"/>
                <w:szCs w:val="22"/>
              </w:rPr>
            </w:pPr>
            <w:r>
              <w:rPr>
                <w:color w:val="000000"/>
                <w:kern w:val="0"/>
                <w:sz w:val="22"/>
                <w:szCs w:val="22"/>
              </w:rPr>
              <w:t>孔村镇</w:t>
            </w:r>
          </w:p>
        </w:tc>
        <w:tc>
          <w:tcPr>
            <w:tcW w:w="0" w:type="auto"/>
            <w:vAlign w:val="center"/>
          </w:tcPr>
          <w:p w14:paraId="08659B1A">
            <w:pPr>
              <w:widowControl/>
              <w:jc w:val="center"/>
              <w:rPr>
                <w:color w:val="000000"/>
                <w:kern w:val="0"/>
                <w:sz w:val="22"/>
                <w:szCs w:val="22"/>
              </w:rPr>
            </w:pPr>
            <w:r>
              <w:rPr>
                <w:color w:val="000000"/>
                <w:kern w:val="0"/>
                <w:sz w:val="22"/>
                <w:szCs w:val="22"/>
              </w:rPr>
              <w:t>2030</w:t>
            </w:r>
          </w:p>
        </w:tc>
        <w:tc>
          <w:tcPr>
            <w:tcW w:w="0" w:type="auto"/>
            <w:vAlign w:val="center"/>
          </w:tcPr>
          <w:p w14:paraId="3CFBDF61">
            <w:pPr>
              <w:widowControl/>
              <w:jc w:val="center"/>
              <w:rPr>
                <w:color w:val="000000"/>
                <w:kern w:val="0"/>
                <w:sz w:val="22"/>
                <w:szCs w:val="22"/>
              </w:rPr>
            </w:pPr>
            <w:r>
              <w:rPr>
                <w:rFonts w:eastAsia="等线"/>
                <w:color w:val="000000"/>
              </w:rPr>
              <w:t>191.3</w:t>
            </w:r>
          </w:p>
        </w:tc>
        <w:tc>
          <w:tcPr>
            <w:tcW w:w="0" w:type="auto"/>
            <w:vAlign w:val="center"/>
          </w:tcPr>
          <w:p w14:paraId="25B56927">
            <w:pPr>
              <w:widowControl/>
              <w:jc w:val="center"/>
              <w:rPr>
                <w:color w:val="000000"/>
                <w:kern w:val="0"/>
                <w:sz w:val="22"/>
                <w:szCs w:val="22"/>
              </w:rPr>
            </w:pPr>
            <w:r>
              <w:rPr>
                <w:rFonts w:eastAsia="等线"/>
                <w:color w:val="000000"/>
              </w:rPr>
              <w:t>14.1</w:t>
            </w:r>
          </w:p>
        </w:tc>
        <w:tc>
          <w:tcPr>
            <w:tcW w:w="0" w:type="auto"/>
            <w:vAlign w:val="center"/>
          </w:tcPr>
          <w:p w14:paraId="3B8FB9A3">
            <w:pPr>
              <w:widowControl/>
              <w:jc w:val="center"/>
              <w:rPr>
                <w:color w:val="000000"/>
                <w:kern w:val="0"/>
                <w:sz w:val="22"/>
                <w:szCs w:val="22"/>
              </w:rPr>
            </w:pPr>
          </w:p>
        </w:tc>
        <w:tc>
          <w:tcPr>
            <w:tcW w:w="0" w:type="auto"/>
            <w:vAlign w:val="center"/>
          </w:tcPr>
          <w:p w14:paraId="642CB24D">
            <w:pPr>
              <w:widowControl/>
              <w:jc w:val="center"/>
              <w:rPr>
                <w:color w:val="000000"/>
                <w:kern w:val="0"/>
                <w:sz w:val="22"/>
                <w:szCs w:val="22"/>
              </w:rPr>
            </w:pPr>
            <w:r>
              <w:rPr>
                <w:rFonts w:eastAsia="等线"/>
                <w:color w:val="000000"/>
              </w:rPr>
              <w:t>4.2</w:t>
            </w:r>
          </w:p>
        </w:tc>
        <w:tc>
          <w:tcPr>
            <w:tcW w:w="0" w:type="auto"/>
            <w:vAlign w:val="center"/>
          </w:tcPr>
          <w:p w14:paraId="21C12F28">
            <w:pPr>
              <w:widowControl/>
              <w:jc w:val="center"/>
              <w:rPr>
                <w:color w:val="000000"/>
                <w:kern w:val="0"/>
                <w:sz w:val="22"/>
                <w:szCs w:val="22"/>
              </w:rPr>
            </w:pPr>
            <w:r>
              <w:rPr>
                <w:rFonts w:eastAsia="等线"/>
                <w:color w:val="000000"/>
              </w:rPr>
              <w:t>209.6</w:t>
            </w:r>
          </w:p>
        </w:tc>
      </w:tr>
      <w:tr w14:paraId="6C490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6C310687">
            <w:pPr>
              <w:widowControl/>
              <w:jc w:val="center"/>
              <w:rPr>
                <w:color w:val="000000"/>
                <w:kern w:val="0"/>
                <w:sz w:val="22"/>
                <w:szCs w:val="22"/>
              </w:rPr>
            </w:pPr>
          </w:p>
        </w:tc>
        <w:tc>
          <w:tcPr>
            <w:tcW w:w="0" w:type="auto"/>
            <w:vAlign w:val="center"/>
          </w:tcPr>
          <w:p w14:paraId="2FD46AE5">
            <w:pPr>
              <w:widowControl/>
              <w:jc w:val="center"/>
              <w:rPr>
                <w:color w:val="000000"/>
                <w:kern w:val="0"/>
                <w:sz w:val="22"/>
                <w:szCs w:val="22"/>
              </w:rPr>
            </w:pPr>
            <w:r>
              <w:rPr>
                <w:color w:val="000000"/>
                <w:kern w:val="0"/>
                <w:sz w:val="22"/>
                <w:szCs w:val="22"/>
              </w:rPr>
              <w:t>2035</w:t>
            </w:r>
          </w:p>
        </w:tc>
        <w:tc>
          <w:tcPr>
            <w:tcW w:w="0" w:type="auto"/>
            <w:vAlign w:val="center"/>
          </w:tcPr>
          <w:p w14:paraId="0315A4CB">
            <w:pPr>
              <w:widowControl/>
              <w:jc w:val="center"/>
              <w:rPr>
                <w:color w:val="000000"/>
                <w:kern w:val="0"/>
                <w:sz w:val="22"/>
                <w:szCs w:val="22"/>
              </w:rPr>
            </w:pPr>
            <w:r>
              <w:rPr>
                <w:rFonts w:eastAsia="等线"/>
                <w:color w:val="000000"/>
              </w:rPr>
              <w:t>349.4</w:t>
            </w:r>
          </w:p>
        </w:tc>
        <w:tc>
          <w:tcPr>
            <w:tcW w:w="0" w:type="auto"/>
            <w:vAlign w:val="center"/>
          </w:tcPr>
          <w:p w14:paraId="705FABCD">
            <w:pPr>
              <w:widowControl/>
              <w:jc w:val="center"/>
              <w:rPr>
                <w:color w:val="000000"/>
                <w:kern w:val="0"/>
                <w:sz w:val="22"/>
                <w:szCs w:val="22"/>
              </w:rPr>
            </w:pPr>
            <w:r>
              <w:rPr>
                <w:rFonts w:eastAsia="等线"/>
                <w:color w:val="000000"/>
              </w:rPr>
              <w:t>14.5</w:t>
            </w:r>
          </w:p>
        </w:tc>
        <w:tc>
          <w:tcPr>
            <w:tcW w:w="0" w:type="auto"/>
            <w:vAlign w:val="center"/>
          </w:tcPr>
          <w:p w14:paraId="214ED030">
            <w:pPr>
              <w:widowControl/>
              <w:jc w:val="center"/>
              <w:rPr>
                <w:color w:val="000000"/>
                <w:kern w:val="0"/>
                <w:sz w:val="22"/>
                <w:szCs w:val="22"/>
              </w:rPr>
            </w:pPr>
          </w:p>
        </w:tc>
        <w:tc>
          <w:tcPr>
            <w:tcW w:w="0" w:type="auto"/>
            <w:vAlign w:val="center"/>
          </w:tcPr>
          <w:p w14:paraId="6CFAB7EF">
            <w:pPr>
              <w:widowControl/>
              <w:jc w:val="center"/>
              <w:rPr>
                <w:color w:val="000000"/>
                <w:kern w:val="0"/>
                <w:sz w:val="22"/>
                <w:szCs w:val="22"/>
              </w:rPr>
            </w:pPr>
            <w:r>
              <w:rPr>
                <w:rFonts w:eastAsia="等线"/>
                <w:color w:val="000000"/>
              </w:rPr>
              <w:t>7.4</w:t>
            </w:r>
          </w:p>
        </w:tc>
        <w:tc>
          <w:tcPr>
            <w:tcW w:w="0" w:type="auto"/>
            <w:vAlign w:val="center"/>
          </w:tcPr>
          <w:p w14:paraId="696F4222">
            <w:pPr>
              <w:widowControl/>
              <w:jc w:val="center"/>
              <w:rPr>
                <w:color w:val="000000"/>
                <w:kern w:val="0"/>
                <w:sz w:val="22"/>
                <w:szCs w:val="22"/>
              </w:rPr>
            </w:pPr>
            <w:r>
              <w:rPr>
                <w:rFonts w:eastAsia="等线"/>
                <w:color w:val="000000"/>
              </w:rPr>
              <w:t>371.3</w:t>
            </w:r>
          </w:p>
        </w:tc>
      </w:tr>
      <w:tr w14:paraId="691D6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4945AFAC">
            <w:pPr>
              <w:widowControl/>
              <w:jc w:val="center"/>
              <w:rPr>
                <w:color w:val="000000"/>
                <w:kern w:val="0"/>
                <w:sz w:val="22"/>
                <w:szCs w:val="22"/>
              </w:rPr>
            </w:pPr>
            <w:r>
              <w:rPr>
                <w:color w:val="000000"/>
                <w:kern w:val="0"/>
                <w:sz w:val="22"/>
                <w:szCs w:val="22"/>
              </w:rPr>
              <w:t>孝直镇</w:t>
            </w:r>
          </w:p>
        </w:tc>
        <w:tc>
          <w:tcPr>
            <w:tcW w:w="0" w:type="auto"/>
            <w:vAlign w:val="center"/>
          </w:tcPr>
          <w:p w14:paraId="11713F04">
            <w:pPr>
              <w:widowControl/>
              <w:jc w:val="center"/>
              <w:rPr>
                <w:color w:val="000000"/>
                <w:kern w:val="0"/>
                <w:sz w:val="22"/>
                <w:szCs w:val="22"/>
              </w:rPr>
            </w:pPr>
            <w:r>
              <w:rPr>
                <w:color w:val="000000"/>
                <w:kern w:val="0"/>
                <w:sz w:val="22"/>
                <w:szCs w:val="22"/>
              </w:rPr>
              <w:t>2030</w:t>
            </w:r>
          </w:p>
        </w:tc>
        <w:tc>
          <w:tcPr>
            <w:tcW w:w="0" w:type="auto"/>
            <w:vAlign w:val="center"/>
          </w:tcPr>
          <w:p w14:paraId="408B34A6">
            <w:pPr>
              <w:widowControl/>
              <w:jc w:val="center"/>
              <w:rPr>
                <w:color w:val="000000"/>
                <w:kern w:val="0"/>
                <w:sz w:val="22"/>
                <w:szCs w:val="22"/>
              </w:rPr>
            </w:pPr>
          </w:p>
        </w:tc>
        <w:tc>
          <w:tcPr>
            <w:tcW w:w="0" w:type="auto"/>
            <w:vAlign w:val="center"/>
          </w:tcPr>
          <w:p w14:paraId="376FA6FC">
            <w:pPr>
              <w:widowControl/>
              <w:jc w:val="center"/>
              <w:rPr>
                <w:color w:val="000000"/>
                <w:kern w:val="0"/>
                <w:sz w:val="22"/>
                <w:szCs w:val="22"/>
              </w:rPr>
            </w:pPr>
            <w:r>
              <w:rPr>
                <w:rFonts w:eastAsia="等线"/>
                <w:color w:val="000000"/>
              </w:rPr>
              <w:t>12.1</w:t>
            </w:r>
          </w:p>
        </w:tc>
        <w:tc>
          <w:tcPr>
            <w:tcW w:w="0" w:type="auto"/>
            <w:vAlign w:val="center"/>
          </w:tcPr>
          <w:p w14:paraId="5165F3DA">
            <w:pPr>
              <w:widowControl/>
              <w:jc w:val="center"/>
              <w:rPr>
                <w:color w:val="000000"/>
                <w:kern w:val="0"/>
                <w:sz w:val="22"/>
                <w:szCs w:val="22"/>
              </w:rPr>
            </w:pPr>
          </w:p>
        </w:tc>
        <w:tc>
          <w:tcPr>
            <w:tcW w:w="0" w:type="auto"/>
            <w:vAlign w:val="center"/>
          </w:tcPr>
          <w:p w14:paraId="38943240">
            <w:pPr>
              <w:widowControl/>
              <w:jc w:val="center"/>
              <w:rPr>
                <w:color w:val="000000"/>
                <w:kern w:val="0"/>
                <w:sz w:val="22"/>
                <w:szCs w:val="22"/>
              </w:rPr>
            </w:pPr>
            <w:r>
              <w:rPr>
                <w:rFonts w:eastAsia="等线"/>
                <w:color w:val="000000"/>
              </w:rPr>
              <w:t>0.2</w:t>
            </w:r>
          </w:p>
        </w:tc>
        <w:tc>
          <w:tcPr>
            <w:tcW w:w="0" w:type="auto"/>
            <w:vAlign w:val="center"/>
          </w:tcPr>
          <w:p w14:paraId="28589373">
            <w:pPr>
              <w:widowControl/>
              <w:jc w:val="center"/>
              <w:rPr>
                <w:color w:val="000000"/>
                <w:kern w:val="0"/>
                <w:sz w:val="22"/>
                <w:szCs w:val="22"/>
              </w:rPr>
            </w:pPr>
            <w:r>
              <w:rPr>
                <w:rFonts w:eastAsia="等线"/>
                <w:color w:val="000000"/>
              </w:rPr>
              <w:t>12.3</w:t>
            </w:r>
          </w:p>
        </w:tc>
      </w:tr>
      <w:tr w14:paraId="2310F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27011C16">
            <w:pPr>
              <w:widowControl/>
              <w:jc w:val="center"/>
              <w:rPr>
                <w:color w:val="000000"/>
                <w:kern w:val="0"/>
                <w:sz w:val="22"/>
                <w:szCs w:val="22"/>
              </w:rPr>
            </w:pPr>
          </w:p>
        </w:tc>
        <w:tc>
          <w:tcPr>
            <w:tcW w:w="0" w:type="auto"/>
            <w:vAlign w:val="center"/>
          </w:tcPr>
          <w:p w14:paraId="709F465D">
            <w:pPr>
              <w:widowControl/>
              <w:jc w:val="center"/>
              <w:rPr>
                <w:color w:val="000000"/>
                <w:kern w:val="0"/>
                <w:sz w:val="22"/>
                <w:szCs w:val="22"/>
              </w:rPr>
            </w:pPr>
            <w:r>
              <w:rPr>
                <w:color w:val="000000"/>
                <w:kern w:val="0"/>
                <w:sz w:val="22"/>
                <w:szCs w:val="22"/>
              </w:rPr>
              <w:t>2035</w:t>
            </w:r>
          </w:p>
        </w:tc>
        <w:tc>
          <w:tcPr>
            <w:tcW w:w="0" w:type="auto"/>
            <w:vAlign w:val="center"/>
          </w:tcPr>
          <w:p w14:paraId="295B5DD7">
            <w:pPr>
              <w:widowControl/>
              <w:jc w:val="center"/>
              <w:rPr>
                <w:color w:val="000000"/>
                <w:kern w:val="0"/>
                <w:sz w:val="22"/>
                <w:szCs w:val="22"/>
              </w:rPr>
            </w:pPr>
          </w:p>
        </w:tc>
        <w:tc>
          <w:tcPr>
            <w:tcW w:w="0" w:type="auto"/>
            <w:vAlign w:val="center"/>
          </w:tcPr>
          <w:p w14:paraId="312BC4EB">
            <w:pPr>
              <w:widowControl/>
              <w:jc w:val="center"/>
              <w:rPr>
                <w:color w:val="000000"/>
                <w:kern w:val="0"/>
                <w:sz w:val="22"/>
                <w:szCs w:val="22"/>
              </w:rPr>
            </w:pPr>
            <w:r>
              <w:rPr>
                <w:rFonts w:eastAsia="等线"/>
                <w:color w:val="000000"/>
              </w:rPr>
              <w:t>12.3</w:t>
            </w:r>
          </w:p>
        </w:tc>
        <w:tc>
          <w:tcPr>
            <w:tcW w:w="0" w:type="auto"/>
            <w:vAlign w:val="center"/>
          </w:tcPr>
          <w:p w14:paraId="772E2D9B">
            <w:pPr>
              <w:widowControl/>
              <w:jc w:val="center"/>
              <w:rPr>
                <w:color w:val="000000"/>
                <w:kern w:val="0"/>
                <w:sz w:val="22"/>
                <w:szCs w:val="22"/>
              </w:rPr>
            </w:pPr>
          </w:p>
        </w:tc>
        <w:tc>
          <w:tcPr>
            <w:tcW w:w="0" w:type="auto"/>
            <w:vAlign w:val="center"/>
          </w:tcPr>
          <w:p w14:paraId="12E776CB">
            <w:pPr>
              <w:widowControl/>
              <w:jc w:val="center"/>
              <w:rPr>
                <w:color w:val="000000"/>
                <w:kern w:val="0"/>
                <w:sz w:val="22"/>
                <w:szCs w:val="22"/>
              </w:rPr>
            </w:pPr>
            <w:r>
              <w:rPr>
                <w:rFonts w:eastAsia="等线"/>
                <w:color w:val="000000"/>
              </w:rPr>
              <w:t>0.3</w:t>
            </w:r>
          </w:p>
        </w:tc>
        <w:tc>
          <w:tcPr>
            <w:tcW w:w="0" w:type="auto"/>
            <w:vAlign w:val="center"/>
          </w:tcPr>
          <w:p w14:paraId="54C4F5A7">
            <w:pPr>
              <w:widowControl/>
              <w:jc w:val="center"/>
              <w:rPr>
                <w:color w:val="000000"/>
                <w:kern w:val="0"/>
                <w:sz w:val="22"/>
                <w:szCs w:val="22"/>
              </w:rPr>
            </w:pPr>
            <w:r>
              <w:rPr>
                <w:rFonts w:eastAsia="等线"/>
                <w:color w:val="000000"/>
              </w:rPr>
              <w:t>12.6</w:t>
            </w:r>
          </w:p>
        </w:tc>
      </w:tr>
      <w:tr w14:paraId="3E751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5C31ACAB">
            <w:pPr>
              <w:widowControl/>
              <w:jc w:val="center"/>
              <w:rPr>
                <w:color w:val="000000"/>
                <w:kern w:val="0"/>
                <w:sz w:val="22"/>
                <w:szCs w:val="22"/>
              </w:rPr>
            </w:pPr>
            <w:r>
              <w:rPr>
                <w:color w:val="000000"/>
                <w:kern w:val="0"/>
                <w:sz w:val="22"/>
                <w:szCs w:val="22"/>
              </w:rPr>
              <w:t>玫瑰镇</w:t>
            </w:r>
          </w:p>
        </w:tc>
        <w:tc>
          <w:tcPr>
            <w:tcW w:w="0" w:type="auto"/>
            <w:vAlign w:val="center"/>
          </w:tcPr>
          <w:p w14:paraId="78BA113B">
            <w:pPr>
              <w:widowControl/>
              <w:jc w:val="center"/>
              <w:rPr>
                <w:color w:val="000000"/>
                <w:kern w:val="0"/>
                <w:sz w:val="22"/>
                <w:szCs w:val="22"/>
              </w:rPr>
            </w:pPr>
            <w:r>
              <w:rPr>
                <w:color w:val="000000"/>
                <w:kern w:val="0"/>
                <w:sz w:val="22"/>
                <w:szCs w:val="22"/>
              </w:rPr>
              <w:t>2030</w:t>
            </w:r>
          </w:p>
        </w:tc>
        <w:tc>
          <w:tcPr>
            <w:tcW w:w="0" w:type="auto"/>
            <w:vAlign w:val="center"/>
          </w:tcPr>
          <w:p w14:paraId="153400F8">
            <w:pPr>
              <w:widowControl/>
              <w:jc w:val="center"/>
              <w:rPr>
                <w:color w:val="000000"/>
                <w:kern w:val="0"/>
                <w:sz w:val="22"/>
                <w:szCs w:val="22"/>
              </w:rPr>
            </w:pPr>
          </w:p>
        </w:tc>
        <w:tc>
          <w:tcPr>
            <w:tcW w:w="0" w:type="auto"/>
            <w:vAlign w:val="center"/>
          </w:tcPr>
          <w:p w14:paraId="0715D961">
            <w:pPr>
              <w:widowControl/>
              <w:jc w:val="center"/>
              <w:rPr>
                <w:color w:val="000000"/>
                <w:kern w:val="0"/>
                <w:sz w:val="22"/>
                <w:szCs w:val="22"/>
              </w:rPr>
            </w:pPr>
            <w:r>
              <w:rPr>
                <w:rFonts w:eastAsia="等线"/>
                <w:color w:val="000000"/>
              </w:rPr>
              <w:t>9.9</w:t>
            </w:r>
          </w:p>
        </w:tc>
        <w:tc>
          <w:tcPr>
            <w:tcW w:w="0" w:type="auto"/>
            <w:vAlign w:val="center"/>
          </w:tcPr>
          <w:p w14:paraId="6C4102F3">
            <w:pPr>
              <w:widowControl/>
              <w:jc w:val="center"/>
              <w:rPr>
                <w:color w:val="000000"/>
                <w:kern w:val="0"/>
                <w:sz w:val="22"/>
                <w:szCs w:val="22"/>
              </w:rPr>
            </w:pPr>
          </w:p>
        </w:tc>
        <w:tc>
          <w:tcPr>
            <w:tcW w:w="0" w:type="auto"/>
            <w:vAlign w:val="center"/>
          </w:tcPr>
          <w:p w14:paraId="4D59142C">
            <w:pPr>
              <w:widowControl/>
              <w:jc w:val="center"/>
              <w:rPr>
                <w:color w:val="000000"/>
                <w:kern w:val="0"/>
                <w:sz w:val="22"/>
                <w:szCs w:val="22"/>
              </w:rPr>
            </w:pPr>
            <w:r>
              <w:rPr>
                <w:rFonts w:eastAsia="等线"/>
                <w:color w:val="000000"/>
              </w:rPr>
              <w:t>0.2</w:t>
            </w:r>
          </w:p>
        </w:tc>
        <w:tc>
          <w:tcPr>
            <w:tcW w:w="0" w:type="auto"/>
            <w:vAlign w:val="center"/>
          </w:tcPr>
          <w:p w14:paraId="6D67B419">
            <w:pPr>
              <w:widowControl/>
              <w:jc w:val="center"/>
              <w:rPr>
                <w:color w:val="000000"/>
                <w:kern w:val="0"/>
                <w:sz w:val="22"/>
                <w:szCs w:val="22"/>
              </w:rPr>
            </w:pPr>
            <w:r>
              <w:rPr>
                <w:rFonts w:eastAsia="等线"/>
                <w:color w:val="000000"/>
              </w:rPr>
              <w:t>10.1</w:t>
            </w:r>
          </w:p>
        </w:tc>
      </w:tr>
      <w:tr w14:paraId="5D1F8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2C989322">
            <w:pPr>
              <w:widowControl/>
              <w:jc w:val="center"/>
              <w:rPr>
                <w:color w:val="000000"/>
                <w:kern w:val="0"/>
                <w:sz w:val="22"/>
                <w:szCs w:val="22"/>
              </w:rPr>
            </w:pPr>
          </w:p>
        </w:tc>
        <w:tc>
          <w:tcPr>
            <w:tcW w:w="0" w:type="auto"/>
            <w:vAlign w:val="center"/>
          </w:tcPr>
          <w:p w14:paraId="74514BED">
            <w:pPr>
              <w:widowControl/>
              <w:jc w:val="center"/>
              <w:rPr>
                <w:color w:val="000000"/>
                <w:kern w:val="0"/>
                <w:sz w:val="22"/>
                <w:szCs w:val="22"/>
              </w:rPr>
            </w:pPr>
            <w:r>
              <w:rPr>
                <w:color w:val="000000"/>
                <w:kern w:val="0"/>
                <w:sz w:val="22"/>
                <w:szCs w:val="22"/>
              </w:rPr>
              <w:t>2035</w:t>
            </w:r>
          </w:p>
        </w:tc>
        <w:tc>
          <w:tcPr>
            <w:tcW w:w="0" w:type="auto"/>
            <w:vAlign w:val="center"/>
          </w:tcPr>
          <w:p w14:paraId="6DDAB55C">
            <w:pPr>
              <w:widowControl/>
              <w:jc w:val="center"/>
              <w:rPr>
                <w:color w:val="000000"/>
                <w:kern w:val="0"/>
                <w:sz w:val="22"/>
                <w:szCs w:val="22"/>
              </w:rPr>
            </w:pPr>
          </w:p>
        </w:tc>
        <w:tc>
          <w:tcPr>
            <w:tcW w:w="0" w:type="auto"/>
            <w:vAlign w:val="center"/>
          </w:tcPr>
          <w:p w14:paraId="7A6C8AC5">
            <w:pPr>
              <w:widowControl/>
              <w:jc w:val="center"/>
              <w:rPr>
                <w:color w:val="000000"/>
                <w:kern w:val="0"/>
                <w:sz w:val="22"/>
                <w:szCs w:val="22"/>
              </w:rPr>
            </w:pPr>
            <w:r>
              <w:rPr>
                <w:rFonts w:eastAsia="等线"/>
                <w:color w:val="000000"/>
              </w:rPr>
              <w:t>10.3</w:t>
            </w:r>
          </w:p>
        </w:tc>
        <w:tc>
          <w:tcPr>
            <w:tcW w:w="0" w:type="auto"/>
            <w:vAlign w:val="center"/>
          </w:tcPr>
          <w:p w14:paraId="3114AD9D">
            <w:pPr>
              <w:widowControl/>
              <w:jc w:val="center"/>
              <w:rPr>
                <w:color w:val="000000"/>
                <w:kern w:val="0"/>
                <w:sz w:val="22"/>
                <w:szCs w:val="22"/>
              </w:rPr>
            </w:pPr>
          </w:p>
        </w:tc>
        <w:tc>
          <w:tcPr>
            <w:tcW w:w="0" w:type="auto"/>
            <w:vAlign w:val="center"/>
          </w:tcPr>
          <w:p w14:paraId="3D5ADAE4">
            <w:pPr>
              <w:widowControl/>
              <w:jc w:val="center"/>
              <w:rPr>
                <w:color w:val="000000"/>
                <w:kern w:val="0"/>
                <w:sz w:val="22"/>
                <w:szCs w:val="22"/>
              </w:rPr>
            </w:pPr>
            <w:r>
              <w:rPr>
                <w:rFonts w:eastAsia="等线"/>
                <w:color w:val="000000"/>
              </w:rPr>
              <w:t>0.2</w:t>
            </w:r>
          </w:p>
        </w:tc>
        <w:tc>
          <w:tcPr>
            <w:tcW w:w="0" w:type="auto"/>
            <w:vAlign w:val="center"/>
          </w:tcPr>
          <w:p w14:paraId="618C4427">
            <w:pPr>
              <w:widowControl/>
              <w:jc w:val="center"/>
              <w:rPr>
                <w:color w:val="000000"/>
                <w:kern w:val="0"/>
                <w:sz w:val="22"/>
                <w:szCs w:val="22"/>
              </w:rPr>
            </w:pPr>
            <w:r>
              <w:rPr>
                <w:rFonts w:eastAsia="等线"/>
                <w:color w:val="000000"/>
              </w:rPr>
              <w:t>10.5</w:t>
            </w:r>
          </w:p>
        </w:tc>
      </w:tr>
      <w:tr w14:paraId="1C8E0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1D16F8AC">
            <w:pPr>
              <w:widowControl/>
              <w:jc w:val="center"/>
              <w:rPr>
                <w:color w:val="000000"/>
                <w:kern w:val="0"/>
                <w:sz w:val="22"/>
                <w:szCs w:val="22"/>
              </w:rPr>
            </w:pPr>
            <w:r>
              <w:rPr>
                <w:color w:val="000000"/>
                <w:kern w:val="0"/>
                <w:sz w:val="22"/>
                <w:szCs w:val="22"/>
              </w:rPr>
              <w:t>洪范池镇</w:t>
            </w:r>
          </w:p>
        </w:tc>
        <w:tc>
          <w:tcPr>
            <w:tcW w:w="0" w:type="auto"/>
            <w:vAlign w:val="center"/>
          </w:tcPr>
          <w:p w14:paraId="154E92B6">
            <w:pPr>
              <w:widowControl/>
              <w:jc w:val="center"/>
              <w:rPr>
                <w:color w:val="000000"/>
                <w:kern w:val="0"/>
                <w:sz w:val="22"/>
                <w:szCs w:val="22"/>
              </w:rPr>
            </w:pPr>
            <w:r>
              <w:rPr>
                <w:color w:val="000000"/>
                <w:kern w:val="0"/>
                <w:sz w:val="22"/>
                <w:szCs w:val="22"/>
              </w:rPr>
              <w:t>2030</w:t>
            </w:r>
          </w:p>
        </w:tc>
        <w:tc>
          <w:tcPr>
            <w:tcW w:w="0" w:type="auto"/>
            <w:vAlign w:val="center"/>
          </w:tcPr>
          <w:p w14:paraId="025F1AC0">
            <w:pPr>
              <w:widowControl/>
              <w:jc w:val="center"/>
              <w:rPr>
                <w:color w:val="000000"/>
                <w:kern w:val="0"/>
                <w:sz w:val="22"/>
                <w:szCs w:val="22"/>
              </w:rPr>
            </w:pPr>
          </w:p>
        </w:tc>
        <w:tc>
          <w:tcPr>
            <w:tcW w:w="0" w:type="auto"/>
            <w:vAlign w:val="center"/>
          </w:tcPr>
          <w:p w14:paraId="1591E7EF">
            <w:pPr>
              <w:widowControl/>
              <w:jc w:val="center"/>
              <w:rPr>
                <w:color w:val="000000"/>
                <w:kern w:val="0"/>
                <w:sz w:val="22"/>
                <w:szCs w:val="22"/>
              </w:rPr>
            </w:pPr>
            <w:r>
              <w:rPr>
                <w:rFonts w:eastAsia="等线"/>
                <w:color w:val="000000"/>
              </w:rPr>
              <w:t>7.2</w:t>
            </w:r>
          </w:p>
        </w:tc>
        <w:tc>
          <w:tcPr>
            <w:tcW w:w="0" w:type="auto"/>
            <w:vAlign w:val="center"/>
          </w:tcPr>
          <w:p w14:paraId="197B6770">
            <w:pPr>
              <w:widowControl/>
              <w:jc w:val="center"/>
              <w:rPr>
                <w:color w:val="000000"/>
                <w:kern w:val="0"/>
                <w:sz w:val="22"/>
                <w:szCs w:val="22"/>
              </w:rPr>
            </w:pPr>
          </w:p>
        </w:tc>
        <w:tc>
          <w:tcPr>
            <w:tcW w:w="0" w:type="auto"/>
            <w:vAlign w:val="center"/>
          </w:tcPr>
          <w:p w14:paraId="4CEED31C">
            <w:pPr>
              <w:widowControl/>
              <w:jc w:val="center"/>
              <w:rPr>
                <w:color w:val="000000"/>
                <w:kern w:val="0"/>
                <w:sz w:val="22"/>
                <w:szCs w:val="22"/>
              </w:rPr>
            </w:pPr>
            <w:r>
              <w:rPr>
                <w:rFonts w:eastAsia="等线"/>
                <w:color w:val="000000"/>
              </w:rPr>
              <w:t>0.1</w:t>
            </w:r>
          </w:p>
        </w:tc>
        <w:tc>
          <w:tcPr>
            <w:tcW w:w="0" w:type="auto"/>
            <w:vAlign w:val="center"/>
          </w:tcPr>
          <w:p w14:paraId="0125A740">
            <w:pPr>
              <w:widowControl/>
              <w:jc w:val="center"/>
              <w:rPr>
                <w:color w:val="000000"/>
                <w:kern w:val="0"/>
                <w:sz w:val="22"/>
                <w:szCs w:val="22"/>
              </w:rPr>
            </w:pPr>
            <w:r>
              <w:rPr>
                <w:rFonts w:eastAsia="等线"/>
                <w:color w:val="000000"/>
              </w:rPr>
              <w:t>7.3</w:t>
            </w:r>
          </w:p>
        </w:tc>
      </w:tr>
      <w:tr w14:paraId="68694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0EA56066">
            <w:pPr>
              <w:widowControl/>
              <w:jc w:val="center"/>
              <w:rPr>
                <w:color w:val="000000"/>
                <w:kern w:val="0"/>
                <w:sz w:val="22"/>
                <w:szCs w:val="22"/>
              </w:rPr>
            </w:pPr>
          </w:p>
        </w:tc>
        <w:tc>
          <w:tcPr>
            <w:tcW w:w="0" w:type="auto"/>
            <w:vAlign w:val="center"/>
          </w:tcPr>
          <w:p w14:paraId="796FEE53">
            <w:pPr>
              <w:widowControl/>
              <w:jc w:val="center"/>
              <w:rPr>
                <w:color w:val="000000"/>
                <w:kern w:val="0"/>
                <w:sz w:val="22"/>
                <w:szCs w:val="22"/>
              </w:rPr>
            </w:pPr>
            <w:r>
              <w:rPr>
                <w:color w:val="000000"/>
                <w:kern w:val="0"/>
                <w:sz w:val="22"/>
                <w:szCs w:val="22"/>
              </w:rPr>
              <w:t>2035</w:t>
            </w:r>
          </w:p>
        </w:tc>
        <w:tc>
          <w:tcPr>
            <w:tcW w:w="0" w:type="auto"/>
            <w:vAlign w:val="center"/>
          </w:tcPr>
          <w:p w14:paraId="5616D05D">
            <w:pPr>
              <w:widowControl/>
              <w:jc w:val="center"/>
              <w:rPr>
                <w:color w:val="000000"/>
                <w:kern w:val="0"/>
                <w:sz w:val="22"/>
                <w:szCs w:val="22"/>
              </w:rPr>
            </w:pPr>
          </w:p>
        </w:tc>
        <w:tc>
          <w:tcPr>
            <w:tcW w:w="0" w:type="auto"/>
            <w:vAlign w:val="center"/>
          </w:tcPr>
          <w:p w14:paraId="444458BA">
            <w:pPr>
              <w:widowControl/>
              <w:jc w:val="center"/>
              <w:rPr>
                <w:color w:val="000000"/>
                <w:kern w:val="0"/>
                <w:sz w:val="22"/>
                <w:szCs w:val="22"/>
              </w:rPr>
            </w:pPr>
            <w:r>
              <w:rPr>
                <w:rFonts w:eastAsia="等线"/>
                <w:color w:val="000000"/>
              </w:rPr>
              <w:t>7.3</w:t>
            </w:r>
          </w:p>
        </w:tc>
        <w:tc>
          <w:tcPr>
            <w:tcW w:w="0" w:type="auto"/>
            <w:vAlign w:val="center"/>
          </w:tcPr>
          <w:p w14:paraId="0D0CA25A">
            <w:pPr>
              <w:widowControl/>
              <w:jc w:val="center"/>
              <w:rPr>
                <w:color w:val="000000"/>
                <w:kern w:val="0"/>
                <w:sz w:val="22"/>
                <w:szCs w:val="22"/>
              </w:rPr>
            </w:pPr>
          </w:p>
        </w:tc>
        <w:tc>
          <w:tcPr>
            <w:tcW w:w="0" w:type="auto"/>
            <w:vAlign w:val="center"/>
          </w:tcPr>
          <w:p w14:paraId="48D4394B">
            <w:pPr>
              <w:widowControl/>
              <w:jc w:val="center"/>
              <w:rPr>
                <w:color w:val="000000"/>
                <w:kern w:val="0"/>
                <w:sz w:val="22"/>
                <w:szCs w:val="22"/>
              </w:rPr>
            </w:pPr>
            <w:r>
              <w:rPr>
                <w:rFonts w:eastAsia="等线"/>
                <w:color w:val="000000"/>
              </w:rPr>
              <w:t>0.1</w:t>
            </w:r>
          </w:p>
        </w:tc>
        <w:tc>
          <w:tcPr>
            <w:tcW w:w="0" w:type="auto"/>
            <w:vAlign w:val="center"/>
          </w:tcPr>
          <w:p w14:paraId="10A6C1E6">
            <w:pPr>
              <w:widowControl/>
              <w:jc w:val="center"/>
              <w:rPr>
                <w:color w:val="000000"/>
                <w:kern w:val="0"/>
                <w:sz w:val="22"/>
                <w:szCs w:val="22"/>
              </w:rPr>
            </w:pPr>
            <w:r>
              <w:rPr>
                <w:rFonts w:eastAsia="等线"/>
                <w:color w:val="000000"/>
              </w:rPr>
              <w:t>7.4</w:t>
            </w:r>
          </w:p>
        </w:tc>
      </w:tr>
      <w:tr w14:paraId="44228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restart"/>
            <w:vAlign w:val="center"/>
          </w:tcPr>
          <w:p w14:paraId="2A78C705">
            <w:pPr>
              <w:widowControl/>
              <w:jc w:val="center"/>
              <w:rPr>
                <w:color w:val="000000"/>
                <w:kern w:val="0"/>
                <w:sz w:val="22"/>
                <w:szCs w:val="22"/>
              </w:rPr>
            </w:pPr>
            <w:r>
              <w:rPr>
                <w:color w:val="000000"/>
                <w:kern w:val="0"/>
                <w:sz w:val="22"/>
                <w:szCs w:val="22"/>
              </w:rPr>
              <w:t>合计</w:t>
            </w:r>
          </w:p>
        </w:tc>
        <w:tc>
          <w:tcPr>
            <w:tcW w:w="0" w:type="auto"/>
            <w:vAlign w:val="center"/>
          </w:tcPr>
          <w:p w14:paraId="7677CC73">
            <w:pPr>
              <w:widowControl/>
              <w:jc w:val="center"/>
              <w:rPr>
                <w:color w:val="000000"/>
                <w:kern w:val="0"/>
                <w:sz w:val="22"/>
                <w:szCs w:val="22"/>
              </w:rPr>
            </w:pPr>
            <w:r>
              <w:rPr>
                <w:color w:val="000000"/>
                <w:kern w:val="0"/>
                <w:sz w:val="22"/>
                <w:szCs w:val="22"/>
              </w:rPr>
              <w:t>2030</w:t>
            </w:r>
          </w:p>
        </w:tc>
        <w:tc>
          <w:tcPr>
            <w:tcW w:w="0" w:type="auto"/>
            <w:vAlign w:val="center"/>
          </w:tcPr>
          <w:p w14:paraId="6CEB5C79">
            <w:pPr>
              <w:widowControl/>
              <w:jc w:val="center"/>
              <w:rPr>
                <w:color w:val="000000"/>
                <w:kern w:val="0"/>
                <w:sz w:val="22"/>
                <w:szCs w:val="22"/>
              </w:rPr>
            </w:pPr>
            <w:r>
              <w:rPr>
                <w:rFonts w:eastAsia="等线"/>
                <w:color w:val="000000"/>
              </w:rPr>
              <w:t>402</w:t>
            </w:r>
          </w:p>
        </w:tc>
        <w:tc>
          <w:tcPr>
            <w:tcW w:w="0" w:type="auto"/>
            <w:vAlign w:val="center"/>
          </w:tcPr>
          <w:p w14:paraId="1C47822C">
            <w:pPr>
              <w:widowControl/>
              <w:jc w:val="center"/>
              <w:rPr>
                <w:color w:val="000000"/>
                <w:kern w:val="0"/>
                <w:sz w:val="22"/>
                <w:szCs w:val="22"/>
              </w:rPr>
            </w:pPr>
            <w:r>
              <w:rPr>
                <w:rFonts w:eastAsia="等线"/>
                <w:color w:val="000000"/>
              </w:rPr>
              <w:t>371</w:t>
            </w:r>
          </w:p>
        </w:tc>
        <w:tc>
          <w:tcPr>
            <w:tcW w:w="0" w:type="auto"/>
            <w:vAlign w:val="center"/>
          </w:tcPr>
          <w:p w14:paraId="7E59A154">
            <w:pPr>
              <w:widowControl/>
              <w:jc w:val="center"/>
              <w:rPr>
                <w:color w:val="000000"/>
                <w:kern w:val="0"/>
                <w:sz w:val="22"/>
                <w:szCs w:val="22"/>
              </w:rPr>
            </w:pPr>
            <w:r>
              <w:rPr>
                <w:rFonts w:eastAsia="等线"/>
                <w:color w:val="000000"/>
              </w:rPr>
              <w:t>600</w:t>
            </w:r>
          </w:p>
        </w:tc>
        <w:tc>
          <w:tcPr>
            <w:tcW w:w="0" w:type="auto"/>
            <w:vAlign w:val="center"/>
          </w:tcPr>
          <w:p w14:paraId="41025400">
            <w:pPr>
              <w:widowControl/>
              <w:jc w:val="center"/>
              <w:rPr>
                <w:color w:val="000000"/>
                <w:kern w:val="0"/>
                <w:sz w:val="22"/>
                <w:szCs w:val="22"/>
              </w:rPr>
            </w:pPr>
            <w:r>
              <w:rPr>
                <w:rFonts w:eastAsia="等线"/>
                <w:color w:val="000000"/>
              </w:rPr>
              <w:t>28</w:t>
            </w:r>
          </w:p>
        </w:tc>
        <w:tc>
          <w:tcPr>
            <w:tcW w:w="0" w:type="auto"/>
            <w:vAlign w:val="center"/>
          </w:tcPr>
          <w:p w14:paraId="115D5214">
            <w:pPr>
              <w:widowControl/>
              <w:jc w:val="center"/>
              <w:rPr>
                <w:color w:val="000000"/>
                <w:kern w:val="0"/>
                <w:sz w:val="22"/>
                <w:szCs w:val="22"/>
              </w:rPr>
            </w:pPr>
            <w:r>
              <w:rPr>
                <w:rFonts w:eastAsia="等线"/>
                <w:color w:val="000000"/>
              </w:rPr>
              <w:t>1401</w:t>
            </w:r>
          </w:p>
        </w:tc>
      </w:tr>
      <w:tr w14:paraId="788D5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0" w:type="auto"/>
            <w:vMerge w:val="continue"/>
            <w:vAlign w:val="center"/>
          </w:tcPr>
          <w:p w14:paraId="7BA504D8">
            <w:pPr>
              <w:widowControl/>
              <w:jc w:val="center"/>
              <w:rPr>
                <w:color w:val="000000"/>
                <w:kern w:val="0"/>
                <w:sz w:val="22"/>
                <w:szCs w:val="22"/>
              </w:rPr>
            </w:pPr>
          </w:p>
        </w:tc>
        <w:tc>
          <w:tcPr>
            <w:tcW w:w="0" w:type="auto"/>
            <w:vAlign w:val="center"/>
          </w:tcPr>
          <w:p w14:paraId="04B7D8F8">
            <w:pPr>
              <w:widowControl/>
              <w:jc w:val="center"/>
              <w:rPr>
                <w:color w:val="000000"/>
                <w:kern w:val="0"/>
                <w:sz w:val="22"/>
                <w:szCs w:val="22"/>
              </w:rPr>
            </w:pPr>
            <w:r>
              <w:rPr>
                <w:color w:val="000000"/>
                <w:kern w:val="0"/>
                <w:sz w:val="22"/>
                <w:szCs w:val="22"/>
              </w:rPr>
              <w:t>2035</w:t>
            </w:r>
          </w:p>
        </w:tc>
        <w:tc>
          <w:tcPr>
            <w:tcW w:w="0" w:type="auto"/>
            <w:vAlign w:val="center"/>
          </w:tcPr>
          <w:p w14:paraId="1C0B575F">
            <w:pPr>
              <w:widowControl/>
              <w:jc w:val="center"/>
              <w:rPr>
                <w:color w:val="000000"/>
                <w:kern w:val="0"/>
                <w:sz w:val="22"/>
                <w:szCs w:val="22"/>
              </w:rPr>
            </w:pPr>
            <w:r>
              <w:rPr>
                <w:rFonts w:eastAsia="等线"/>
                <w:color w:val="000000"/>
              </w:rPr>
              <w:t>715.4</w:t>
            </w:r>
          </w:p>
        </w:tc>
        <w:tc>
          <w:tcPr>
            <w:tcW w:w="0" w:type="auto"/>
            <w:vAlign w:val="center"/>
          </w:tcPr>
          <w:p w14:paraId="7A23909B">
            <w:pPr>
              <w:widowControl/>
              <w:jc w:val="center"/>
              <w:rPr>
                <w:color w:val="000000"/>
                <w:kern w:val="0"/>
                <w:sz w:val="22"/>
                <w:szCs w:val="22"/>
              </w:rPr>
            </w:pPr>
            <w:r>
              <w:rPr>
                <w:rFonts w:eastAsia="等线"/>
                <w:color w:val="000000"/>
              </w:rPr>
              <w:t>429.2</w:t>
            </w:r>
          </w:p>
        </w:tc>
        <w:tc>
          <w:tcPr>
            <w:tcW w:w="0" w:type="auto"/>
            <w:vAlign w:val="center"/>
          </w:tcPr>
          <w:p w14:paraId="416F73E2">
            <w:pPr>
              <w:widowControl/>
              <w:jc w:val="center"/>
              <w:rPr>
                <w:color w:val="000000"/>
                <w:kern w:val="0"/>
                <w:sz w:val="22"/>
                <w:szCs w:val="22"/>
              </w:rPr>
            </w:pPr>
            <w:r>
              <w:rPr>
                <w:rFonts w:eastAsia="等线"/>
                <w:color w:val="000000"/>
              </w:rPr>
              <w:t>700</w:t>
            </w:r>
          </w:p>
        </w:tc>
        <w:tc>
          <w:tcPr>
            <w:tcW w:w="0" w:type="auto"/>
            <w:vAlign w:val="center"/>
          </w:tcPr>
          <w:p w14:paraId="5F59F99E">
            <w:pPr>
              <w:widowControl/>
              <w:jc w:val="center"/>
              <w:rPr>
                <w:color w:val="000000"/>
                <w:kern w:val="0"/>
                <w:sz w:val="22"/>
                <w:szCs w:val="22"/>
              </w:rPr>
            </w:pPr>
            <w:r>
              <w:rPr>
                <w:rFonts w:eastAsia="等线"/>
                <w:color w:val="000000"/>
              </w:rPr>
              <w:t>37.6</w:t>
            </w:r>
          </w:p>
        </w:tc>
        <w:tc>
          <w:tcPr>
            <w:tcW w:w="0" w:type="auto"/>
            <w:vAlign w:val="center"/>
          </w:tcPr>
          <w:p w14:paraId="19CA14D1">
            <w:pPr>
              <w:widowControl/>
              <w:jc w:val="center"/>
              <w:rPr>
                <w:color w:val="000000"/>
                <w:kern w:val="0"/>
                <w:sz w:val="22"/>
                <w:szCs w:val="22"/>
              </w:rPr>
            </w:pPr>
            <w:r>
              <w:rPr>
                <w:rFonts w:eastAsia="等线"/>
                <w:color w:val="000000"/>
              </w:rPr>
              <w:t>1882.2</w:t>
            </w:r>
          </w:p>
        </w:tc>
      </w:tr>
    </w:tbl>
    <w:p w14:paraId="0611923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2、再生水需水合理性分析</w:t>
      </w:r>
    </w:p>
    <w:p w14:paraId="4BF06F9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根据表</w:t>
      </w:r>
      <w:r>
        <w:rPr>
          <w:color w:val="000000" w:themeColor="text1"/>
          <w:sz w:val="28"/>
          <w:szCs w:val="28"/>
        </w:rPr>
        <w:t>4.2</w:t>
      </w:r>
      <w:r>
        <w:rPr>
          <w:rFonts w:hint="eastAsia"/>
          <w:color w:val="000000" w:themeColor="text1"/>
          <w:sz w:val="28"/>
          <w:szCs w:val="28"/>
        </w:rPr>
        <w:t>.4-2可知，2</w:t>
      </w:r>
      <w:r>
        <w:rPr>
          <w:color w:val="000000" w:themeColor="text1"/>
          <w:sz w:val="28"/>
          <w:szCs w:val="28"/>
        </w:rPr>
        <w:t>0</w:t>
      </w:r>
      <w:r>
        <w:rPr>
          <w:rFonts w:hint="eastAsia"/>
          <w:color w:val="000000" w:themeColor="text1"/>
          <w:sz w:val="28"/>
          <w:szCs w:val="28"/>
        </w:rPr>
        <w:t>30年平阴县再生水总需水量为1401万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。依行业分析可知，2</w:t>
      </w:r>
      <w:r>
        <w:rPr>
          <w:color w:val="000000" w:themeColor="text1"/>
          <w:sz w:val="28"/>
          <w:szCs w:val="28"/>
        </w:rPr>
        <w:t>0</w:t>
      </w:r>
      <w:r>
        <w:rPr>
          <w:rFonts w:hint="eastAsia"/>
          <w:color w:val="000000" w:themeColor="text1"/>
          <w:sz w:val="28"/>
          <w:szCs w:val="28"/>
        </w:rPr>
        <w:t>30年平阴县河道景观生态补水再生水利用量为600万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，占总需水量的42.8</w:t>
      </w:r>
      <w:r>
        <w:rPr>
          <w:color w:val="000000" w:themeColor="text1"/>
          <w:sz w:val="28"/>
          <w:szCs w:val="28"/>
        </w:rPr>
        <w:t>%</w:t>
      </w:r>
      <w:r>
        <w:rPr>
          <w:rFonts w:hint="eastAsia"/>
          <w:color w:val="000000" w:themeColor="text1"/>
          <w:sz w:val="28"/>
          <w:szCs w:val="28"/>
        </w:rPr>
        <w:t>；工业用水为402.0万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，占总需水量的28.7</w:t>
      </w:r>
      <w:r>
        <w:rPr>
          <w:color w:val="000000" w:themeColor="text1"/>
          <w:sz w:val="28"/>
          <w:szCs w:val="28"/>
        </w:rPr>
        <w:t>%</w:t>
      </w:r>
      <w:r>
        <w:rPr>
          <w:rFonts w:hint="eastAsia"/>
          <w:color w:val="000000" w:themeColor="text1"/>
          <w:sz w:val="28"/>
          <w:szCs w:val="28"/>
        </w:rPr>
        <w:t>；城市杂用水为371.0万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，占总需水量的26.5</w:t>
      </w:r>
      <w:r>
        <w:rPr>
          <w:color w:val="000000" w:themeColor="text1"/>
          <w:sz w:val="28"/>
          <w:szCs w:val="28"/>
        </w:rPr>
        <w:t>%</w:t>
      </w:r>
      <w:r>
        <w:rPr>
          <w:rFonts w:hint="eastAsia"/>
          <w:color w:val="000000" w:themeColor="text1"/>
          <w:sz w:val="28"/>
          <w:szCs w:val="28"/>
        </w:rPr>
        <w:t>；管网漏损水量为27</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，占总需水量的2</w:t>
      </w:r>
      <w:r>
        <w:rPr>
          <w:color w:val="000000" w:themeColor="text1"/>
          <w:sz w:val="28"/>
          <w:szCs w:val="28"/>
        </w:rPr>
        <w:t>.0%</w:t>
      </w:r>
      <w:r>
        <w:rPr>
          <w:rFonts w:hint="eastAsia"/>
          <w:color w:val="000000" w:themeColor="text1"/>
          <w:sz w:val="28"/>
          <w:szCs w:val="28"/>
        </w:rPr>
        <w:t>，具体详见图</w:t>
      </w:r>
      <w:r>
        <w:rPr>
          <w:color w:val="000000" w:themeColor="text1"/>
          <w:sz w:val="28"/>
          <w:szCs w:val="28"/>
        </w:rPr>
        <w:t>4.2-1</w:t>
      </w:r>
      <w:r>
        <w:rPr>
          <w:rFonts w:hint="eastAsia"/>
          <w:color w:val="000000" w:themeColor="text1"/>
          <w:sz w:val="28"/>
          <w:szCs w:val="28"/>
        </w:rPr>
        <w:t>。</w:t>
      </w:r>
    </w:p>
    <w:p w14:paraId="47BEBB0B">
      <w:pPr>
        <w:tabs>
          <w:tab w:val="left" w:pos="5400"/>
        </w:tabs>
        <w:jc w:val="center"/>
        <w:rPr>
          <w:color w:val="000000" w:themeColor="text1"/>
          <w:sz w:val="28"/>
          <w:szCs w:val="28"/>
        </w:rPr>
      </w:pPr>
      <w:r>
        <w:drawing>
          <wp:inline distT="0" distB="0" distL="0" distR="0">
            <wp:extent cx="3867150" cy="2790825"/>
            <wp:effectExtent l="0" t="0" r="0" b="0"/>
            <wp:docPr id="1029922109"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8B64D4B">
      <w:pPr>
        <w:tabs>
          <w:tab w:val="left" w:pos="5400"/>
        </w:tabs>
        <w:spacing w:before="120" w:beforeLines="50"/>
        <w:jc w:val="center"/>
        <w:rPr>
          <w:b/>
          <w:bCs/>
          <w:color w:val="000000" w:themeColor="text1"/>
          <w:sz w:val="24"/>
        </w:rPr>
      </w:pPr>
      <w:r>
        <w:rPr>
          <w:rFonts w:hint="eastAsia"/>
          <w:b/>
          <w:bCs/>
          <w:color w:val="000000" w:themeColor="text1"/>
          <w:sz w:val="24"/>
        </w:rPr>
        <w:t>图</w:t>
      </w:r>
      <w:r>
        <w:rPr>
          <w:b/>
          <w:bCs/>
          <w:color w:val="000000" w:themeColor="text1"/>
          <w:sz w:val="24"/>
        </w:rPr>
        <w:t xml:space="preserve">4.2-1  </w:t>
      </w:r>
      <w:r>
        <w:rPr>
          <w:rFonts w:hint="eastAsia"/>
          <w:b/>
          <w:bCs/>
          <w:color w:val="000000" w:themeColor="text1"/>
          <w:sz w:val="24"/>
        </w:rPr>
        <w:t>2030年平阴县各行业再生水需水结构图</w:t>
      </w:r>
    </w:p>
    <w:p w14:paraId="7FDC04F4">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年平阴县再生水总需水量为1882.2万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。依行业而言，2</w:t>
      </w:r>
      <w:r>
        <w:rPr>
          <w:color w:val="000000" w:themeColor="text1"/>
          <w:sz w:val="28"/>
          <w:szCs w:val="28"/>
        </w:rPr>
        <w:t>035</w:t>
      </w:r>
      <w:r>
        <w:rPr>
          <w:rFonts w:hint="eastAsia"/>
          <w:color w:val="000000" w:themeColor="text1"/>
          <w:sz w:val="28"/>
          <w:szCs w:val="28"/>
        </w:rPr>
        <w:t>年平阴县河道景观生态补水再生水利用量为700</w:t>
      </w:r>
      <w:r>
        <w:rPr>
          <w:color w:val="000000" w:themeColor="text1"/>
          <w:sz w:val="28"/>
          <w:szCs w:val="28"/>
        </w:rPr>
        <w:t>.0</w:t>
      </w:r>
      <w:r>
        <w:rPr>
          <w:rFonts w:hint="eastAsia"/>
          <w:color w:val="000000" w:themeColor="text1"/>
          <w:sz w:val="28"/>
          <w:szCs w:val="28"/>
        </w:rPr>
        <w:t>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，占总需水量的37.2</w:t>
      </w:r>
      <w:r>
        <w:rPr>
          <w:color w:val="000000" w:themeColor="text1"/>
          <w:sz w:val="28"/>
          <w:szCs w:val="28"/>
        </w:rPr>
        <w:t>%</w:t>
      </w:r>
      <w:r>
        <w:rPr>
          <w:rFonts w:hint="eastAsia"/>
          <w:color w:val="000000" w:themeColor="text1"/>
          <w:sz w:val="28"/>
          <w:szCs w:val="28"/>
        </w:rPr>
        <w:t>；工业用水为715.4万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，占总需水量的38.0</w:t>
      </w:r>
      <w:r>
        <w:rPr>
          <w:color w:val="000000" w:themeColor="text1"/>
          <w:sz w:val="28"/>
          <w:szCs w:val="28"/>
        </w:rPr>
        <w:t>%</w:t>
      </w:r>
      <w:r>
        <w:rPr>
          <w:rFonts w:hint="eastAsia"/>
          <w:color w:val="000000" w:themeColor="text1"/>
          <w:sz w:val="28"/>
          <w:szCs w:val="28"/>
        </w:rPr>
        <w:t>；城市杂用水为429.2万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，占总需水量的22.8</w:t>
      </w:r>
      <w:r>
        <w:rPr>
          <w:color w:val="000000" w:themeColor="text1"/>
          <w:sz w:val="28"/>
          <w:szCs w:val="28"/>
        </w:rPr>
        <w:t>%</w:t>
      </w:r>
      <w:r>
        <w:rPr>
          <w:rFonts w:hint="eastAsia"/>
          <w:color w:val="000000" w:themeColor="text1"/>
          <w:sz w:val="28"/>
          <w:szCs w:val="28"/>
        </w:rPr>
        <w:t>；管网漏损水量为37.6万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，占总需水量的2</w:t>
      </w:r>
      <w:r>
        <w:rPr>
          <w:color w:val="000000" w:themeColor="text1"/>
          <w:sz w:val="28"/>
          <w:szCs w:val="28"/>
        </w:rPr>
        <w:t>.0%</w:t>
      </w:r>
      <w:r>
        <w:rPr>
          <w:rFonts w:hint="eastAsia"/>
          <w:color w:val="000000" w:themeColor="text1"/>
          <w:sz w:val="28"/>
          <w:szCs w:val="28"/>
        </w:rPr>
        <w:t>，具体详见图</w:t>
      </w:r>
      <w:r>
        <w:rPr>
          <w:color w:val="000000" w:themeColor="text1"/>
          <w:sz w:val="28"/>
          <w:szCs w:val="28"/>
        </w:rPr>
        <w:t>4.2-2</w:t>
      </w:r>
      <w:r>
        <w:rPr>
          <w:rFonts w:hint="eastAsia"/>
          <w:color w:val="000000" w:themeColor="text1"/>
          <w:sz w:val="28"/>
          <w:szCs w:val="28"/>
        </w:rPr>
        <w:t>。</w:t>
      </w:r>
    </w:p>
    <w:p w14:paraId="5D70E2BF">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通过对平阴县不同规划年各行业的再生水需水量分析可知，现状年和近期规划年的再生水主要用于河道景观生态补水，其次为工业用水。平阴县将逐步推进辖区内再生水净水厂和供水管网配套建设，结合再生水可利用现状推进各行业的再生水利用。远期规划随着社会经济发展和再生水净水厂及供水设施配套建设达到再生水用水要求，加大各行业的再生水用水量。</w:t>
      </w:r>
    </w:p>
    <w:p w14:paraId="42BFCC04">
      <w:pPr>
        <w:tabs>
          <w:tab w:val="left" w:pos="5400"/>
        </w:tabs>
        <w:adjustRightInd w:val="0"/>
        <w:snapToGrid w:val="0"/>
        <w:jc w:val="center"/>
        <w:rPr>
          <w:color w:val="000000" w:themeColor="text1"/>
          <w:sz w:val="28"/>
          <w:szCs w:val="28"/>
        </w:rPr>
      </w:pPr>
      <w:r>
        <w:drawing>
          <wp:inline distT="0" distB="0" distL="0" distR="0">
            <wp:extent cx="4676775" cy="2705100"/>
            <wp:effectExtent l="0" t="0" r="0" b="0"/>
            <wp:docPr id="169695526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3B00E0E">
      <w:pPr>
        <w:tabs>
          <w:tab w:val="left" w:pos="5400"/>
        </w:tabs>
        <w:spacing w:before="120" w:beforeLines="50"/>
        <w:jc w:val="center"/>
        <w:rPr>
          <w:b/>
          <w:bCs/>
          <w:color w:val="000000" w:themeColor="text1"/>
          <w:sz w:val="24"/>
        </w:rPr>
      </w:pPr>
      <w:r>
        <w:rPr>
          <w:rFonts w:hint="eastAsia"/>
          <w:b/>
          <w:bCs/>
          <w:color w:val="000000" w:themeColor="text1"/>
          <w:sz w:val="24"/>
        </w:rPr>
        <w:t>图</w:t>
      </w:r>
      <w:r>
        <w:rPr>
          <w:b/>
          <w:bCs/>
          <w:color w:val="000000" w:themeColor="text1"/>
          <w:sz w:val="24"/>
        </w:rPr>
        <w:t xml:space="preserve">4.2-2  </w:t>
      </w:r>
      <w:r>
        <w:rPr>
          <w:rFonts w:hint="eastAsia"/>
          <w:b/>
          <w:bCs/>
          <w:color w:val="000000" w:themeColor="text1"/>
          <w:sz w:val="24"/>
        </w:rPr>
        <w:t>20</w:t>
      </w:r>
      <w:r>
        <w:rPr>
          <w:b/>
          <w:bCs/>
          <w:color w:val="000000" w:themeColor="text1"/>
          <w:sz w:val="24"/>
        </w:rPr>
        <w:t>3</w:t>
      </w:r>
      <w:r>
        <w:rPr>
          <w:rFonts w:hint="eastAsia"/>
          <w:b/>
          <w:bCs/>
          <w:color w:val="000000" w:themeColor="text1"/>
          <w:sz w:val="24"/>
        </w:rPr>
        <w:t>5年平阴县各行业再生水需水结构图</w:t>
      </w:r>
    </w:p>
    <w:p w14:paraId="56799783">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依区域分析可知，平阴县规划年再生水主要利用区域均为中心城区、安城镇和孔村镇，其中2</w:t>
      </w:r>
      <w:r>
        <w:rPr>
          <w:color w:val="000000" w:themeColor="text1"/>
          <w:sz w:val="28"/>
          <w:szCs w:val="28"/>
        </w:rPr>
        <w:t>0</w:t>
      </w:r>
      <w:r>
        <w:rPr>
          <w:rFonts w:hint="eastAsia"/>
          <w:color w:val="000000" w:themeColor="text1"/>
          <w:sz w:val="28"/>
          <w:szCs w:val="28"/>
        </w:rPr>
        <w:t>30年再生水需水量为1013.3万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、139.2万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和209.6万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年再生水需水量为</w:t>
      </w:r>
      <w:r>
        <w:rPr>
          <w:color w:val="000000" w:themeColor="text1"/>
          <w:sz w:val="28"/>
          <w:szCs w:val="28"/>
        </w:rPr>
        <w:t>1</w:t>
      </w:r>
      <w:r>
        <w:rPr>
          <w:rFonts w:hint="eastAsia"/>
          <w:color w:val="000000" w:themeColor="text1"/>
          <w:sz w:val="28"/>
          <w:szCs w:val="28"/>
        </w:rPr>
        <w:t>160.9万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、310.1万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和371.3万</w:t>
      </w:r>
      <w:r>
        <w:rPr>
          <w:color w:val="000000" w:themeColor="text1"/>
          <w:sz w:val="28"/>
          <w:szCs w:val="28"/>
        </w:rPr>
        <w:t>m</w:t>
      </w:r>
      <w:r>
        <w:rPr>
          <w:rFonts w:hint="eastAsia"/>
          <w:bCs/>
          <w:color w:val="000000" w:themeColor="text1"/>
          <w:kern w:val="44"/>
          <w:sz w:val="28"/>
          <w:szCs w:val="28"/>
          <w:vertAlign w:val="superscript"/>
        </w:rPr>
        <w:t>3</w:t>
      </w:r>
      <w:r>
        <w:rPr>
          <w:rFonts w:hint="eastAsia"/>
          <w:color w:val="000000" w:themeColor="text1"/>
          <w:sz w:val="28"/>
          <w:szCs w:val="28"/>
        </w:rPr>
        <w:t>。据了解，平阴县城乡发展规划注重发展中心城区、安城镇和孔村镇，其中安城镇规划为平阴县东部产业新城，孔村镇主要发展炭素产业，而且当地均具有较好的再生水利用条件，符合沿黄流域高质量发展要求和平阴县再生水利用要求。</w:t>
      </w:r>
    </w:p>
    <w:p w14:paraId="1EC8BB3D">
      <w:pPr>
        <w:tabs>
          <w:tab w:val="left" w:pos="5400"/>
        </w:tabs>
        <w:spacing w:line="600" w:lineRule="exact"/>
        <w:ind w:firstLine="560" w:firstLineChars="200"/>
        <w:rPr>
          <w:color w:val="000000" w:themeColor="text1"/>
          <w:sz w:val="28"/>
          <w:szCs w:val="28"/>
        </w:rPr>
      </w:pPr>
      <w:r>
        <w:rPr>
          <w:rFonts w:hint="eastAsia"/>
          <w:color w:val="000000" w:themeColor="text1"/>
          <w:sz w:val="28"/>
          <w:szCs w:val="28"/>
        </w:rPr>
        <w:t>综上分析可知，规划年平阴县各行业的用水水平较高，同时为推进平阴县污水资源化，加大再生水利用，各行业及各城镇的再生水利用要求符合山东省、济南市关于再生水利用要求。</w:t>
      </w:r>
    </w:p>
    <w:p w14:paraId="23B1427B">
      <w:pPr>
        <w:tabs>
          <w:tab w:val="left" w:pos="5400"/>
        </w:tabs>
        <w:spacing w:line="600" w:lineRule="exact"/>
        <w:ind w:firstLine="560" w:firstLineChars="200"/>
        <w:rPr>
          <w:color w:val="000000" w:themeColor="text1"/>
          <w:sz w:val="28"/>
          <w:szCs w:val="28"/>
        </w:rPr>
        <w:sectPr>
          <w:pgSz w:w="11906" w:h="16838"/>
          <w:pgMar w:top="1440" w:right="1800" w:bottom="1440" w:left="1800" w:header="1020" w:footer="992" w:gutter="0"/>
          <w:cols w:space="425" w:num="1"/>
          <w:docGrid w:linePitch="312" w:charSpace="0"/>
        </w:sectPr>
      </w:pPr>
    </w:p>
    <w:p w14:paraId="6BA7784E">
      <w:pPr>
        <w:pageBreakBefore/>
        <w:tabs>
          <w:tab w:val="center" w:pos="4535"/>
          <w:tab w:val="right" w:pos="9070"/>
        </w:tabs>
        <w:spacing w:before="240" w:beforeLines="100" w:after="360" w:afterLines="150" w:line="600" w:lineRule="exact"/>
        <w:jc w:val="center"/>
        <w:outlineLvl w:val="0"/>
        <w:rPr>
          <w:b/>
          <w:color w:val="000000" w:themeColor="text1"/>
          <w:sz w:val="44"/>
          <w:szCs w:val="36"/>
        </w:rPr>
      </w:pPr>
      <w:bookmarkStart w:id="145" w:name="_Toc55920537"/>
      <w:bookmarkStart w:id="146" w:name="_Toc181472936"/>
      <w:bookmarkStart w:id="147" w:name="_Toc144243729"/>
      <w:r>
        <w:rPr>
          <w:b/>
          <w:color w:val="000000" w:themeColor="text1"/>
          <w:sz w:val="44"/>
          <w:szCs w:val="36"/>
        </w:rPr>
        <w:t>第</w:t>
      </w:r>
      <w:r>
        <w:rPr>
          <w:rFonts w:hint="eastAsia"/>
          <w:b/>
          <w:color w:val="000000" w:themeColor="text1"/>
          <w:sz w:val="44"/>
          <w:szCs w:val="36"/>
        </w:rPr>
        <w:t>五</w:t>
      </w:r>
      <w:r>
        <w:rPr>
          <w:b/>
          <w:color w:val="000000" w:themeColor="text1"/>
          <w:sz w:val="44"/>
          <w:szCs w:val="36"/>
        </w:rPr>
        <w:t xml:space="preserve">章  </w:t>
      </w:r>
      <w:bookmarkEnd w:id="145"/>
      <w:r>
        <w:rPr>
          <w:b/>
          <w:color w:val="000000" w:themeColor="text1"/>
          <w:sz w:val="44"/>
          <w:szCs w:val="36"/>
        </w:rPr>
        <w:t>再生水可利用量预测</w:t>
      </w:r>
      <w:bookmarkEnd w:id="146"/>
      <w:bookmarkEnd w:id="147"/>
    </w:p>
    <w:p w14:paraId="50F37D97">
      <w:pPr>
        <w:autoSpaceDE w:val="0"/>
        <w:autoSpaceDN w:val="0"/>
        <w:spacing w:line="600" w:lineRule="exact"/>
        <w:ind w:firstLine="560" w:firstLineChars="200"/>
        <w:textAlignment w:val="baseline"/>
        <w:rPr>
          <w:color w:val="000000" w:themeColor="text1"/>
          <w:kern w:val="0"/>
          <w:sz w:val="28"/>
          <w:szCs w:val="28"/>
          <w:lang w:val="zh-CN"/>
        </w:rPr>
      </w:pPr>
      <w:bookmarkStart w:id="148" w:name="_Toc522198197"/>
      <w:bookmarkStart w:id="149" w:name="_Toc509934851"/>
      <w:bookmarkStart w:id="150" w:name="_Toc509934591"/>
      <w:r>
        <w:rPr>
          <w:rFonts w:hint="eastAsia"/>
          <w:color w:val="000000" w:themeColor="text1"/>
          <w:kern w:val="0"/>
          <w:sz w:val="28"/>
          <w:szCs w:val="28"/>
          <w:lang w:val="zh-CN"/>
        </w:rPr>
        <w:t>根据《城镇再生水利用规划编制指南》（SL 760-2018）可知，再生水可利用量预测可根据污水排放量、污水处理能力、污水处理厂建设规划和污水处理量进行分析预测。因此需要对平阴县规划年污水量及污水处理厂规模等情况进行分析，再进行再生水可利用量预测。</w:t>
      </w:r>
    </w:p>
    <w:p w14:paraId="2A2ACFED">
      <w:pPr>
        <w:snapToGrid w:val="0"/>
        <w:spacing w:before="120" w:beforeLines="50" w:after="120" w:afterLines="50" w:line="600" w:lineRule="exact"/>
        <w:outlineLvl w:val="1"/>
        <w:rPr>
          <w:b/>
          <w:color w:val="000000" w:themeColor="text1"/>
          <w:sz w:val="30"/>
          <w:szCs w:val="30"/>
        </w:rPr>
      </w:pPr>
      <w:bookmarkStart w:id="151" w:name="_Toc181472937"/>
      <w:bookmarkStart w:id="152" w:name="_Toc144243812"/>
      <w:bookmarkStart w:id="153" w:name="_Toc144243730"/>
      <w:r>
        <w:rPr>
          <w:b/>
          <w:color w:val="000000" w:themeColor="text1"/>
          <w:sz w:val="30"/>
          <w:szCs w:val="30"/>
        </w:rPr>
        <w:t xml:space="preserve">5.1 </w:t>
      </w:r>
      <w:r>
        <w:rPr>
          <w:rFonts w:hint="eastAsia"/>
          <w:b/>
          <w:color w:val="000000" w:themeColor="text1"/>
          <w:sz w:val="30"/>
          <w:szCs w:val="30"/>
        </w:rPr>
        <w:t>污水量预测</w:t>
      </w:r>
      <w:bookmarkEnd w:id="151"/>
      <w:bookmarkEnd w:id="152"/>
      <w:bookmarkEnd w:id="153"/>
    </w:p>
    <w:p w14:paraId="477775F6">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根据平阴县规划年用水需求预测成果，结合《平阴县城乡污水处理统筹规划（2</w:t>
      </w:r>
      <w:r>
        <w:rPr>
          <w:color w:val="000000" w:themeColor="text1"/>
          <w:kern w:val="0"/>
          <w:sz w:val="28"/>
          <w:szCs w:val="28"/>
          <w:lang w:val="zh-CN"/>
        </w:rPr>
        <w:t>017</w:t>
      </w:r>
      <w:r>
        <w:rPr>
          <w:rFonts w:hint="eastAsia"/>
          <w:color w:val="000000" w:themeColor="text1"/>
          <w:kern w:val="0"/>
          <w:sz w:val="28"/>
          <w:szCs w:val="28"/>
          <w:lang w:val="zh-CN"/>
        </w:rPr>
        <w:t>—</w:t>
      </w:r>
      <w:r>
        <w:rPr>
          <w:color w:val="000000" w:themeColor="text1"/>
          <w:kern w:val="0"/>
          <w:sz w:val="28"/>
          <w:szCs w:val="28"/>
          <w:lang w:val="zh-CN"/>
        </w:rPr>
        <w:t>2035</w:t>
      </w:r>
      <w:r>
        <w:rPr>
          <w:rFonts w:hint="eastAsia"/>
          <w:color w:val="000000" w:themeColor="text1"/>
          <w:kern w:val="0"/>
          <w:sz w:val="28"/>
          <w:szCs w:val="28"/>
          <w:lang w:val="zh-CN"/>
        </w:rPr>
        <w:t>年）》等资料对平阴县规划年的污水量进行预测。</w:t>
      </w:r>
    </w:p>
    <w:p w14:paraId="503358B6">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1、规划年用水需求</w:t>
      </w:r>
    </w:p>
    <w:p w14:paraId="5CDF0CCA">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平阴县规划年用水包含居民生活用水、城镇公共用水、工业用水、农业用水、生态环境用水。根据各行业用水情况分析，仅有居民生活用水、城镇公共用水、工业用水产生废污水。因此，平阴县污水量预测仅考虑规划年平阴县居民生活用水、城镇公共用水、工业用水。</w:t>
      </w:r>
    </w:p>
    <w:p w14:paraId="73FA96F1">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（1）居民生活用水</w:t>
      </w:r>
    </w:p>
    <w:p w14:paraId="6F7D9B87">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sz w:val="28"/>
          <w:szCs w:val="28"/>
        </w:rPr>
        <w:t>根据规划年平阴县城镇居民和农村居民用水预测成果可知，2030年平阴县生活需水量为1122.2万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其中城镇居民生活需水量为765.0万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农村居民生活需水量为357.2万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；2035年平阴县生活需水量为1406.7万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其中城镇居民生活需水量为1035万</w:t>
      </w:r>
      <w:r>
        <w:rPr>
          <w:color w:val="000000" w:themeColor="text1"/>
          <w:sz w:val="28"/>
          <w:szCs w:val="28"/>
        </w:rPr>
        <w:t>m</w:t>
      </w:r>
      <w:r>
        <w:rPr>
          <w:color w:val="000000" w:themeColor="text1"/>
          <w:sz w:val="28"/>
          <w:szCs w:val="28"/>
          <w:vertAlign w:val="superscript"/>
        </w:rPr>
        <w:t>3</w:t>
      </w:r>
      <w:r>
        <w:rPr>
          <w:color w:val="000000" w:themeColor="text1"/>
          <w:sz w:val="28"/>
          <w:szCs w:val="28"/>
        </w:rPr>
        <w:t>，</w:t>
      </w:r>
      <w:r>
        <w:rPr>
          <w:rFonts w:hint="eastAsia"/>
          <w:color w:val="000000" w:themeColor="text1"/>
          <w:sz w:val="28"/>
          <w:szCs w:val="28"/>
        </w:rPr>
        <w:t>农村居民生活需水量为371.7万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w:t>
      </w:r>
    </w:p>
    <w:p w14:paraId="40C46D2C">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（2）城镇公共用水</w:t>
      </w:r>
    </w:p>
    <w:p w14:paraId="4A9D16D0">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sz w:val="28"/>
          <w:szCs w:val="28"/>
        </w:rPr>
        <w:t>根据规划年平阴县城镇公共用水预测成果可知，</w:t>
      </w:r>
      <w:r>
        <w:rPr>
          <w:rFonts w:hint="eastAsia"/>
          <w:color w:val="000000" w:themeColor="text1"/>
          <w:kern w:val="0"/>
          <w:sz w:val="28"/>
          <w:szCs w:val="28"/>
          <w:lang w:val="zh-CN"/>
        </w:rPr>
        <w:t>2030年平阴县城镇公共用水量为344.3万m</w:t>
      </w:r>
      <w:r>
        <w:rPr>
          <w:rFonts w:hint="eastAsia"/>
          <w:color w:val="000000" w:themeColor="text1"/>
          <w:kern w:val="0"/>
          <w:sz w:val="28"/>
          <w:szCs w:val="28"/>
          <w:vertAlign w:val="superscript"/>
          <w:lang w:val="zh-CN"/>
        </w:rPr>
        <w:t>3</w:t>
      </w:r>
      <w:r>
        <w:rPr>
          <w:rFonts w:hint="eastAsia"/>
          <w:color w:val="000000" w:themeColor="text1"/>
          <w:kern w:val="0"/>
          <w:sz w:val="28"/>
          <w:szCs w:val="28"/>
          <w:lang w:val="zh-CN"/>
        </w:rPr>
        <w:t>，2035年为414.0万m</w:t>
      </w:r>
      <w:r>
        <w:rPr>
          <w:rFonts w:hint="eastAsia"/>
          <w:color w:val="000000" w:themeColor="text1"/>
          <w:kern w:val="0"/>
          <w:sz w:val="28"/>
          <w:szCs w:val="28"/>
          <w:vertAlign w:val="superscript"/>
          <w:lang w:val="zh-CN"/>
        </w:rPr>
        <w:t>3</w:t>
      </w:r>
      <w:r>
        <w:rPr>
          <w:rFonts w:hint="eastAsia"/>
          <w:color w:val="000000" w:themeColor="text1"/>
          <w:kern w:val="0"/>
          <w:sz w:val="28"/>
          <w:szCs w:val="28"/>
          <w:lang w:val="zh-CN"/>
        </w:rPr>
        <w:t>。</w:t>
      </w:r>
    </w:p>
    <w:p w14:paraId="0780FDA3">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（3）工业用水</w:t>
      </w:r>
    </w:p>
    <w:p w14:paraId="7A8F020B">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sz w:val="28"/>
          <w:szCs w:val="28"/>
        </w:rPr>
        <w:t>根据规划年平阴县工业用水预测成果可知，</w:t>
      </w:r>
      <w:r>
        <w:rPr>
          <w:rFonts w:hint="eastAsia"/>
          <w:color w:val="000000" w:themeColor="text1"/>
          <w:kern w:val="0"/>
          <w:sz w:val="28"/>
          <w:szCs w:val="28"/>
          <w:lang w:val="zh-CN"/>
        </w:rPr>
        <w:t>2030年平阴县工业用水量为1608.0万m</w:t>
      </w:r>
      <w:r>
        <w:rPr>
          <w:rFonts w:hint="eastAsia"/>
          <w:color w:val="000000" w:themeColor="text1"/>
          <w:kern w:val="0"/>
          <w:sz w:val="28"/>
          <w:szCs w:val="28"/>
          <w:vertAlign w:val="superscript"/>
          <w:lang w:val="zh-CN"/>
        </w:rPr>
        <w:t>3</w:t>
      </w:r>
      <w:r>
        <w:rPr>
          <w:rFonts w:hint="eastAsia"/>
          <w:color w:val="000000" w:themeColor="text1"/>
          <w:kern w:val="0"/>
          <w:sz w:val="28"/>
          <w:szCs w:val="28"/>
          <w:lang w:val="zh-CN"/>
        </w:rPr>
        <w:t>，2035年为2043.9万m</w:t>
      </w:r>
      <w:r>
        <w:rPr>
          <w:rFonts w:hint="eastAsia"/>
          <w:color w:val="000000" w:themeColor="text1"/>
          <w:kern w:val="0"/>
          <w:sz w:val="28"/>
          <w:szCs w:val="28"/>
          <w:vertAlign w:val="superscript"/>
          <w:lang w:val="zh-CN"/>
        </w:rPr>
        <w:t>3</w:t>
      </w:r>
      <w:r>
        <w:rPr>
          <w:rFonts w:hint="eastAsia"/>
          <w:color w:val="000000" w:themeColor="text1"/>
          <w:kern w:val="0"/>
          <w:sz w:val="28"/>
          <w:szCs w:val="28"/>
          <w:lang w:val="zh-CN"/>
        </w:rPr>
        <w:t>。</w:t>
      </w:r>
    </w:p>
    <w:p w14:paraId="5B4E6A2A">
      <w:pPr>
        <w:autoSpaceDE w:val="0"/>
        <w:autoSpaceDN w:val="0"/>
        <w:spacing w:line="600" w:lineRule="exact"/>
        <w:ind w:firstLine="560" w:firstLineChars="200"/>
        <w:textAlignment w:val="baseline"/>
        <w:rPr>
          <w:color w:val="000000" w:themeColor="text1"/>
          <w:kern w:val="0"/>
          <w:sz w:val="28"/>
          <w:szCs w:val="28"/>
        </w:rPr>
      </w:pPr>
      <w:r>
        <w:rPr>
          <w:rFonts w:hint="eastAsia"/>
          <w:color w:val="000000" w:themeColor="text1"/>
          <w:kern w:val="0"/>
          <w:sz w:val="28"/>
          <w:szCs w:val="28"/>
          <w:lang w:val="zh-CN"/>
        </w:rPr>
        <w:t>2、污水量</w:t>
      </w:r>
      <w:r>
        <w:rPr>
          <w:rFonts w:hint="eastAsia"/>
          <w:color w:val="000000" w:themeColor="text1"/>
          <w:kern w:val="0"/>
          <w:sz w:val="28"/>
          <w:szCs w:val="28"/>
        </w:rPr>
        <w:t>预测方法</w:t>
      </w:r>
    </w:p>
    <w:p w14:paraId="6A4BA4FF">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根据《平阴县城乡污水处理统筹规划（2</w:t>
      </w:r>
      <w:r>
        <w:rPr>
          <w:color w:val="000000" w:themeColor="text1"/>
          <w:kern w:val="0"/>
          <w:sz w:val="28"/>
          <w:szCs w:val="28"/>
          <w:lang w:val="zh-CN"/>
        </w:rPr>
        <w:t>017</w:t>
      </w:r>
      <w:r>
        <w:rPr>
          <w:rFonts w:hint="eastAsia"/>
          <w:color w:val="000000" w:themeColor="text1"/>
          <w:kern w:val="0"/>
          <w:sz w:val="28"/>
          <w:szCs w:val="28"/>
          <w:lang w:val="zh-CN"/>
        </w:rPr>
        <w:t>—</w:t>
      </w:r>
      <w:r>
        <w:rPr>
          <w:color w:val="000000" w:themeColor="text1"/>
          <w:kern w:val="0"/>
          <w:sz w:val="28"/>
          <w:szCs w:val="28"/>
          <w:lang w:val="zh-CN"/>
        </w:rPr>
        <w:t>2035</w:t>
      </w:r>
      <w:r>
        <w:rPr>
          <w:rFonts w:hint="eastAsia"/>
          <w:color w:val="000000" w:themeColor="text1"/>
          <w:kern w:val="0"/>
          <w:sz w:val="28"/>
          <w:szCs w:val="28"/>
          <w:lang w:val="zh-CN"/>
        </w:rPr>
        <w:t>年）》和《城市排水工程规划规范》（GB 50318-2016）确定，平阴县规划年的污水量预测，预测方法采用指标法进行污水量预测。</w:t>
      </w:r>
    </w:p>
    <w:p w14:paraId="7305BF5F">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结合平阴县现状年污水排放及收集情况，同时考虑规划年污水处理厂及管网配套建设，确定平阴县规划年各行业污水排放系数及污水收集率，具体详见表</w:t>
      </w:r>
      <w:r>
        <w:rPr>
          <w:color w:val="000000" w:themeColor="text1"/>
          <w:kern w:val="0"/>
          <w:sz w:val="28"/>
          <w:szCs w:val="28"/>
          <w:lang w:val="zh-CN"/>
        </w:rPr>
        <w:t>5.1-</w:t>
      </w:r>
      <w:r>
        <w:rPr>
          <w:rFonts w:hint="eastAsia"/>
          <w:color w:val="000000" w:themeColor="text1"/>
          <w:kern w:val="0"/>
          <w:sz w:val="28"/>
          <w:szCs w:val="28"/>
          <w:lang w:val="zh-CN"/>
        </w:rPr>
        <w:t>1。</w:t>
      </w:r>
    </w:p>
    <w:p w14:paraId="3E8B9F91">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5.1-</w:t>
      </w:r>
      <w:r>
        <w:rPr>
          <w:rFonts w:hint="eastAsia"/>
          <w:b/>
          <w:bCs/>
          <w:color w:val="000000" w:themeColor="text1"/>
          <w:sz w:val="24"/>
        </w:rPr>
        <w:t>1</w:t>
      </w:r>
      <w:r>
        <w:rPr>
          <w:b/>
          <w:bCs/>
          <w:color w:val="000000" w:themeColor="text1"/>
          <w:sz w:val="24"/>
        </w:rPr>
        <w:t xml:space="preserve">  </w:t>
      </w:r>
      <w:r>
        <w:rPr>
          <w:rFonts w:hint="eastAsia"/>
          <w:b/>
          <w:bCs/>
          <w:color w:val="000000" w:themeColor="text1"/>
          <w:sz w:val="24"/>
        </w:rPr>
        <w:t>规划年平阴县污水排放系数及污水收集率统计表</w:t>
      </w:r>
    </w:p>
    <w:tbl>
      <w:tblPr>
        <w:tblStyle w:val="46"/>
        <w:tblW w:w="0" w:type="auto"/>
        <w:tblInd w:w="108" w:type="dxa"/>
        <w:tblLayout w:type="autofit"/>
        <w:tblCellMar>
          <w:top w:w="0" w:type="dxa"/>
          <w:left w:w="108" w:type="dxa"/>
          <w:bottom w:w="0" w:type="dxa"/>
          <w:right w:w="108" w:type="dxa"/>
        </w:tblCellMar>
      </w:tblPr>
      <w:tblGrid>
        <w:gridCol w:w="993"/>
        <w:gridCol w:w="1701"/>
        <w:gridCol w:w="1559"/>
        <w:gridCol w:w="1711"/>
        <w:gridCol w:w="1421"/>
        <w:gridCol w:w="1029"/>
      </w:tblGrid>
      <w:tr w14:paraId="212326BA">
        <w:tblPrEx>
          <w:tblCellMar>
            <w:top w:w="0" w:type="dxa"/>
            <w:left w:w="108" w:type="dxa"/>
            <w:bottom w:w="0" w:type="dxa"/>
            <w:right w:w="108" w:type="dxa"/>
          </w:tblCellMar>
        </w:tblPrEx>
        <w:trPr>
          <w:trHeight w:val="276" w:hRule="atLeast"/>
        </w:trPr>
        <w:tc>
          <w:tcPr>
            <w:tcW w:w="993" w:type="dxa"/>
            <w:tcBorders>
              <w:top w:val="single" w:color="auto" w:sz="4" w:space="0"/>
              <w:left w:val="single" w:color="auto" w:sz="4" w:space="0"/>
              <w:bottom w:val="single" w:color="auto" w:sz="4" w:space="0"/>
              <w:right w:val="single" w:color="auto" w:sz="4" w:space="0"/>
            </w:tcBorders>
            <w:vAlign w:val="center"/>
          </w:tcPr>
          <w:p w14:paraId="0D75417D">
            <w:pPr>
              <w:widowControl/>
              <w:jc w:val="center"/>
              <w:rPr>
                <w:color w:val="000000" w:themeColor="text1"/>
                <w:kern w:val="0"/>
                <w:sz w:val="22"/>
                <w:szCs w:val="22"/>
              </w:rPr>
            </w:pPr>
            <w:r>
              <w:rPr>
                <w:color w:val="000000" w:themeColor="text1"/>
                <w:kern w:val="0"/>
                <w:sz w:val="22"/>
                <w:szCs w:val="22"/>
              </w:rPr>
              <w:t>规划年</w:t>
            </w:r>
          </w:p>
        </w:tc>
        <w:tc>
          <w:tcPr>
            <w:tcW w:w="1701" w:type="dxa"/>
            <w:tcBorders>
              <w:top w:val="single" w:color="auto" w:sz="4" w:space="0"/>
              <w:left w:val="nil"/>
              <w:bottom w:val="single" w:color="auto" w:sz="4" w:space="0"/>
              <w:right w:val="single" w:color="auto" w:sz="4" w:space="0"/>
            </w:tcBorders>
            <w:noWrap/>
            <w:vAlign w:val="center"/>
          </w:tcPr>
          <w:p w14:paraId="665E1AA5">
            <w:pPr>
              <w:widowControl/>
              <w:jc w:val="center"/>
              <w:rPr>
                <w:color w:val="000000" w:themeColor="text1"/>
                <w:kern w:val="0"/>
                <w:sz w:val="22"/>
                <w:szCs w:val="22"/>
              </w:rPr>
            </w:pPr>
            <w:r>
              <w:rPr>
                <w:color w:val="000000" w:themeColor="text1"/>
                <w:kern w:val="0"/>
                <w:sz w:val="22"/>
                <w:szCs w:val="22"/>
              </w:rPr>
              <w:t>类别</w:t>
            </w:r>
          </w:p>
        </w:tc>
        <w:tc>
          <w:tcPr>
            <w:tcW w:w="1559" w:type="dxa"/>
            <w:tcBorders>
              <w:top w:val="single" w:color="auto" w:sz="4" w:space="0"/>
              <w:left w:val="nil"/>
              <w:bottom w:val="single" w:color="auto" w:sz="4" w:space="0"/>
              <w:right w:val="single" w:color="auto" w:sz="4" w:space="0"/>
            </w:tcBorders>
            <w:vAlign w:val="center"/>
          </w:tcPr>
          <w:p w14:paraId="43311BA9">
            <w:pPr>
              <w:widowControl/>
              <w:jc w:val="center"/>
              <w:rPr>
                <w:color w:val="000000" w:themeColor="text1"/>
                <w:kern w:val="0"/>
                <w:sz w:val="22"/>
                <w:szCs w:val="22"/>
              </w:rPr>
            </w:pPr>
            <w:r>
              <w:rPr>
                <w:rFonts w:hint="eastAsia"/>
                <w:color w:val="000000" w:themeColor="text1"/>
                <w:kern w:val="0"/>
                <w:sz w:val="22"/>
                <w:szCs w:val="22"/>
              </w:rPr>
              <w:t>城镇居民生活污水</w:t>
            </w:r>
          </w:p>
        </w:tc>
        <w:tc>
          <w:tcPr>
            <w:tcW w:w="1711" w:type="dxa"/>
            <w:tcBorders>
              <w:top w:val="single" w:color="auto" w:sz="4" w:space="0"/>
              <w:left w:val="nil"/>
              <w:bottom w:val="single" w:color="auto" w:sz="4" w:space="0"/>
              <w:right w:val="single" w:color="auto" w:sz="4" w:space="0"/>
            </w:tcBorders>
            <w:vAlign w:val="center"/>
          </w:tcPr>
          <w:p w14:paraId="4DFEF590">
            <w:pPr>
              <w:widowControl/>
              <w:jc w:val="center"/>
              <w:rPr>
                <w:color w:val="000000" w:themeColor="text1"/>
                <w:kern w:val="0"/>
                <w:sz w:val="22"/>
                <w:szCs w:val="22"/>
              </w:rPr>
            </w:pPr>
            <w:r>
              <w:rPr>
                <w:rFonts w:hint="eastAsia"/>
                <w:color w:val="000000" w:themeColor="text1"/>
                <w:kern w:val="0"/>
                <w:sz w:val="22"/>
                <w:szCs w:val="22"/>
              </w:rPr>
              <w:t>农村居民生活污水</w:t>
            </w:r>
          </w:p>
        </w:tc>
        <w:tc>
          <w:tcPr>
            <w:tcW w:w="0" w:type="auto"/>
            <w:tcBorders>
              <w:top w:val="single" w:color="auto" w:sz="4" w:space="0"/>
              <w:left w:val="nil"/>
              <w:bottom w:val="single" w:color="auto" w:sz="4" w:space="0"/>
              <w:right w:val="single" w:color="auto" w:sz="4" w:space="0"/>
            </w:tcBorders>
            <w:vAlign w:val="center"/>
          </w:tcPr>
          <w:p w14:paraId="491F86FA">
            <w:pPr>
              <w:widowControl/>
              <w:jc w:val="center"/>
              <w:rPr>
                <w:color w:val="000000" w:themeColor="text1"/>
                <w:kern w:val="0"/>
                <w:sz w:val="22"/>
                <w:szCs w:val="22"/>
              </w:rPr>
            </w:pPr>
            <w:r>
              <w:rPr>
                <w:rFonts w:hint="eastAsia"/>
                <w:color w:val="000000" w:themeColor="text1"/>
                <w:kern w:val="0"/>
                <w:sz w:val="22"/>
                <w:szCs w:val="22"/>
              </w:rPr>
              <w:t>城镇公共污水</w:t>
            </w:r>
          </w:p>
        </w:tc>
        <w:tc>
          <w:tcPr>
            <w:tcW w:w="0" w:type="auto"/>
            <w:tcBorders>
              <w:top w:val="single" w:color="auto" w:sz="4" w:space="0"/>
              <w:left w:val="nil"/>
              <w:bottom w:val="single" w:color="auto" w:sz="4" w:space="0"/>
              <w:right w:val="single" w:color="auto" w:sz="4" w:space="0"/>
            </w:tcBorders>
            <w:vAlign w:val="center"/>
          </w:tcPr>
          <w:p w14:paraId="598A13B7">
            <w:pPr>
              <w:widowControl/>
              <w:jc w:val="center"/>
              <w:rPr>
                <w:color w:val="000000" w:themeColor="text1"/>
                <w:kern w:val="0"/>
                <w:sz w:val="22"/>
                <w:szCs w:val="22"/>
              </w:rPr>
            </w:pPr>
            <w:r>
              <w:rPr>
                <w:rFonts w:hint="eastAsia"/>
                <w:color w:val="000000" w:themeColor="text1"/>
                <w:kern w:val="0"/>
                <w:sz w:val="22"/>
                <w:szCs w:val="22"/>
              </w:rPr>
              <w:t>工业污水</w:t>
            </w:r>
          </w:p>
        </w:tc>
      </w:tr>
      <w:tr w14:paraId="6A6BC1E6">
        <w:tblPrEx>
          <w:tblCellMar>
            <w:top w:w="0" w:type="dxa"/>
            <w:left w:w="108" w:type="dxa"/>
            <w:bottom w:w="0" w:type="dxa"/>
            <w:right w:w="108" w:type="dxa"/>
          </w:tblCellMar>
        </w:tblPrEx>
        <w:trPr>
          <w:trHeight w:val="576" w:hRule="atLeast"/>
        </w:trPr>
        <w:tc>
          <w:tcPr>
            <w:tcW w:w="993" w:type="dxa"/>
            <w:vMerge w:val="restart"/>
            <w:tcBorders>
              <w:top w:val="nil"/>
              <w:left w:val="single" w:color="auto" w:sz="4" w:space="0"/>
              <w:bottom w:val="single" w:color="auto" w:sz="4" w:space="0"/>
              <w:right w:val="single" w:color="auto" w:sz="4" w:space="0"/>
            </w:tcBorders>
            <w:vAlign w:val="center"/>
          </w:tcPr>
          <w:p w14:paraId="5C917FD7">
            <w:pPr>
              <w:widowControl/>
              <w:jc w:val="center"/>
              <w:rPr>
                <w:color w:val="000000" w:themeColor="text1"/>
                <w:kern w:val="0"/>
                <w:sz w:val="22"/>
                <w:szCs w:val="22"/>
              </w:rPr>
            </w:pPr>
            <w:r>
              <w:rPr>
                <w:color w:val="000000" w:themeColor="text1"/>
                <w:kern w:val="0"/>
                <w:sz w:val="22"/>
                <w:szCs w:val="22"/>
              </w:rPr>
              <w:t>20</w:t>
            </w:r>
            <w:r>
              <w:rPr>
                <w:rFonts w:hint="eastAsia"/>
                <w:color w:val="000000" w:themeColor="text1"/>
                <w:kern w:val="0"/>
                <w:sz w:val="22"/>
                <w:szCs w:val="22"/>
              </w:rPr>
              <w:t>30</w:t>
            </w:r>
            <w:r>
              <w:rPr>
                <w:color w:val="000000" w:themeColor="text1"/>
                <w:kern w:val="0"/>
                <w:sz w:val="22"/>
                <w:szCs w:val="22"/>
              </w:rPr>
              <w:t>年</w:t>
            </w:r>
          </w:p>
        </w:tc>
        <w:tc>
          <w:tcPr>
            <w:tcW w:w="1701" w:type="dxa"/>
            <w:tcBorders>
              <w:top w:val="nil"/>
              <w:left w:val="nil"/>
              <w:bottom w:val="single" w:color="auto" w:sz="4" w:space="0"/>
              <w:right w:val="single" w:color="auto" w:sz="4" w:space="0"/>
            </w:tcBorders>
            <w:vAlign w:val="center"/>
          </w:tcPr>
          <w:p w14:paraId="54E245E1">
            <w:pPr>
              <w:widowControl/>
              <w:jc w:val="center"/>
              <w:rPr>
                <w:color w:val="000000" w:themeColor="text1"/>
                <w:kern w:val="0"/>
                <w:sz w:val="22"/>
                <w:szCs w:val="22"/>
              </w:rPr>
            </w:pPr>
            <w:r>
              <w:rPr>
                <w:color w:val="000000" w:themeColor="text1"/>
                <w:kern w:val="0"/>
                <w:sz w:val="22"/>
                <w:szCs w:val="22"/>
              </w:rPr>
              <w:t>污水排放系数</w:t>
            </w:r>
          </w:p>
        </w:tc>
        <w:tc>
          <w:tcPr>
            <w:tcW w:w="1559" w:type="dxa"/>
            <w:tcBorders>
              <w:top w:val="nil"/>
              <w:left w:val="nil"/>
              <w:bottom w:val="single" w:color="auto" w:sz="4" w:space="0"/>
              <w:right w:val="single" w:color="auto" w:sz="4" w:space="0"/>
            </w:tcBorders>
            <w:vAlign w:val="center"/>
          </w:tcPr>
          <w:p w14:paraId="079F9C5D">
            <w:pPr>
              <w:widowControl/>
              <w:jc w:val="center"/>
              <w:rPr>
                <w:color w:val="000000" w:themeColor="text1"/>
                <w:kern w:val="0"/>
                <w:sz w:val="22"/>
                <w:szCs w:val="22"/>
              </w:rPr>
            </w:pPr>
            <w:r>
              <w:rPr>
                <w:color w:val="000000" w:themeColor="text1"/>
                <w:kern w:val="0"/>
                <w:sz w:val="22"/>
                <w:szCs w:val="22"/>
              </w:rPr>
              <w:t>0.8</w:t>
            </w:r>
          </w:p>
        </w:tc>
        <w:tc>
          <w:tcPr>
            <w:tcW w:w="1711" w:type="dxa"/>
            <w:tcBorders>
              <w:top w:val="nil"/>
              <w:left w:val="nil"/>
              <w:bottom w:val="single" w:color="auto" w:sz="4" w:space="0"/>
              <w:right w:val="single" w:color="auto" w:sz="4" w:space="0"/>
            </w:tcBorders>
            <w:vAlign w:val="center"/>
          </w:tcPr>
          <w:p w14:paraId="113E442D">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8</w:t>
            </w:r>
          </w:p>
        </w:tc>
        <w:tc>
          <w:tcPr>
            <w:tcW w:w="0" w:type="auto"/>
            <w:tcBorders>
              <w:top w:val="nil"/>
              <w:left w:val="nil"/>
              <w:bottom w:val="single" w:color="auto" w:sz="4" w:space="0"/>
              <w:right w:val="single" w:color="auto" w:sz="4" w:space="0"/>
            </w:tcBorders>
            <w:vAlign w:val="center"/>
          </w:tcPr>
          <w:p w14:paraId="1CCA2228">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9</w:t>
            </w:r>
          </w:p>
        </w:tc>
        <w:tc>
          <w:tcPr>
            <w:tcW w:w="0" w:type="auto"/>
            <w:tcBorders>
              <w:top w:val="nil"/>
              <w:left w:val="nil"/>
              <w:bottom w:val="single" w:color="auto" w:sz="4" w:space="0"/>
              <w:right w:val="single" w:color="auto" w:sz="4" w:space="0"/>
            </w:tcBorders>
            <w:vAlign w:val="center"/>
          </w:tcPr>
          <w:p w14:paraId="118D07AA">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6</w:t>
            </w:r>
          </w:p>
        </w:tc>
      </w:tr>
      <w:tr w14:paraId="5F89D15A">
        <w:tblPrEx>
          <w:tblCellMar>
            <w:top w:w="0" w:type="dxa"/>
            <w:left w:w="108" w:type="dxa"/>
            <w:bottom w:w="0" w:type="dxa"/>
            <w:right w:w="108" w:type="dxa"/>
          </w:tblCellMar>
        </w:tblPrEx>
        <w:trPr>
          <w:trHeight w:val="576" w:hRule="atLeast"/>
        </w:trPr>
        <w:tc>
          <w:tcPr>
            <w:tcW w:w="993" w:type="dxa"/>
            <w:vMerge w:val="continue"/>
            <w:tcBorders>
              <w:top w:val="nil"/>
              <w:left w:val="single" w:color="auto" w:sz="4" w:space="0"/>
              <w:bottom w:val="single" w:color="auto" w:sz="4" w:space="0"/>
              <w:right w:val="single" w:color="auto" w:sz="4" w:space="0"/>
            </w:tcBorders>
            <w:vAlign w:val="center"/>
          </w:tcPr>
          <w:p w14:paraId="42FA76C9">
            <w:pPr>
              <w:widowControl/>
              <w:jc w:val="left"/>
              <w:rPr>
                <w:color w:val="000000" w:themeColor="text1"/>
                <w:kern w:val="0"/>
                <w:sz w:val="22"/>
                <w:szCs w:val="22"/>
              </w:rPr>
            </w:pPr>
          </w:p>
        </w:tc>
        <w:tc>
          <w:tcPr>
            <w:tcW w:w="1701" w:type="dxa"/>
            <w:tcBorders>
              <w:top w:val="nil"/>
              <w:left w:val="nil"/>
              <w:bottom w:val="single" w:color="auto" w:sz="4" w:space="0"/>
              <w:right w:val="single" w:color="auto" w:sz="4" w:space="0"/>
            </w:tcBorders>
            <w:vAlign w:val="center"/>
          </w:tcPr>
          <w:p w14:paraId="1DABDBE2">
            <w:pPr>
              <w:widowControl/>
              <w:jc w:val="center"/>
              <w:rPr>
                <w:color w:val="000000" w:themeColor="text1"/>
                <w:kern w:val="0"/>
                <w:sz w:val="22"/>
                <w:szCs w:val="22"/>
              </w:rPr>
            </w:pPr>
            <w:r>
              <w:rPr>
                <w:color w:val="000000" w:themeColor="text1"/>
                <w:kern w:val="0"/>
                <w:sz w:val="22"/>
                <w:szCs w:val="22"/>
              </w:rPr>
              <w:t>污水收集率</w:t>
            </w:r>
          </w:p>
        </w:tc>
        <w:tc>
          <w:tcPr>
            <w:tcW w:w="1559" w:type="dxa"/>
            <w:tcBorders>
              <w:top w:val="nil"/>
              <w:left w:val="nil"/>
              <w:bottom w:val="single" w:color="auto" w:sz="4" w:space="0"/>
              <w:right w:val="single" w:color="auto" w:sz="4" w:space="0"/>
            </w:tcBorders>
            <w:vAlign w:val="center"/>
          </w:tcPr>
          <w:p w14:paraId="651F1EED">
            <w:pPr>
              <w:widowControl/>
              <w:jc w:val="center"/>
              <w:rPr>
                <w:color w:val="000000" w:themeColor="text1"/>
                <w:kern w:val="0"/>
                <w:sz w:val="22"/>
                <w:szCs w:val="22"/>
              </w:rPr>
            </w:pPr>
            <w:r>
              <w:rPr>
                <w:rFonts w:hint="eastAsia"/>
                <w:color w:val="000000" w:themeColor="text1"/>
                <w:kern w:val="0"/>
                <w:sz w:val="22"/>
                <w:szCs w:val="22"/>
              </w:rPr>
              <w:t>1.0</w:t>
            </w:r>
          </w:p>
        </w:tc>
        <w:tc>
          <w:tcPr>
            <w:tcW w:w="1711" w:type="dxa"/>
            <w:tcBorders>
              <w:top w:val="nil"/>
              <w:left w:val="nil"/>
              <w:bottom w:val="single" w:color="auto" w:sz="4" w:space="0"/>
              <w:right w:val="single" w:color="auto" w:sz="4" w:space="0"/>
            </w:tcBorders>
            <w:vAlign w:val="center"/>
          </w:tcPr>
          <w:p w14:paraId="75F26248">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8</w:t>
            </w:r>
          </w:p>
        </w:tc>
        <w:tc>
          <w:tcPr>
            <w:tcW w:w="0" w:type="auto"/>
            <w:tcBorders>
              <w:top w:val="nil"/>
              <w:left w:val="nil"/>
              <w:bottom w:val="single" w:color="auto" w:sz="4" w:space="0"/>
              <w:right w:val="single" w:color="auto" w:sz="4" w:space="0"/>
            </w:tcBorders>
            <w:vAlign w:val="center"/>
          </w:tcPr>
          <w:p w14:paraId="6EB14B7B">
            <w:pPr>
              <w:widowControl/>
              <w:jc w:val="center"/>
              <w:rPr>
                <w:color w:val="000000" w:themeColor="text1"/>
                <w:kern w:val="0"/>
                <w:sz w:val="22"/>
                <w:szCs w:val="22"/>
              </w:rPr>
            </w:pPr>
            <w:r>
              <w:rPr>
                <w:rFonts w:hint="eastAsia"/>
                <w:color w:val="000000" w:themeColor="text1"/>
                <w:kern w:val="0"/>
                <w:sz w:val="22"/>
                <w:szCs w:val="22"/>
              </w:rPr>
              <w:t>1.0</w:t>
            </w:r>
          </w:p>
        </w:tc>
        <w:tc>
          <w:tcPr>
            <w:tcW w:w="0" w:type="auto"/>
            <w:tcBorders>
              <w:top w:val="nil"/>
              <w:left w:val="nil"/>
              <w:bottom w:val="single" w:color="auto" w:sz="4" w:space="0"/>
              <w:right w:val="single" w:color="auto" w:sz="4" w:space="0"/>
            </w:tcBorders>
            <w:vAlign w:val="center"/>
          </w:tcPr>
          <w:p w14:paraId="22A99A1B">
            <w:pPr>
              <w:widowControl/>
              <w:jc w:val="center"/>
              <w:rPr>
                <w:color w:val="000000" w:themeColor="text1"/>
                <w:kern w:val="0"/>
                <w:sz w:val="22"/>
                <w:szCs w:val="22"/>
              </w:rPr>
            </w:pPr>
            <w:r>
              <w:rPr>
                <w:rFonts w:hint="eastAsia"/>
                <w:color w:val="000000" w:themeColor="text1"/>
                <w:kern w:val="0"/>
                <w:sz w:val="22"/>
                <w:szCs w:val="22"/>
              </w:rPr>
              <w:t>1.0</w:t>
            </w:r>
          </w:p>
        </w:tc>
      </w:tr>
      <w:tr w14:paraId="01A65A7D">
        <w:tblPrEx>
          <w:tblCellMar>
            <w:top w:w="0" w:type="dxa"/>
            <w:left w:w="108" w:type="dxa"/>
            <w:bottom w:w="0" w:type="dxa"/>
            <w:right w:w="108" w:type="dxa"/>
          </w:tblCellMar>
        </w:tblPrEx>
        <w:trPr>
          <w:trHeight w:val="576" w:hRule="atLeast"/>
        </w:trPr>
        <w:tc>
          <w:tcPr>
            <w:tcW w:w="993" w:type="dxa"/>
            <w:vMerge w:val="restart"/>
            <w:tcBorders>
              <w:top w:val="nil"/>
              <w:left w:val="single" w:color="auto" w:sz="4" w:space="0"/>
              <w:bottom w:val="single" w:color="auto" w:sz="4" w:space="0"/>
              <w:right w:val="single" w:color="auto" w:sz="4" w:space="0"/>
            </w:tcBorders>
            <w:vAlign w:val="center"/>
          </w:tcPr>
          <w:p w14:paraId="453157D7">
            <w:pPr>
              <w:widowControl/>
              <w:jc w:val="center"/>
              <w:rPr>
                <w:color w:val="000000" w:themeColor="text1"/>
                <w:kern w:val="0"/>
                <w:sz w:val="22"/>
                <w:szCs w:val="22"/>
              </w:rPr>
            </w:pPr>
            <w:r>
              <w:rPr>
                <w:color w:val="000000" w:themeColor="text1"/>
                <w:kern w:val="0"/>
                <w:sz w:val="22"/>
                <w:szCs w:val="22"/>
              </w:rPr>
              <w:t>2035年</w:t>
            </w:r>
          </w:p>
        </w:tc>
        <w:tc>
          <w:tcPr>
            <w:tcW w:w="1701" w:type="dxa"/>
            <w:tcBorders>
              <w:top w:val="nil"/>
              <w:left w:val="nil"/>
              <w:bottom w:val="single" w:color="auto" w:sz="4" w:space="0"/>
              <w:right w:val="single" w:color="auto" w:sz="4" w:space="0"/>
            </w:tcBorders>
            <w:vAlign w:val="center"/>
          </w:tcPr>
          <w:p w14:paraId="1103AD66">
            <w:pPr>
              <w:widowControl/>
              <w:jc w:val="center"/>
              <w:rPr>
                <w:color w:val="000000" w:themeColor="text1"/>
                <w:kern w:val="0"/>
                <w:sz w:val="22"/>
                <w:szCs w:val="22"/>
              </w:rPr>
            </w:pPr>
            <w:r>
              <w:rPr>
                <w:color w:val="000000" w:themeColor="text1"/>
                <w:kern w:val="0"/>
                <w:sz w:val="22"/>
                <w:szCs w:val="22"/>
              </w:rPr>
              <w:t>污水排放系数</w:t>
            </w:r>
          </w:p>
        </w:tc>
        <w:tc>
          <w:tcPr>
            <w:tcW w:w="1559" w:type="dxa"/>
            <w:tcBorders>
              <w:top w:val="nil"/>
              <w:left w:val="nil"/>
              <w:bottom w:val="single" w:color="auto" w:sz="4" w:space="0"/>
              <w:right w:val="single" w:color="auto" w:sz="4" w:space="0"/>
            </w:tcBorders>
            <w:vAlign w:val="center"/>
          </w:tcPr>
          <w:p w14:paraId="551FD0CF">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8</w:t>
            </w:r>
          </w:p>
        </w:tc>
        <w:tc>
          <w:tcPr>
            <w:tcW w:w="1711" w:type="dxa"/>
            <w:tcBorders>
              <w:top w:val="nil"/>
              <w:left w:val="nil"/>
              <w:bottom w:val="single" w:color="auto" w:sz="4" w:space="0"/>
              <w:right w:val="single" w:color="auto" w:sz="4" w:space="0"/>
            </w:tcBorders>
            <w:vAlign w:val="center"/>
          </w:tcPr>
          <w:p w14:paraId="409A7C3A">
            <w:pPr>
              <w:widowControl/>
              <w:jc w:val="center"/>
              <w:rPr>
                <w:color w:val="000000" w:themeColor="text1"/>
                <w:kern w:val="0"/>
                <w:sz w:val="22"/>
                <w:szCs w:val="22"/>
              </w:rPr>
            </w:pPr>
            <w:r>
              <w:rPr>
                <w:color w:val="000000" w:themeColor="text1"/>
                <w:kern w:val="0"/>
                <w:sz w:val="22"/>
                <w:szCs w:val="22"/>
              </w:rPr>
              <w:t>0.8</w:t>
            </w:r>
          </w:p>
        </w:tc>
        <w:tc>
          <w:tcPr>
            <w:tcW w:w="0" w:type="auto"/>
            <w:tcBorders>
              <w:top w:val="nil"/>
              <w:left w:val="nil"/>
              <w:bottom w:val="single" w:color="auto" w:sz="4" w:space="0"/>
              <w:right w:val="single" w:color="auto" w:sz="4" w:space="0"/>
            </w:tcBorders>
            <w:vAlign w:val="center"/>
          </w:tcPr>
          <w:p w14:paraId="019C8D8C">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9</w:t>
            </w:r>
          </w:p>
        </w:tc>
        <w:tc>
          <w:tcPr>
            <w:tcW w:w="0" w:type="auto"/>
            <w:tcBorders>
              <w:top w:val="nil"/>
              <w:left w:val="nil"/>
              <w:bottom w:val="single" w:color="auto" w:sz="4" w:space="0"/>
              <w:right w:val="single" w:color="auto" w:sz="4" w:space="0"/>
            </w:tcBorders>
            <w:vAlign w:val="center"/>
          </w:tcPr>
          <w:p w14:paraId="6DEEEA7B">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6</w:t>
            </w:r>
          </w:p>
        </w:tc>
      </w:tr>
      <w:tr w14:paraId="7B3AD442">
        <w:tblPrEx>
          <w:tblCellMar>
            <w:top w:w="0" w:type="dxa"/>
            <w:left w:w="108" w:type="dxa"/>
            <w:bottom w:w="0" w:type="dxa"/>
            <w:right w:w="108" w:type="dxa"/>
          </w:tblCellMar>
        </w:tblPrEx>
        <w:trPr>
          <w:trHeight w:val="576" w:hRule="atLeast"/>
        </w:trPr>
        <w:tc>
          <w:tcPr>
            <w:tcW w:w="993" w:type="dxa"/>
            <w:vMerge w:val="continue"/>
            <w:tcBorders>
              <w:top w:val="nil"/>
              <w:left w:val="single" w:color="auto" w:sz="4" w:space="0"/>
              <w:bottom w:val="single" w:color="auto" w:sz="4" w:space="0"/>
              <w:right w:val="single" w:color="auto" w:sz="4" w:space="0"/>
            </w:tcBorders>
            <w:vAlign w:val="center"/>
          </w:tcPr>
          <w:p w14:paraId="65EA1858">
            <w:pPr>
              <w:widowControl/>
              <w:jc w:val="left"/>
              <w:rPr>
                <w:color w:val="000000" w:themeColor="text1"/>
                <w:kern w:val="0"/>
                <w:sz w:val="22"/>
                <w:szCs w:val="22"/>
              </w:rPr>
            </w:pPr>
          </w:p>
        </w:tc>
        <w:tc>
          <w:tcPr>
            <w:tcW w:w="1701" w:type="dxa"/>
            <w:tcBorders>
              <w:top w:val="nil"/>
              <w:left w:val="nil"/>
              <w:bottom w:val="single" w:color="auto" w:sz="4" w:space="0"/>
              <w:right w:val="single" w:color="auto" w:sz="4" w:space="0"/>
            </w:tcBorders>
            <w:vAlign w:val="center"/>
          </w:tcPr>
          <w:p w14:paraId="60B4C4E1">
            <w:pPr>
              <w:widowControl/>
              <w:jc w:val="center"/>
              <w:rPr>
                <w:color w:val="000000" w:themeColor="text1"/>
                <w:kern w:val="0"/>
                <w:sz w:val="22"/>
                <w:szCs w:val="22"/>
              </w:rPr>
            </w:pPr>
            <w:r>
              <w:rPr>
                <w:color w:val="000000" w:themeColor="text1"/>
                <w:kern w:val="0"/>
                <w:sz w:val="22"/>
                <w:szCs w:val="22"/>
              </w:rPr>
              <w:t>污水收集率</w:t>
            </w:r>
          </w:p>
        </w:tc>
        <w:tc>
          <w:tcPr>
            <w:tcW w:w="1559" w:type="dxa"/>
            <w:tcBorders>
              <w:top w:val="nil"/>
              <w:left w:val="nil"/>
              <w:bottom w:val="single" w:color="auto" w:sz="4" w:space="0"/>
              <w:right w:val="single" w:color="auto" w:sz="4" w:space="0"/>
            </w:tcBorders>
            <w:vAlign w:val="center"/>
          </w:tcPr>
          <w:p w14:paraId="11F1DA09">
            <w:pPr>
              <w:widowControl/>
              <w:jc w:val="center"/>
              <w:rPr>
                <w:color w:val="000000" w:themeColor="text1"/>
                <w:kern w:val="0"/>
                <w:sz w:val="22"/>
                <w:szCs w:val="22"/>
              </w:rPr>
            </w:pPr>
            <w:r>
              <w:rPr>
                <w:rFonts w:hint="eastAsia"/>
                <w:color w:val="000000" w:themeColor="text1"/>
                <w:kern w:val="0"/>
                <w:sz w:val="22"/>
                <w:szCs w:val="22"/>
              </w:rPr>
              <w:t>1.0</w:t>
            </w:r>
          </w:p>
        </w:tc>
        <w:tc>
          <w:tcPr>
            <w:tcW w:w="1711" w:type="dxa"/>
            <w:tcBorders>
              <w:top w:val="nil"/>
              <w:left w:val="nil"/>
              <w:bottom w:val="single" w:color="auto" w:sz="4" w:space="0"/>
              <w:right w:val="single" w:color="auto" w:sz="4" w:space="0"/>
            </w:tcBorders>
            <w:vAlign w:val="center"/>
          </w:tcPr>
          <w:p w14:paraId="06464D23">
            <w:pPr>
              <w:widowControl/>
              <w:jc w:val="center"/>
              <w:rPr>
                <w:color w:val="000000" w:themeColor="text1"/>
                <w:kern w:val="0"/>
                <w:sz w:val="22"/>
                <w:szCs w:val="22"/>
              </w:rPr>
            </w:pPr>
            <w:r>
              <w:rPr>
                <w:rFonts w:hint="eastAsia"/>
                <w:color w:val="000000" w:themeColor="text1"/>
                <w:kern w:val="0"/>
                <w:sz w:val="22"/>
                <w:szCs w:val="22"/>
              </w:rPr>
              <w:t>1.0</w:t>
            </w:r>
          </w:p>
        </w:tc>
        <w:tc>
          <w:tcPr>
            <w:tcW w:w="0" w:type="auto"/>
            <w:tcBorders>
              <w:top w:val="nil"/>
              <w:left w:val="nil"/>
              <w:bottom w:val="single" w:color="auto" w:sz="4" w:space="0"/>
              <w:right w:val="single" w:color="auto" w:sz="4" w:space="0"/>
            </w:tcBorders>
            <w:vAlign w:val="center"/>
          </w:tcPr>
          <w:p w14:paraId="5209DE3A">
            <w:pPr>
              <w:widowControl/>
              <w:jc w:val="center"/>
              <w:rPr>
                <w:color w:val="000000" w:themeColor="text1"/>
                <w:kern w:val="0"/>
                <w:sz w:val="22"/>
                <w:szCs w:val="22"/>
              </w:rPr>
            </w:pPr>
            <w:r>
              <w:rPr>
                <w:rFonts w:hint="eastAsia"/>
                <w:color w:val="000000" w:themeColor="text1"/>
                <w:kern w:val="0"/>
                <w:sz w:val="22"/>
                <w:szCs w:val="22"/>
              </w:rPr>
              <w:t>1.0</w:t>
            </w:r>
          </w:p>
        </w:tc>
        <w:tc>
          <w:tcPr>
            <w:tcW w:w="0" w:type="auto"/>
            <w:tcBorders>
              <w:top w:val="nil"/>
              <w:left w:val="nil"/>
              <w:bottom w:val="single" w:color="auto" w:sz="4" w:space="0"/>
              <w:right w:val="single" w:color="auto" w:sz="4" w:space="0"/>
            </w:tcBorders>
            <w:vAlign w:val="center"/>
          </w:tcPr>
          <w:p w14:paraId="5F9F3ED8">
            <w:pPr>
              <w:widowControl/>
              <w:jc w:val="center"/>
              <w:rPr>
                <w:color w:val="000000" w:themeColor="text1"/>
                <w:kern w:val="0"/>
                <w:sz w:val="22"/>
                <w:szCs w:val="22"/>
              </w:rPr>
            </w:pPr>
            <w:r>
              <w:rPr>
                <w:rFonts w:hint="eastAsia"/>
                <w:color w:val="000000" w:themeColor="text1"/>
                <w:kern w:val="0"/>
                <w:sz w:val="22"/>
                <w:szCs w:val="22"/>
              </w:rPr>
              <w:t>1.0</w:t>
            </w:r>
          </w:p>
        </w:tc>
      </w:tr>
    </w:tbl>
    <w:p w14:paraId="1AEDE87B">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3、污水量预测</w:t>
      </w:r>
    </w:p>
    <w:p w14:paraId="33FC7DF1">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根据平阴县</w:t>
      </w:r>
      <w:bookmarkStart w:id="154" w:name="_Hlk142945973"/>
      <w:r>
        <w:rPr>
          <w:rFonts w:hint="eastAsia"/>
          <w:color w:val="000000" w:themeColor="text1"/>
          <w:kern w:val="0"/>
          <w:sz w:val="28"/>
          <w:szCs w:val="28"/>
          <w:lang w:val="zh-CN"/>
        </w:rPr>
        <w:t>规划年</w:t>
      </w:r>
      <w:bookmarkEnd w:id="154"/>
      <w:r>
        <w:rPr>
          <w:rFonts w:hint="eastAsia"/>
          <w:color w:val="000000" w:themeColor="text1"/>
          <w:kern w:val="0"/>
          <w:sz w:val="28"/>
          <w:szCs w:val="28"/>
          <w:lang w:val="zh-CN"/>
        </w:rPr>
        <w:t>城镇居民生活、农村居民生活、城镇公共和工业用水预测成果，采用指标法进行污水量预测。经预测可知，2</w:t>
      </w:r>
      <w:r>
        <w:rPr>
          <w:color w:val="000000" w:themeColor="text1"/>
          <w:kern w:val="0"/>
          <w:sz w:val="28"/>
          <w:szCs w:val="28"/>
          <w:lang w:val="zh-CN"/>
        </w:rPr>
        <w:t>0</w:t>
      </w:r>
      <w:r>
        <w:rPr>
          <w:rFonts w:hint="eastAsia"/>
          <w:color w:val="000000" w:themeColor="text1"/>
          <w:kern w:val="0"/>
          <w:sz w:val="28"/>
          <w:szCs w:val="28"/>
          <w:lang w:val="zh-CN"/>
        </w:rPr>
        <w:t>30年平阴县年产污废水量为2115.3万m</w:t>
      </w:r>
      <w:r>
        <w:rPr>
          <w:rFonts w:hint="eastAsia"/>
          <w:color w:val="000000" w:themeColor="text1"/>
          <w:kern w:val="0"/>
          <w:sz w:val="28"/>
          <w:szCs w:val="28"/>
          <w:vertAlign w:val="superscript"/>
          <w:lang w:val="zh-CN"/>
        </w:rPr>
        <w:t>3</w:t>
      </w:r>
      <w:r>
        <w:rPr>
          <w:rFonts w:hint="eastAsia"/>
          <w:color w:val="000000" w:themeColor="text1"/>
          <w:kern w:val="0"/>
          <w:sz w:val="28"/>
          <w:szCs w:val="28"/>
          <w:lang w:val="zh-CN"/>
        </w:rPr>
        <w:t>，2</w:t>
      </w:r>
      <w:r>
        <w:rPr>
          <w:color w:val="000000" w:themeColor="text1"/>
          <w:kern w:val="0"/>
          <w:sz w:val="28"/>
          <w:szCs w:val="28"/>
          <w:lang w:val="zh-CN"/>
        </w:rPr>
        <w:t>035</w:t>
      </w:r>
      <w:r>
        <w:rPr>
          <w:rFonts w:hint="eastAsia"/>
          <w:color w:val="000000" w:themeColor="text1"/>
          <w:kern w:val="0"/>
          <w:sz w:val="28"/>
          <w:szCs w:val="28"/>
          <w:lang w:val="zh-CN"/>
        </w:rPr>
        <w:t>年平阴县年产污废水量为2724.3万m</w:t>
      </w:r>
      <w:r>
        <w:rPr>
          <w:rFonts w:hint="eastAsia"/>
          <w:color w:val="000000" w:themeColor="text1"/>
          <w:kern w:val="0"/>
          <w:sz w:val="28"/>
          <w:szCs w:val="28"/>
          <w:vertAlign w:val="superscript"/>
          <w:lang w:val="zh-CN"/>
        </w:rPr>
        <w:t>3</w:t>
      </w:r>
      <w:r>
        <w:rPr>
          <w:rFonts w:hint="eastAsia"/>
          <w:color w:val="000000" w:themeColor="text1"/>
          <w:kern w:val="0"/>
          <w:sz w:val="28"/>
          <w:szCs w:val="28"/>
          <w:lang w:val="zh-CN"/>
        </w:rPr>
        <w:t>，具体详见表</w:t>
      </w:r>
      <w:r>
        <w:rPr>
          <w:color w:val="000000" w:themeColor="text1"/>
          <w:kern w:val="0"/>
          <w:sz w:val="28"/>
          <w:szCs w:val="28"/>
          <w:lang w:val="zh-CN"/>
        </w:rPr>
        <w:t>5.1-</w:t>
      </w:r>
      <w:r>
        <w:rPr>
          <w:rFonts w:hint="eastAsia"/>
          <w:color w:val="000000" w:themeColor="text1"/>
          <w:kern w:val="0"/>
          <w:sz w:val="28"/>
          <w:szCs w:val="28"/>
          <w:lang w:val="zh-CN"/>
        </w:rPr>
        <w:t>2。</w:t>
      </w:r>
    </w:p>
    <w:p w14:paraId="7878566C">
      <w:pPr>
        <w:autoSpaceDE w:val="0"/>
        <w:autoSpaceDN w:val="0"/>
        <w:spacing w:line="600" w:lineRule="exact"/>
        <w:jc w:val="right"/>
        <w:textAlignment w:val="baseline"/>
        <w:rPr>
          <w:b/>
          <w:bCs/>
          <w:color w:val="000000" w:themeColor="text1"/>
          <w:sz w:val="24"/>
        </w:rPr>
      </w:pPr>
      <w:r>
        <w:rPr>
          <w:rFonts w:hint="eastAsia"/>
          <w:b/>
          <w:bCs/>
          <w:color w:val="000000" w:themeColor="text1"/>
          <w:sz w:val="24"/>
        </w:rPr>
        <w:t>表</w:t>
      </w:r>
      <w:r>
        <w:rPr>
          <w:b/>
          <w:bCs/>
          <w:color w:val="000000" w:themeColor="text1"/>
          <w:sz w:val="24"/>
        </w:rPr>
        <w:t>5.1-</w:t>
      </w:r>
      <w:r>
        <w:rPr>
          <w:rFonts w:hint="eastAsia"/>
          <w:b/>
          <w:bCs/>
          <w:color w:val="000000" w:themeColor="text1"/>
          <w:sz w:val="24"/>
        </w:rPr>
        <w:t>2</w:t>
      </w:r>
      <w:r>
        <w:rPr>
          <w:b/>
          <w:bCs/>
          <w:color w:val="000000" w:themeColor="text1"/>
          <w:sz w:val="24"/>
        </w:rPr>
        <w:t xml:space="preserve">  </w:t>
      </w:r>
      <w:r>
        <w:rPr>
          <w:rFonts w:hint="eastAsia"/>
          <w:b/>
          <w:bCs/>
          <w:color w:val="000000" w:themeColor="text1"/>
          <w:sz w:val="24"/>
        </w:rPr>
        <w:t>规划年平阴县年产污水量预测成果表         单位：万m</w:t>
      </w:r>
      <w:r>
        <w:rPr>
          <w:rFonts w:hint="eastAsia"/>
          <w:b/>
          <w:bCs/>
          <w:color w:val="000000" w:themeColor="text1"/>
          <w:sz w:val="24"/>
          <w:vertAlign w:val="superscript"/>
        </w:rPr>
        <w:t>3</w:t>
      </w:r>
      <w:r>
        <w:rPr>
          <w:rFonts w:hint="eastAsia"/>
          <w:b/>
          <w:bCs/>
          <w:color w:val="000000" w:themeColor="text1"/>
          <w:sz w:val="24"/>
        </w:rPr>
        <w:t>/a</w:t>
      </w:r>
    </w:p>
    <w:tbl>
      <w:tblPr>
        <w:tblStyle w:val="46"/>
        <w:tblW w:w="0" w:type="auto"/>
        <w:tblInd w:w="113" w:type="dxa"/>
        <w:tblLayout w:type="fixed"/>
        <w:tblCellMar>
          <w:top w:w="0" w:type="dxa"/>
          <w:left w:w="108" w:type="dxa"/>
          <w:bottom w:w="0" w:type="dxa"/>
          <w:right w:w="108" w:type="dxa"/>
        </w:tblCellMar>
      </w:tblPr>
      <w:tblGrid>
        <w:gridCol w:w="1696"/>
        <w:gridCol w:w="1342"/>
        <w:gridCol w:w="1343"/>
        <w:gridCol w:w="1342"/>
        <w:gridCol w:w="1343"/>
        <w:gridCol w:w="1343"/>
      </w:tblGrid>
      <w:tr w14:paraId="60D05DBE">
        <w:tblPrEx>
          <w:tblCellMar>
            <w:top w:w="0" w:type="dxa"/>
            <w:left w:w="108" w:type="dxa"/>
            <w:bottom w:w="0" w:type="dxa"/>
            <w:right w:w="108" w:type="dxa"/>
          </w:tblCellMar>
        </w:tblPrEx>
        <w:trPr>
          <w:trHeight w:val="510" w:hRule="atLeast"/>
        </w:trPr>
        <w:tc>
          <w:tcPr>
            <w:tcW w:w="1696" w:type="dxa"/>
            <w:tcBorders>
              <w:top w:val="single" w:color="auto" w:sz="4" w:space="0"/>
              <w:left w:val="single" w:color="auto" w:sz="4" w:space="0"/>
              <w:bottom w:val="single" w:color="auto" w:sz="4" w:space="0"/>
              <w:right w:val="single" w:color="auto" w:sz="4" w:space="0"/>
            </w:tcBorders>
            <w:vAlign w:val="center"/>
          </w:tcPr>
          <w:p w14:paraId="3B985F33">
            <w:pPr>
              <w:widowControl/>
              <w:adjustRightInd w:val="0"/>
              <w:snapToGrid w:val="0"/>
              <w:jc w:val="center"/>
              <w:rPr>
                <w:color w:val="000000"/>
                <w:kern w:val="0"/>
                <w:sz w:val="22"/>
                <w:szCs w:val="22"/>
              </w:rPr>
            </w:pPr>
            <w:r>
              <w:rPr>
                <w:color w:val="000000"/>
                <w:kern w:val="0"/>
                <w:sz w:val="22"/>
                <w:szCs w:val="22"/>
              </w:rPr>
              <w:t>规划年</w:t>
            </w:r>
          </w:p>
        </w:tc>
        <w:tc>
          <w:tcPr>
            <w:tcW w:w="1342" w:type="dxa"/>
            <w:tcBorders>
              <w:top w:val="single" w:color="auto" w:sz="4" w:space="0"/>
              <w:left w:val="nil"/>
              <w:bottom w:val="single" w:color="auto" w:sz="4" w:space="0"/>
              <w:right w:val="single" w:color="auto" w:sz="4" w:space="0"/>
            </w:tcBorders>
            <w:vAlign w:val="center"/>
          </w:tcPr>
          <w:p w14:paraId="5F890C01">
            <w:pPr>
              <w:widowControl/>
              <w:adjustRightInd w:val="0"/>
              <w:snapToGrid w:val="0"/>
              <w:jc w:val="center"/>
              <w:rPr>
                <w:color w:val="000000"/>
                <w:kern w:val="0"/>
                <w:sz w:val="22"/>
                <w:szCs w:val="22"/>
              </w:rPr>
            </w:pPr>
            <w:r>
              <w:rPr>
                <w:color w:val="000000"/>
                <w:kern w:val="0"/>
                <w:sz w:val="22"/>
                <w:szCs w:val="22"/>
              </w:rPr>
              <w:t>城镇居民生活污水</w:t>
            </w:r>
          </w:p>
        </w:tc>
        <w:tc>
          <w:tcPr>
            <w:tcW w:w="1343" w:type="dxa"/>
            <w:tcBorders>
              <w:top w:val="single" w:color="auto" w:sz="4" w:space="0"/>
              <w:left w:val="nil"/>
              <w:bottom w:val="single" w:color="auto" w:sz="4" w:space="0"/>
              <w:right w:val="single" w:color="auto" w:sz="4" w:space="0"/>
            </w:tcBorders>
            <w:vAlign w:val="center"/>
          </w:tcPr>
          <w:p w14:paraId="279E7275">
            <w:pPr>
              <w:widowControl/>
              <w:adjustRightInd w:val="0"/>
              <w:snapToGrid w:val="0"/>
              <w:jc w:val="center"/>
              <w:rPr>
                <w:color w:val="000000"/>
                <w:kern w:val="0"/>
                <w:sz w:val="22"/>
                <w:szCs w:val="22"/>
              </w:rPr>
            </w:pPr>
            <w:r>
              <w:rPr>
                <w:color w:val="000000"/>
                <w:kern w:val="0"/>
                <w:sz w:val="22"/>
                <w:szCs w:val="22"/>
              </w:rPr>
              <w:t>农村居民生活污水</w:t>
            </w:r>
          </w:p>
        </w:tc>
        <w:tc>
          <w:tcPr>
            <w:tcW w:w="1342" w:type="dxa"/>
            <w:tcBorders>
              <w:top w:val="single" w:color="auto" w:sz="4" w:space="0"/>
              <w:left w:val="nil"/>
              <w:bottom w:val="single" w:color="auto" w:sz="4" w:space="0"/>
              <w:right w:val="single" w:color="auto" w:sz="4" w:space="0"/>
            </w:tcBorders>
            <w:vAlign w:val="center"/>
          </w:tcPr>
          <w:p w14:paraId="0499C228">
            <w:pPr>
              <w:widowControl/>
              <w:adjustRightInd w:val="0"/>
              <w:snapToGrid w:val="0"/>
              <w:jc w:val="center"/>
              <w:rPr>
                <w:color w:val="000000"/>
                <w:kern w:val="0"/>
                <w:sz w:val="22"/>
                <w:szCs w:val="22"/>
              </w:rPr>
            </w:pPr>
            <w:r>
              <w:rPr>
                <w:color w:val="000000"/>
                <w:kern w:val="0"/>
                <w:sz w:val="22"/>
                <w:szCs w:val="22"/>
              </w:rPr>
              <w:t>城镇公共污水</w:t>
            </w:r>
          </w:p>
        </w:tc>
        <w:tc>
          <w:tcPr>
            <w:tcW w:w="1343" w:type="dxa"/>
            <w:tcBorders>
              <w:top w:val="single" w:color="auto" w:sz="4" w:space="0"/>
              <w:left w:val="nil"/>
              <w:bottom w:val="single" w:color="auto" w:sz="4" w:space="0"/>
              <w:right w:val="single" w:color="auto" w:sz="4" w:space="0"/>
            </w:tcBorders>
            <w:vAlign w:val="center"/>
          </w:tcPr>
          <w:p w14:paraId="19BA2F3B">
            <w:pPr>
              <w:widowControl/>
              <w:adjustRightInd w:val="0"/>
              <w:snapToGrid w:val="0"/>
              <w:jc w:val="center"/>
              <w:rPr>
                <w:color w:val="000000"/>
                <w:kern w:val="0"/>
                <w:sz w:val="22"/>
                <w:szCs w:val="22"/>
              </w:rPr>
            </w:pPr>
            <w:r>
              <w:rPr>
                <w:color w:val="000000"/>
                <w:kern w:val="0"/>
                <w:sz w:val="22"/>
                <w:szCs w:val="22"/>
              </w:rPr>
              <w:t>工业污水</w:t>
            </w:r>
          </w:p>
        </w:tc>
        <w:tc>
          <w:tcPr>
            <w:tcW w:w="1343" w:type="dxa"/>
            <w:tcBorders>
              <w:top w:val="single" w:color="auto" w:sz="4" w:space="0"/>
              <w:left w:val="nil"/>
              <w:bottom w:val="single" w:color="auto" w:sz="4" w:space="0"/>
              <w:right w:val="single" w:color="auto" w:sz="4" w:space="0"/>
            </w:tcBorders>
            <w:vAlign w:val="center"/>
          </w:tcPr>
          <w:p w14:paraId="16B2B4D7">
            <w:pPr>
              <w:widowControl/>
              <w:adjustRightInd w:val="0"/>
              <w:snapToGrid w:val="0"/>
              <w:jc w:val="center"/>
              <w:rPr>
                <w:color w:val="000000"/>
                <w:kern w:val="0"/>
                <w:sz w:val="22"/>
                <w:szCs w:val="22"/>
              </w:rPr>
            </w:pPr>
            <w:r>
              <w:rPr>
                <w:color w:val="000000"/>
                <w:kern w:val="0"/>
                <w:sz w:val="22"/>
                <w:szCs w:val="22"/>
              </w:rPr>
              <w:t>小计</w:t>
            </w:r>
          </w:p>
        </w:tc>
      </w:tr>
      <w:tr w14:paraId="25A85A19">
        <w:tblPrEx>
          <w:tblCellMar>
            <w:top w:w="0" w:type="dxa"/>
            <w:left w:w="108" w:type="dxa"/>
            <w:bottom w:w="0" w:type="dxa"/>
            <w:right w:w="108" w:type="dxa"/>
          </w:tblCellMar>
        </w:tblPrEx>
        <w:trPr>
          <w:trHeight w:val="510" w:hRule="atLeast"/>
        </w:trPr>
        <w:tc>
          <w:tcPr>
            <w:tcW w:w="1696" w:type="dxa"/>
            <w:tcBorders>
              <w:top w:val="nil"/>
              <w:left w:val="single" w:color="auto" w:sz="4" w:space="0"/>
              <w:bottom w:val="single" w:color="auto" w:sz="4" w:space="0"/>
              <w:right w:val="single" w:color="auto" w:sz="4" w:space="0"/>
            </w:tcBorders>
            <w:noWrap/>
            <w:vAlign w:val="center"/>
          </w:tcPr>
          <w:p w14:paraId="34A9205C">
            <w:pPr>
              <w:widowControl/>
              <w:adjustRightInd w:val="0"/>
              <w:snapToGrid w:val="0"/>
              <w:jc w:val="center"/>
              <w:rPr>
                <w:color w:val="000000"/>
                <w:kern w:val="0"/>
                <w:sz w:val="22"/>
                <w:szCs w:val="22"/>
              </w:rPr>
            </w:pPr>
            <w:r>
              <w:rPr>
                <w:color w:val="000000"/>
                <w:kern w:val="0"/>
                <w:sz w:val="22"/>
                <w:szCs w:val="22"/>
              </w:rPr>
              <w:t>2030</w:t>
            </w:r>
          </w:p>
        </w:tc>
        <w:tc>
          <w:tcPr>
            <w:tcW w:w="1342" w:type="dxa"/>
            <w:tcBorders>
              <w:top w:val="nil"/>
              <w:left w:val="nil"/>
              <w:bottom w:val="single" w:color="auto" w:sz="4" w:space="0"/>
              <w:right w:val="single" w:color="auto" w:sz="4" w:space="0"/>
            </w:tcBorders>
            <w:noWrap/>
            <w:vAlign w:val="center"/>
          </w:tcPr>
          <w:p w14:paraId="574B3732">
            <w:pPr>
              <w:widowControl/>
              <w:adjustRightInd w:val="0"/>
              <w:snapToGrid w:val="0"/>
              <w:jc w:val="center"/>
              <w:rPr>
                <w:color w:val="000000"/>
                <w:kern w:val="0"/>
                <w:sz w:val="22"/>
                <w:szCs w:val="22"/>
              </w:rPr>
            </w:pPr>
            <w:r>
              <w:rPr>
                <w:rFonts w:eastAsia="等线"/>
                <w:color w:val="000000"/>
                <w:sz w:val="22"/>
                <w:szCs w:val="22"/>
              </w:rPr>
              <w:t>612</w:t>
            </w:r>
          </w:p>
        </w:tc>
        <w:tc>
          <w:tcPr>
            <w:tcW w:w="1343" w:type="dxa"/>
            <w:tcBorders>
              <w:top w:val="nil"/>
              <w:left w:val="nil"/>
              <w:bottom w:val="single" w:color="auto" w:sz="4" w:space="0"/>
              <w:right w:val="single" w:color="auto" w:sz="4" w:space="0"/>
            </w:tcBorders>
            <w:noWrap/>
            <w:vAlign w:val="center"/>
          </w:tcPr>
          <w:p w14:paraId="7B9167D4">
            <w:pPr>
              <w:widowControl/>
              <w:adjustRightInd w:val="0"/>
              <w:snapToGrid w:val="0"/>
              <w:jc w:val="center"/>
              <w:rPr>
                <w:color w:val="000000"/>
                <w:kern w:val="0"/>
                <w:sz w:val="22"/>
                <w:szCs w:val="22"/>
              </w:rPr>
            </w:pPr>
            <w:r>
              <w:rPr>
                <w:rFonts w:eastAsia="等线"/>
                <w:color w:val="000000"/>
                <w:sz w:val="22"/>
                <w:szCs w:val="22"/>
              </w:rPr>
              <w:t>228.6</w:t>
            </w:r>
          </w:p>
        </w:tc>
        <w:tc>
          <w:tcPr>
            <w:tcW w:w="1342" w:type="dxa"/>
            <w:tcBorders>
              <w:top w:val="nil"/>
              <w:left w:val="nil"/>
              <w:bottom w:val="single" w:color="auto" w:sz="4" w:space="0"/>
              <w:right w:val="single" w:color="auto" w:sz="4" w:space="0"/>
            </w:tcBorders>
            <w:noWrap/>
            <w:vAlign w:val="center"/>
          </w:tcPr>
          <w:p w14:paraId="14493B16">
            <w:pPr>
              <w:widowControl/>
              <w:adjustRightInd w:val="0"/>
              <w:snapToGrid w:val="0"/>
              <w:jc w:val="center"/>
              <w:rPr>
                <w:color w:val="000000"/>
                <w:kern w:val="0"/>
                <w:sz w:val="22"/>
                <w:szCs w:val="22"/>
              </w:rPr>
            </w:pPr>
            <w:r>
              <w:rPr>
                <w:rFonts w:eastAsia="等线"/>
                <w:color w:val="000000"/>
                <w:sz w:val="22"/>
                <w:szCs w:val="22"/>
              </w:rPr>
              <w:t>309.9</w:t>
            </w:r>
          </w:p>
        </w:tc>
        <w:tc>
          <w:tcPr>
            <w:tcW w:w="1343" w:type="dxa"/>
            <w:tcBorders>
              <w:top w:val="nil"/>
              <w:left w:val="nil"/>
              <w:bottom w:val="single" w:color="auto" w:sz="4" w:space="0"/>
              <w:right w:val="single" w:color="auto" w:sz="4" w:space="0"/>
            </w:tcBorders>
            <w:noWrap/>
            <w:vAlign w:val="center"/>
          </w:tcPr>
          <w:p w14:paraId="586C7343">
            <w:pPr>
              <w:widowControl/>
              <w:adjustRightInd w:val="0"/>
              <w:snapToGrid w:val="0"/>
              <w:jc w:val="center"/>
              <w:rPr>
                <w:color w:val="000000"/>
                <w:kern w:val="0"/>
                <w:sz w:val="22"/>
                <w:szCs w:val="22"/>
              </w:rPr>
            </w:pPr>
            <w:r>
              <w:rPr>
                <w:rFonts w:eastAsia="等线"/>
                <w:color w:val="000000"/>
                <w:sz w:val="22"/>
                <w:szCs w:val="22"/>
              </w:rPr>
              <w:t>964.8</w:t>
            </w:r>
          </w:p>
        </w:tc>
        <w:tc>
          <w:tcPr>
            <w:tcW w:w="1343" w:type="dxa"/>
            <w:tcBorders>
              <w:top w:val="nil"/>
              <w:left w:val="nil"/>
              <w:bottom w:val="single" w:color="auto" w:sz="4" w:space="0"/>
              <w:right w:val="single" w:color="auto" w:sz="4" w:space="0"/>
            </w:tcBorders>
            <w:noWrap/>
            <w:vAlign w:val="center"/>
          </w:tcPr>
          <w:p w14:paraId="538EBAFD">
            <w:pPr>
              <w:widowControl/>
              <w:adjustRightInd w:val="0"/>
              <w:snapToGrid w:val="0"/>
              <w:jc w:val="center"/>
              <w:rPr>
                <w:color w:val="000000"/>
                <w:kern w:val="0"/>
                <w:sz w:val="22"/>
                <w:szCs w:val="22"/>
              </w:rPr>
            </w:pPr>
            <w:r>
              <w:rPr>
                <w:rFonts w:eastAsia="等线"/>
                <w:color w:val="000000"/>
                <w:sz w:val="22"/>
                <w:szCs w:val="22"/>
              </w:rPr>
              <w:t>2115.3</w:t>
            </w:r>
          </w:p>
        </w:tc>
      </w:tr>
      <w:tr w14:paraId="08351BFF">
        <w:tblPrEx>
          <w:tblCellMar>
            <w:top w:w="0" w:type="dxa"/>
            <w:left w:w="108" w:type="dxa"/>
            <w:bottom w:w="0" w:type="dxa"/>
            <w:right w:w="108" w:type="dxa"/>
          </w:tblCellMar>
        </w:tblPrEx>
        <w:trPr>
          <w:trHeight w:val="510" w:hRule="atLeast"/>
        </w:trPr>
        <w:tc>
          <w:tcPr>
            <w:tcW w:w="1696" w:type="dxa"/>
            <w:tcBorders>
              <w:top w:val="nil"/>
              <w:left w:val="single" w:color="auto" w:sz="4" w:space="0"/>
              <w:bottom w:val="single" w:color="auto" w:sz="4" w:space="0"/>
              <w:right w:val="single" w:color="auto" w:sz="4" w:space="0"/>
            </w:tcBorders>
            <w:noWrap/>
            <w:vAlign w:val="center"/>
          </w:tcPr>
          <w:p w14:paraId="469530EC">
            <w:pPr>
              <w:widowControl/>
              <w:adjustRightInd w:val="0"/>
              <w:snapToGrid w:val="0"/>
              <w:jc w:val="center"/>
              <w:rPr>
                <w:color w:val="000000"/>
                <w:kern w:val="0"/>
                <w:sz w:val="22"/>
                <w:szCs w:val="22"/>
              </w:rPr>
            </w:pPr>
            <w:r>
              <w:rPr>
                <w:color w:val="000000"/>
                <w:kern w:val="0"/>
                <w:sz w:val="22"/>
                <w:szCs w:val="22"/>
              </w:rPr>
              <w:t>2035</w:t>
            </w:r>
          </w:p>
        </w:tc>
        <w:tc>
          <w:tcPr>
            <w:tcW w:w="1342" w:type="dxa"/>
            <w:tcBorders>
              <w:top w:val="nil"/>
              <w:left w:val="nil"/>
              <w:bottom w:val="single" w:color="auto" w:sz="4" w:space="0"/>
              <w:right w:val="single" w:color="auto" w:sz="4" w:space="0"/>
            </w:tcBorders>
            <w:noWrap/>
            <w:vAlign w:val="center"/>
          </w:tcPr>
          <w:p w14:paraId="64829E48">
            <w:pPr>
              <w:widowControl/>
              <w:adjustRightInd w:val="0"/>
              <w:snapToGrid w:val="0"/>
              <w:jc w:val="center"/>
              <w:rPr>
                <w:color w:val="000000"/>
                <w:kern w:val="0"/>
                <w:sz w:val="22"/>
                <w:szCs w:val="22"/>
              </w:rPr>
            </w:pPr>
            <w:r>
              <w:rPr>
                <w:rFonts w:eastAsia="等线"/>
                <w:color w:val="000000"/>
                <w:sz w:val="22"/>
                <w:szCs w:val="22"/>
              </w:rPr>
              <w:t>828</w:t>
            </w:r>
          </w:p>
        </w:tc>
        <w:tc>
          <w:tcPr>
            <w:tcW w:w="1343" w:type="dxa"/>
            <w:tcBorders>
              <w:top w:val="nil"/>
              <w:left w:val="nil"/>
              <w:bottom w:val="single" w:color="auto" w:sz="4" w:space="0"/>
              <w:right w:val="single" w:color="auto" w:sz="4" w:space="0"/>
            </w:tcBorders>
            <w:noWrap/>
            <w:vAlign w:val="center"/>
          </w:tcPr>
          <w:p w14:paraId="01FF141D">
            <w:pPr>
              <w:widowControl/>
              <w:adjustRightInd w:val="0"/>
              <w:snapToGrid w:val="0"/>
              <w:jc w:val="center"/>
              <w:rPr>
                <w:color w:val="000000"/>
                <w:kern w:val="0"/>
                <w:sz w:val="22"/>
                <w:szCs w:val="22"/>
              </w:rPr>
            </w:pPr>
            <w:r>
              <w:rPr>
                <w:rFonts w:eastAsia="等线"/>
                <w:color w:val="000000"/>
                <w:sz w:val="22"/>
                <w:szCs w:val="22"/>
              </w:rPr>
              <w:t>297.4</w:t>
            </w:r>
          </w:p>
        </w:tc>
        <w:tc>
          <w:tcPr>
            <w:tcW w:w="1342" w:type="dxa"/>
            <w:tcBorders>
              <w:top w:val="nil"/>
              <w:left w:val="nil"/>
              <w:bottom w:val="single" w:color="auto" w:sz="4" w:space="0"/>
              <w:right w:val="single" w:color="auto" w:sz="4" w:space="0"/>
            </w:tcBorders>
            <w:noWrap/>
            <w:vAlign w:val="center"/>
          </w:tcPr>
          <w:p w14:paraId="31B35BDA">
            <w:pPr>
              <w:widowControl/>
              <w:adjustRightInd w:val="0"/>
              <w:snapToGrid w:val="0"/>
              <w:jc w:val="center"/>
              <w:rPr>
                <w:color w:val="000000"/>
                <w:kern w:val="0"/>
                <w:sz w:val="22"/>
                <w:szCs w:val="22"/>
              </w:rPr>
            </w:pPr>
            <w:r>
              <w:rPr>
                <w:rFonts w:eastAsia="等线"/>
                <w:color w:val="000000"/>
                <w:sz w:val="22"/>
                <w:szCs w:val="22"/>
              </w:rPr>
              <w:t>372.6</w:t>
            </w:r>
          </w:p>
        </w:tc>
        <w:tc>
          <w:tcPr>
            <w:tcW w:w="1343" w:type="dxa"/>
            <w:tcBorders>
              <w:top w:val="nil"/>
              <w:left w:val="nil"/>
              <w:bottom w:val="single" w:color="auto" w:sz="4" w:space="0"/>
              <w:right w:val="single" w:color="auto" w:sz="4" w:space="0"/>
            </w:tcBorders>
            <w:noWrap/>
            <w:vAlign w:val="center"/>
          </w:tcPr>
          <w:p w14:paraId="48D78055">
            <w:pPr>
              <w:widowControl/>
              <w:adjustRightInd w:val="0"/>
              <w:snapToGrid w:val="0"/>
              <w:jc w:val="center"/>
              <w:rPr>
                <w:color w:val="000000"/>
                <w:kern w:val="0"/>
                <w:sz w:val="22"/>
                <w:szCs w:val="22"/>
              </w:rPr>
            </w:pPr>
            <w:r>
              <w:rPr>
                <w:rFonts w:eastAsia="等线"/>
                <w:color w:val="000000"/>
                <w:sz w:val="22"/>
                <w:szCs w:val="22"/>
              </w:rPr>
              <w:t>1226.3</w:t>
            </w:r>
          </w:p>
        </w:tc>
        <w:tc>
          <w:tcPr>
            <w:tcW w:w="1343" w:type="dxa"/>
            <w:tcBorders>
              <w:top w:val="nil"/>
              <w:left w:val="nil"/>
              <w:bottom w:val="single" w:color="auto" w:sz="4" w:space="0"/>
              <w:right w:val="single" w:color="auto" w:sz="4" w:space="0"/>
            </w:tcBorders>
            <w:noWrap/>
            <w:vAlign w:val="center"/>
          </w:tcPr>
          <w:p w14:paraId="0E6307F6">
            <w:pPr>
              <w:widowControl/>
              <w:adjustRightInd w:val="0"/>
              <w:snapToGrid w:val="0"/>
              <w:jc w:val="center"/>
              <w:rPr>
                <w:color w:val="000000"/>
                <w:kern w:val="0"/>
                <w:sz w:val="22"/>
                <w:szCs w:val="22"/>
              </w:rPr>
            </w:pPr>
            <w:r>
              <w:rPr>
                <w:rFonts w:eastAsia="等线"/>
                <w:color w:val="000000"/>
                <w:sz w:val="22"/>
                <w:szCs w:val="22"/>
              </w:rPr>
              <w:t>2724.3</w:t>
            </w:r>
          </w:p>
        </w:tc>
      </w:tr>
    </w:tbl>
    <w:p w14:paraId="4E6B3CC5">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根据《平阴县城乡污水处理统筹规划（2</w:t>
      </w:r>
      <w:r>
        <w:rPr>
          <w:color w:val="000000" w:themeColor="text1"/>
          <w:kern w:val="0"/>
          <w:sz w:val="28"/>
          <w:szCs w:val="28"/>
          <w:lang w:val="zh-CN"/>
        </w:rPr>
        <w:t>017</w:t>
      </w:r>
      <w:r>
        <w:rPr>
          <w:rFonts w:hint="eastAsia"/>
          <w:color w:val="000000" w:themeColor="text1"/>
          <w:kern w:val="0"/>
          <w:sz w:val="28"/>
          <w:szCs w:val="28"/>
          <w:lang w:val="zh-CN"/>
        </w:rPr>
        <w:t>—</w:t>
      </w:r>
      <w:r>
        <w:rPr>
          <w:color w:val="000000" w:themeColor="text1"/>
          <w:kern w:val="0"/>
          <w:sz w:val="28"/>
          <w:szCs w:val="28"/>
          <w:lang w:val="zh-CN"/>
        </w:rPr>
        <w:t>2035</w:t>
      </w:r>
      <w:r>
        <w:rPr>
          <w:rFonts w:hint="eastAsia"/>
          <w:color w:val="000000" w:themeColor="text1"/>
          <w:kern w:val="0"/>
          <w:sz w:val="28"/>
          <w:szCs w:val="28"/>
          <w:lang w:val="zh-CN"/>
        </w:rPr>
        <w:t>年）》和</w:t>
      </w:r>
      <w:r>
        <w:rPr>
          <w:color w:val="000000" w:themeColor="text1"/>
          <w:sz w:val="28"/>
          <w:szCs w:val="28"/>
        </w:rPr>
        <w:t>《平阴县城市总体规划（2017</w:t>
      </w:r>
      <w:r>
        <w:rPr>
          <w:rFonts w:hint="eastAsia"/>
          <w:color w:val="000000" w:themeColor="text1"/>
          <w:sz w:val="28"/>
          <w:szCs w:val="28"/>
        </w:rPr>
        <w:t>—</w:t>
      </w:r>
      <w:r>
        <w:rPr>
          <w:color w:val="000000" w:themeColor="text1"/>
          <w:sz w:val="28"/>
          <w:szCs w:val="28"/>
        </w:rPr>
        <w:t>2035年）》</w:t>
      </w:r>
      <w:r>
        <w:rPr>
          <w:rFonts w:hint="eastAsia"/>
          <w:color w:val="000000" w:themeColor="text1"/>
          <w:kern w:val="0"/>
          <w:sz w:val="28"/>
          <w:szCs w:val="28"/>
          <w:lang w:val="zh-CN"/>
        </w:rPr>
        <w:t>等资料相关成果按照城镇居民人数及经济等预测平阴县及各镇区的污废水量，具体详见表5.1-3。</w:t>
      </w:r>
    </w:p>
    <w:p w14:paraId="2197C479">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5.1-</w:t>
      </w:r>
      <w:r>
        <w:rPr>
          <w:rFonts w:hint="eastAsia"/>
          <w:b/>
          <w:bCs/>
          <w:color w:val="000000" w:themeColor="text1"/>
          <w:sz w:val="24"/>
        </w:rPr>
        <w:t>3</w:t>
      </w:r>
      <w:r>
        <w:rPr>
          <w:b/>
          <w:bCs/>
          <w:color w:val="000000" w:themeColor="text1"/>
          <w:sz w:val="24"/>
        </w:rPr>
        <w:t xml:space="preserve">  </w:t>
      </w:r>
      <w:r>
        <w:rPr>
          <w:rFonts w:hint="eastAsia"/>
          <w:b/>
          <w:bCs/>
          <w:color w:val="000000" w:themeColor="text1"/>
          <w:sz w:val="24"/>
        </w:rPr>
        <w:t>规划年平阴县各区镇产生的污水量预测成果表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7"/>
        <w:gridCol w:w="2667"/>
        <w:gridCol w:w="2668"/>
      </w:tblGrid>
      <w:tr w14:paraId="43183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870" w:type="pct"/>
            <w:vAlign w:val="center"/>
          </w:tcPr>
          <w:p w14:paraId="54F68032">
            <w:pPr>
              <w:widowControl/>
              <w:jc w:val="center"/>
              <w:rPr>
                <w:color w:val="000000" w:themeColor="text1"/>
                <w:kern w:val="0"/>
                <w:sz w:val="22"/>
                <w:szCs w:val="22"/>
              </w:rPr>
            </w:pPr>
            <w:r>
              <w:rPr>
                <w:rFonts w:hint="eastAsia"/>
                <w:color w:val="000000" w:themeColor="text1"/>
                <w:kern w:val="0"/>
                <w:sz w:val="22"/>
                <w:szCs w:val="22"/>
              </w:rPr>
              <w:t>分区</w:t>
            </w:r>
          </w:p>
        </w:tc>
        <w:tc>
          <w:tcPr>
            <w:tcW w:w="1565" w:type="pct"/>
            <w:vAlign w:val="center"/>
          </w:tcPr>
          <w:p w14:paraId="0FA0E4BF">
            <w:pPr>
              <w:widowControl/>
              <w:jc w:val="center"/>
              <w:rPr>
                <w:color w:val="000000" w:themeColor="text1"/>
                <w:kern w:val="0"/>
                <w:sz w:val="22"/>
                <w:szCs w:val="22"/>
              </w:rPr>
            </w:pPr>
            <w:r>
              <w:rPr>
                <w:color w:val="000000" w:themeColor="text1"/>
                <w:kern w:val="0"/>
                <w:sz w:val="22"/>
                <w:szCs w:val="22"/>
              </w:rPr>
              <w:t>20</w:t>
            </w:r>
            <w:r>
              <w:rPr>
                <w:rFonts w:hint="eastAsia"/>
                <w:color w:val="000000" w:themeColor="text1"/>
                <w:kern w:val="0"/>
                <w:sz w:val="22"/>
                <w:szCs w:val="22"/>
              </w:rPr>
              <w:t>30</w:t>
            </w:r>
            <w:r>
              <w:rPr>
                <w:color w:val="000000" w:themeColor="text1"/>
                <w:kern w:val="0"/>
                <w:sz w:val="22"/>
                <w:szCs w:val="22"/>
              </w:rPr>
              <w:t>年</w:t>
            </w:r>
            <w:r>
              <w:rPr>
                <w:rFonts w:hint="eastAsia"/>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r>
              <w:rPr>
                <w:rFonts w:hint="eastAsia"/>
                <w:color w:val="000000" w:themeColor="text1"/>
                <w:kern w:val="0"/>
                <w:sz w:val="22"/>
                <w:szCs w:val="22"/>
              </w:rPr>
              <w:t>）</w:t>
            </w:r>
          </w:p>
        </w:tc>
        <w:tc>
          <w:tcPr>
            <w:tcW w:w="1565" w:type="pct"/>
            <w:vAlign w:val="center"/>
          </w:tcPr>
          <w:p w14:paraId="2A741A0D">
            <w:pPr>
              <w:widowControl/>
              <w:jc w:val="center"/>
              <w:rPr>
                <w:color w:val="000000" w:themeColor="text1"/>
                <w:kern w:val="0"/>
                <w:sz w:val="22"/>
                <w:szCs w:val="22"/>
              </w:rPr>
            </w:pPr>
            <w:r>
              <w:rPr>
                <w:color w:val="000000" w:themeColor="text1"/>
                <w:kern w:val="0"/>
                <w:sz w:val="22"/>
                <w:szCs w:val="22"/>
              </w:rPr>
              <w:t>2035年</w:t>
            </w:r>
            <w:r>
              <w:rPr>
                <w:rFonts w:hint="eastAsia"/>
                <w:color w:val="000000" w:themeColor="text1"/>
                <w:kern w:val="0"/>
                <w:sz w:val="22"/>
                <w:szCs w:val="22"/>
              </w:rPr>
              <w:t>（万m</w:t>
            </w:r>
            <w:r>
              <w:rPr>
                <w:color w:val="000000" w:themeColor="text1"/>
                <w:kern w:val="0"/>
                <w:sz w:val="22"/>
                <w:szCs w:val="22"/>
                <w:vertAlign w:val="superscript"/>
              </w:rPr>
              <w:t>3</w:t>
            </w:r>
            <w:r>
              <w:rPr>
                <w:color w:val="000000" w:themeColor="text1"/>
                <w:kern w:val="0"/>
                <w:sz w:val="22"/>
                <w:szCs w:val="22"/>
              </w:rPr>
              <w:t>/a</w:t>
            </w:r>
            <w:r>
              <w:rPr>
                <w:rFonts w:hint="eastAsia"/>
                <w:color w:val="000000" w:themeColor="text1"/>
                <w:kern w:val="0"/>
                <w:sz w:val="22"/>
                <w:szCs w:val="22"/>
              </w:rPr>
              <w:t>）</w:t>
            </w:r>
          </w:p>
        </w:tc>
      </w:tr>
      <w:tr w14:paraId="22558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12927E18">
            <w:pPr>
              <w:widowControl/>
              <w:jc w:val="center"/>
              <w:rPr>
                <w:color w:val="000000" w:themeColor="text1"/>
                <w:kern w:val="0"/>
                <w:sz w:val="22"/>
                <w:szCs w:val="22"/>
              </w:rPr>
            </w:pPr>
            <w:r>
              <w:rPr>
                <w:color w:val="000000" w:themeColor="text1"/>
                <w:kern w:val="0"/>
                <w:sz w:val="22"/>
                <w:szCs w:val="22"/>
              </w:rPr>
              <w:t>中心城区</w:t>
            </w:r>
          </w:p>
        </w:tc>
        <w:tc>
          <w:tcPr>
            <w:tcW w:w="1565" w:type="pct"/>
            <w:vAlign w:val="center"/>
          </w:tcPr>
          <w:p w14:paraId="18FC133F">
            <w:pPr>
              <w:widowControl/>
              <w:adjustRightInd w:val="0"/>
              <w:snapToGrid w:val="0"/>
              <w:jc w:val="center"/>
              <w:rPr>
                <w:rFonts w:eastAsia="等线"/>
                <w:color w:val="000000"/>
                <w:sz w:val="22"/>
                <w:szCs w:val="22"/>
              </w:rPr>
            </w:pPr>
            <w:r>
              <w:rPr>
                <w:rFonts w:eastAsia="等线"/>
                <w:color w:val="000000"/>
                <w:sz w:val="22"/>
                <w:szCs w:val="22"/>
              </w:rPr>
              <w:t>1597.7</w:t>
            </w:r>
          </w:p>
        </w:tc>
        <w:tc>
          <w:tcPr>
            <w:tcW w:w="1565" w:type="pct"/>
            <w:vAlign w:val="center"/>
          </w:tcPr>
          <w:p w14:paraId="197B1807">
            <w:pPr>
              <w:widowControl/>
              <w:adjustRightInd w:val="0"/>
              <w:snapToGrid w:val="0"/>
              <w:jc w:val="center"/>
              <w:rPr>
                <w:rFonts w:eastAsia="等线"/>
                <w:color w:val="000000"/>
                <w:sz w:val="22"/>
                <w:szCs w:val="22"/>
              </w:rPr>
            </w:pPr>
            <w:r>
              <w:rPr>
                <w:rFonts w:eastAsia="等线"/>
                <w:color w:val="000000"/>
                <w:sz w:val="22"/>
                <w:szCs w:val="22"/>
              </w:rPr>
              <w:t>1785.1</w:t>
            </w:r>
          </w:p>
        </w:tc>
      </w:tr>
      <w:tr w14:paraId="7255F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46B3096A">
            <w:pPr>
              <w:widowControl/>
              <w:jc w:val="center"/>
              <w:rPr>
                <w:color w:val="000000" w:themeColor="text1"/>
                <w:kern w:val="0"/>
                <w:sz w:val="22"/>
                <w:szCs w:val="22"/>
              </w:rPr>
            </w:pPr>
            <w:r>
              <w:rPr>
                <w:color w:val="000000" w:themeColor="text1"/>
                <w:kern w:val="0"/>
                <w:sz w:val="22"/>
                <w:szCs w:val="22"/>
              </w:rPr>
              <w:t>安城镇</w:t>
            </w:r>
          </w:p>
        </w:tc>
        <w:tc>
          <w:tcPr>
            <w:tcW w:w="1565" w:type="pct"/>
            <w:vAlign w:val="center"/>
          </w:tcPr>
          <w:p w14:paraId="5D7D0EAF">
            <w:pPr>
              <w:widowControl/>
              <w:adjustRightInd w:val="0"/>
              <w:snapToGrid w:val="0"/>
              <w:jc w:val="center"/>
              <w:rPr>
                <w:rFonts w:eastAsia="等线"/>
                <w:color w:val="000000"/>
                <w:sz w:val="22"/>
                <w:szCs w:val="22"/>
              </w:rPr>
            </w:pPr>
            <w:r>
              <w:rPr>
                <w:rFonts w:eastAsia="等线"/>
                <w:color w:val="000000"/>
                <w:sz w:val="22"/>
                <w:szCs w:val="22"/>
              </w:rPr>
              <w:t>206.3</w:t>
            </w:r>
          </w:p>
        </w:tc>
        <w:tc>
          <w:tcPr>
            <w:tcW w:w="1565" w:type="pct"/>
            <w:vAlign w:val="center"/>
          </w:tcPr>
          <w:p w14:paraId="21A92DFC">
            <w:pPr>
              <w:widowControl/>
              <w:adjustRightInd w:val="0"/>
              <w:snapToGrid w:val="0"/>
              <w:jc w:val="center"/>
              <w:rPr>
                <w:rFonts w:eastAsia="等线"/>
                <w:color w:val="000000"/>
                <w:sz w:val="22"/>
                <w:szCs w:val="22"/>
              </w:rPr>
            </w:pPr>
            <w:r>
              <w:rPr>
                <w:rFonts w:eastAsia="等线"/>
                <w:color w:val="000000"/>
                <w:sz w:val="22"/>
                <w:szCs w:val="22"/>
              </w:rPr>
              <w:t>451.9</w:t>
            </w:r>
          </w:p>
        </w:tc>
      </w:tr>
      <w:tr w14:paraId="6E57E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66168E6E">
            <w:pPr>
              <w:widowControl/>
              <w:jc w:val="center"/>
              <w:rPr>
                <w:color w:val="000000" w:themeColor="text1"/>
                <w:kern w:val="0"/>
                <w:sz w:val="22"/>
                <w:szCs w:val="22"/>
              </w:rPr>
            </w:pPr>
            <w:r>
              <w:rPr>
                <w:color w:val="000000" w:themeColor="text1"/>
                <w:kern w:val="0"/>
                <w:sz w:val="22"/>
                <w:szCs w:val="22"/>
              </w:rPr>
              <w:t>东阿镇</w:t>
            </w:r>
          </w:p>
        </w:tc>
        <w:tc>
          <w:tcPr>
            <w:tcW w:w="1565" w:type="pct"/>
            <w:vAlign w:val="center"/>
          </w:tcPr>
          <w:p w14:paraId="0A62F731">
            <w:pPr>
              <w:widowControl/>
              <w:adjustRightInd w:val="0"/>
              <w:snapToGrid w:val="0"/>
              <w:jc w:val="center"/>
              <w:rPr>
                <w:rFonts w:eastAsia="等线"/>
                <w:color w:val="000000"/>
                <w:sz w:val="22"/>
                <w:szCs w:val="22"/>
              </w:rPr>
            </w:pPr>
            <w:r>
              <w:rPr>
                <w:rFonts w:eastAsia="等线"/>
                <w:color w:val="000000"/>
                <w:sz w:val="22"/>
                <w:szCs w:val="22"/>
              </w:rPr>
              <w:t>71.2</w:t>
            </w:r>
          </w:p>
        </w:tc>
        <w:tc>
          <w:tcPr>
            <w:tcW w:w="1565" w:type="pct"/>
            <w:vAlign w:val="center"/>
          </w:tcPr>
          <w:p w14:paraId="11B1D57D">
            <w:pPr>
              <w:widowControl/>
              <w:adjustRightInd w:val="0"/>
              <w:snapToGrid w:val="0"/>
              <w:jc w:val="center"/>
              <w:rPr>
                <w:rFonts w:eastAsia="等线"/>
                <w:color w:val="000000"/>
                <w:sz w:val="22"/>
                <w:szCs w:val="22"/>
              </w:rPr>
            </w:pPr>
            <w:r>
              <w:rPr>
                <w:rFonts w:eastAsia="等线"/>
                <w:color w:val="000000"/>
                <w:sz w:val="22"/>
                <w:szCs w:val="22"/>
              </w:rPr>
              <w:t>116.3</w:t>
            </w:r>
          </w:p>
        </w:tc>
      </w:tr>
      <w:tr w14:paraId="00E5B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3D9A9D6D">
            <w:pPr>
              <w:widowControl/>
              <w:jc w:val="center"/>
              <w:rPr>
                <w:color w:val="000000" w:themeColor="text1"/>
                <w:kern w:val="0"/>
                <w:sz w:val="22"/>
                <w:szCs w:val="22"/>
              </w:rPr>
            </w:pPr>
            <w:r>
              <w:rPr>
                <w:color w:val="000000" w:themeColor="text1"/>
                <w:kern w:val="0"/>
                <w:sz w:val="22"/>
                <w:szCs w:val="22"/>
              </w:rPr>
              <w:t>孔村镇</w:t>
            </w:r>
          </w:p>
        </w:tc>
        <w:tc>
          <w:tcPr>
            <w:tcW w:w="1565" w:type="pct"/>
            <w:vAlign w:val="center"/>
          </w:tcPr>
          <w:p w14:paraId="6F962C25">
            <w:pPr>
              <w:widowControl/>
              <w:adjustRightInd w:val="0"/>
              <w:snapToGrid w:val="0"/>
              <w:jc w:val="center"/>
              <w:rPr>
                <w:rFonts w:eastAsia="等线"/>
                <w:color w:val="000000"/>
                <w:sz w:val="22"/>
                <w:szCs w:val="22"/>
              </w:rPr>
            </w:pPr>
            <w:r>
              <w:rPr>
                <w:rFonts w:eastAsia="等线"/>
                <w:color w:val="000000"/>
                <w:sz w:val="22"/>
                <w:szCs w:val="22"/>
              </w:rPr>
              <w:t>124</w:t>
            </w:r>
          </w:p>
        </w:tc>
        <w:tc>
          <w:tcPr>
            <w:tcW w:w="1565" w:type="pct"/>
            <w:vAlign w:val="center"/>
          </w:tcPr>
          <w:p w14:paraId="6F288791">
            <w:pPr>
              <w:widowControl/>
              <w:adjustRightInd w:val="0"/>
              <w:snapToGrid w:val="0"/>
              <w:jc w:val="center"/>
              <w:rPr>
                <w:rFonts w:eastAsia="等线"/>
                <w:color w:val="000000"/>
                <w:sz w:val="22"/>
                <w:szCs w:val="22"/>
              </w:rPr>
            </w:pPr>
            <w:r>
              <w:rPr>
                <w:rFonts w:eastAsia="等线"/>
                <w:color w:val="000000"/>
                <w:sz w:val="22"/>
                <w:szCs w:val="22"/>
              </w:rPr>
              <w:t>191.1</w:t>
            </w:r>
          </w:p>
        </w:tc>
      </w:tr>
      <w:tr w14:paraId="6A85A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07A6345B">
            <w:pPr>
              <w:widowControl/>
              <w:jc w:val="center"/>
              <w:rPr>
                <w:color w:val="000000" w:themeColor="text1"/>
                <w:kern w:val="0"/>
                <w:sz w:val="22"/>
                <w:szCs w:val="22"/>
              </w:rPr>
            </w:pPr>
            <w:r>
              <w:rPr>
                <w:color w:val="000000" w:themeColor="text1"/>
                <w:kern w:val="0"/>
                <w:sz w:val="22"/>
                <w:szCs w:val="22"/>
              </w:rPr>
              <w:t>孝直镇</w:t>
            </w:r>
          </w:p>
        </w:tc>
        <w:tc>
          <w:tcPr>
            <w:tcW w:w="1565" w:type="pct"/>
            <w:vAlign w:val="center"/>
          </w:tcPr>
          <w:p w14:paraId="0E332D47">
            <w:pPr>
              <w:widowControl/>
              <w:adjustRightInd w:val="0"/>
              <w:snapToGrid w:val="0"/>
              <w:jc w:val="center"/>
              <w:rPr>
                <w:rFonts w:eastAsia="等线"/>
                <w:color w:val="000000"/>
                <w:sz w:val="22"/>
                <w:szCs w:val="22"/>
              </w:rPr>
            </w:pPr>
            <w:r>
              <w:rPr>
                <w:rFonts w:eastAsia="等线"/>
                <w:color w:val="000000"/>
                <w:sz w:val="22"/>
                <w:szCs w:val="22"/>
              </w:rPr>
              <w:t>72.9</w:t>
            </w:r>
          </w:p>
        </w:tc>
        <w:tc>
          <w:tcPr>
            <w:tcW w:w="1565" w:type="pct"/>
            <w:vAlign w:val="center"/>
          </w:tcPr>
          <w:p w14:paraId="5C5CADD5">
            <w:pPr>
              <w:widowControl/>
              <w:adjustRightInd w:val="0"/>
              <w:snapToGrid w:val="0"/>
              <w:jc w:val="center"/>
              <w:rPr>
                <w:rFonts w:eastAsia="等线"/>
                <w:color w:val="000000"/>
                <w:sz w:val="22"/>
                <w:szCs w:val="22"/>
              </w:rPr>
            </w:pPr>
            <w:r>
              <w:rPr>
                <w:rFonts w:eastAsia="等线"/>
                <w:color w:val="000000"/>
                <w:sz w:val="22"/>
                <w:szCs w:val="22"/>
              </w:rPr>
              <w:t>98.4</w:t>
            </w:r>
          </w:p>
        </w:tc>
      </w:tr>
      <w:tr w14:paraId="51E22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25487291">
            <w:pPr>
              <w:widowControl/>
              <w:jc w:val="center"/>
              <w:rPr>
                <w:color w:val="000000" w:themeColor="text1"/>
                <w:kern w:val="0"/>
                <w:sz w:val="22"/>
                <w:szCs w:val="22"/>
              </w:rPr>
            </w:pPr>
            <w:r>
              <w:rPr>
                <w:color w:val="000000" w:themeColor="text1"/>
                <w:kern w:val="0"/>
                <w:sz w:val="22"/>
                <w:szCs w:val="22"/>
              </w:rPr>
              <w:t>玫瑰镇</w:t>
            </w:r>
          </w:p>
        </w:tc>
        <w:tc>
          <w:tcPr>
            <w:tcW w:w="1565" w:type="pct"/>
            <w:vAlign w:val="center"/>
          </w:tcPr>
          <w:p w14:paraId="675FF66C">
            <w:pPr>
              <w:widowControl/>
              <w:adjustRightInd w:val="0"/>
              <w:snapToGrid w:val="0"/>
              <w:jc w:val="center"/>
              <w:rPr>
                <w:rFonts w:eastAsia="等线"/>
                <w:color w:val="000000"/>
                <w:sz w:val="22"/>
                <w:szCs w:val="22"/>
              </w:rPr>
            </w:pPr>
            <w:r>
              <w:rPr>
                <w:rFonts w:eastAsia="等线"/>
                <w:color w:val="000000"/>
                <w:sz w:val="22"/>
                <w:szCs w:val="22"/>
              </w:rPr>
              <w:t>26.1</w:t>
            </w:r>
          </w:p>
        </w:tc>
        <w:tc>
          <w:tcPr>
            <w:tcW w:w="1565" w:type="pct"/>
            <w:vAlign w:val="center"/>
          </w:tcPr>
          <w:p w14:paraId="677D6D97">
            <w:pPr>
              <w:widowControl/>
              <w:adjustRightInd w:val="0"/>
              <w:snapToGrid w:val="0"/>
              <w:jc w:val="center"/>
              <w:rPr>
                <w:rFonts w:eastAsia="等线"/>
                <w:color w:val="000000"/>
                <w:sz w:val="22"/>
                <w:szCs w:val="22"/>
              </w:rPr>
            </w:pPr>
            <w:r>
              <w:rPr>
                <w:rFonts w:eastAsia="等线"/>
                <w:color w:val="000000"/>
                <w:sz w:val="22"/>
                <w:szCs w:val="22"/>
              </w:rPr>
              <w:t>47.1</w:t>
            </w:r>
          </w:p>
        </w:tc>
      </w:tr>
      <w:tr w14:paraId="40D3F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6C7E7E47">
            <w:pPr>
              <w:widowControl/>
              <w:jc w:val="center"/>
              <w:rPr>
                <w:color w:val="000000" w:themeColor="text1"/>
                <w:kern w:val="0"/>
                <w:sz w:val="22"/>
                <w:szCs w:val="22"/>
              </w:rPr>
            </w:pPr>
            <w:r>
              <w:rPr>
                <w:color w:val="000000" w:themeColor="text1"/>
                <w:kern w:val="0"/>
                <w:sz w:val="22"/>
                <w:szCs w:val="22"/>
              </w:rPr>
              <w:t>洪范池镇</w:t>
            </w:r>
          </w:p>
        </w:tc>
        <w:tc>
          <w:tcPr>
            <w:tcW w:w="1565" w:type="pct"/>
            <w:vAlign w:val="center"/>
          </w:tcPr>
          <w:p w14:paraId="4BBF589D">
            <w:pPr>
              <w:widowControl/>
              <w:adjustRightInd w:val="0"/>
              <w:snapToGrid w:val="0"/>
              <w:jc w:val="center"/>
              <w:rPr>
                <w:rFonts w:eastAsia="等线"/>
                <w:color w:val="000000"/>
                <w:sz w:val="22"/>
                <w:szCs w:val="22"/>
              </w:rPr>
            </w:pPr>
            <w:r>
              <w:rPr>
                <w:rFonts w:eastAsia="等线"/>
                <w:color w:val="000000"/>
                <w:sz w:val="22"/>
                <w:szCs w:val="22"/>
              </w:rPr>
              <w:t>17.1</w:t>
            </w:r>
          </w:p>
        </w:tc>
        <w:tc>
          <w:tcPr>
            <w:tcW w:w="1565" w:type="pct"/>
            <w:vAlign w:val="center"/>
          </w:tcPr>
          <w:p w14:paraId="06B74B64">
            <w:pPr>
              <w:widowControl/>
              <w:adjustRightInd w:val="0"/>
              <w:snapToGrid w:val="0"/>
              <w:jc w:val="center"/>
              <w:rPr>
                <w:rFonts w:eastAsia="等线"/>
                <w:color w:val="000000"/>
                <w:sz w:val="22"/>
                <w:szCs w:val="22"/>
              </w:rPr>
            </w:pPr>
            <w:r>
              <w:rPr>
                <w:rFonts w:eastAsia="等线"/>
                <w:color w:val="000000"/>
                <w:sz w:val="22"/>
                <w:szCs w:val="22"/>
              </w:rPr>
              <w:t>34.4</w:t>
            </w:r>
          </w:p>
        </w:tc>
      </w:tr>
      <w:tr w14:paraId="1AB6B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0" w:type="pct"/>
            <w:vAlign w:val="center"/>
          </w:tcPr>
          <w:p w14:paraId="1E04406F">
            <w:pPr>
              <w:widowControl/>
              <w:jc w:val="center"/>
              <w:rPr>
                <w:color w:val="000000" w:themeColor="text1"/>
                <w:kern w:val="0"/>
                <w:sz w:val="22"/>
                <w:szCs w:val="22"/>
              </w:rPr>
            </w:pPr>
            <w:r>
              <w:rPr>
                <w:color w:val="000000" w:themeColor="text1"/>
                <w:kern w:val="0"/>
                <w:sz w:val="22"/>
                <w:szCs w:val="22"/>
              </w:rPr>
              <w:t>合计</w:t>
            </w:r>
          </w:p>
        </w:tc>
        <w:tc>
          <w:tcPr>
            <w:tcW w:w="1565" w:type="pct"/>
            <w:noWrap/>
            <w:vAlign w:val="center"/>
          </w:tcPr>
          <w:p w14:paraId="2428937B">
            <w:pPr>
              <w:widowControl/>
              <w:adjustRightInd w:val="0"/>
              <w:snapToGrid w:val="0"/>
              <w:jc w:val="center"/>
              <w:rPr>
                <w:rFonts w:eastAsia="等线"/>
                <w:color w:val="000000"/>
                <w:sz w:val="22"/>
                <w:szCs w:val="22"/>
              </w:rPr>
            </w:pPr>
            <w:r>
              <w:rPr>
                <w:rFonts w:eastAsia="等线"/>
                <w:color w:val="000000"/>
                <w:sz w:val="22"/>
                <w:szCs w:val="22"/>
              </w:rPr>
              <w:t>2115.3</w:t>
            </w:r>
          </w:p>
        </w:tc>
        <w:tc>
          <w:tcPr>
            <w:tcW w:w="1565" w:type="pct"/>
            <w:noWrap/>
            <w:vAlign w:val="center"/>
          </w:tcPr>
          <w:p w14:paraId="43AE8F27">
            <w:pPr>
              <w:widowControl/>
              <w:adjustRightInd w:val="0"/>
              <w:snapToGrid w:val="0"/>
              <w:jc w:val="center"/>
              <w:rPr>
                <w:rFonts w:eastAsia="等线"/>
                <w:color w:val="000000"/>
                <w:sz w:val="22"/>
                <w:szCs w:val="22"/>
              </w:rPr>
            </w:pPr>
            <w:r>
              <w:rPr>
                <w:rFonts w:eastAsia="等线"/>
                <w:color w:val="000000"/>
                <w:sz w:val="22"/>
                <w:szCs w:val="22"/>
              </w:rPr>
              <w:t>2724.3</w:t>
            </w:r>
          </w:p>
        </w:tc>
      </w:tr>
    </w:tbl>
    <w:p w14:paraId="40E6C6A0">
      <w:pPr>
        <w:snapToGrid w:val="0"/>
        <w:spacing w:before="120" w:beforeLines="50" w:after="120" w:afterLines="50" w:line="600" w:lineRule="exact"/>
        <w:outlineLvl w:val="1"/>
        <w:rPr>
          <w:b/>
          <w:color w:val="000000" w:themeColor="text1"/>
          <w:sz w:val="30"/>
          <w:szCs w:val="30"/>
        </w:rPr>
      </w:pPr>
      <w:bookmarkStart w:id="155" w:name="_Toc144243731"/>
      <w:bookmarkStart w:id="156" w:name="_Toc181472938"/>
      <w:r>
        <w:rPr>
          <w:b/>
          <w:color w:val="000000" w:themeColor="text1"/>
          <w:sz w:val="30"/>
          <w:szCs w:val="30"/>
        </w:rPr>
        <w:t>5.</w:t>
      </w:r>
      <w:r>
        <w:rPr>
          <w:rFonts w:hint="eastAsia"/>
          <w:b/>
          <w:color w:val="000000" w:themeColor="text1"/>
          <w:sz w:val="30"/>
          <w:szCs w:val="30"/>
        </w:rPr>
        <w:t>2</w:t>
      </w:r>
      <w:r>
        <w:rPr>
          <w:b/>
          <w:color w:val="000000" w:themeColor="text1"/>
          <w:sz w:val="30"/>
          <w:szCs w:val="30"/>
        </w:rPr>
        <w:t xml:space="preserve"> </w:t>
      </w:r>
      <w:r>
        <w:rPr>
          <w:rFonts w:hint="eastAsia"/>
          <w:b/>
          <w:color w:val="000000" w:themeColor="text1"/>
          <w:sz w:val="30"/>
          <w:szCs w:val="30"/>
        </w:rPr>
        <w:t>污水处理规模</w:t>
      </w:r>
      <w:bookmarkEnd w:id="155"/>
      <w:bookmarkEnd w:id="156"/>
    </w:p>
    <w:p w14:paraId="3CDCB4E8">
      <w:pPr>
        <w:autoSpaceDE w:val="0"/>
        <w:autoSpaceDN w:val="0"/>
        <w:spacing w:line="600" w:lineRule="exact"/>
        <w:ind w:firstLine="560" w:firstLineChars="200"/>
        <w:textAlignment w:val="baseline"/>
        <w:rPr>
          <w:color w:val="000000" w:themeColor="text1"/>
          <w:sz w:val="28"/>
          <w:szCs w:val="28"/>
        </w:rPr>
      </w:pPr>
      <w:bookmarkStart w:id="157" w:name="_Toc137737099"/>
      <w:r>
        <w:rPr>
          <w:rFonts w:hint="eastAsia"/>
          <w:color w:val="000000" w:themeColor="text1"/>
          <w:sz w:val="28"/>
          <w:szCs w:val="28"/>
        </w:rPr>
        <w:t>据了解，平阴县按照</w:t>
      </w:r>
      <w:r>
        <w:rPr>
          <w:rFonts w:hint="eastAsia"/>
          <w:color w:val="000000" w:themeColor="text1"/>
          <w:kern w:val="0"/>
          <w:sz w:val="28"/>
          <w:szCs w:val="28"/>
          <w:lang w:val="zh-CN"/>
        </w:rPr>
        <w:t>《平阴县城乡污水处理统筹规划（2</w:t>
      </w:r>
      <w:r>
        <w:rPr>
          <w:color w:val="000000" w:themeColor="text1"/>
          <w:kern w:val="0"/>
          <w:sz w:val="28"/>
          <w:szCs w:val="28"/>
          <w:lang w:val="zh-CN"/>
        </w:rPr>
        <w:t>017</w:t>
      </w:r>
      <w:r>
        <w:rPr>
          <w:rFonts w:hint="eastAsia"/>
          <w:color w:val="000000" w:themeColor="text1"/>
          <w:kern w:val="0"/>
          <w:sz w:val="28"/>
          <w:szCs w:val="28"/>
          <w:lang w:val="zh-CN"/>
        </w:rPr>
        <w:t>—</w:t>
      </w:r>
      <w:r>
        <w:rPr>
          <w:color w:val="000000" w:themeColor="text1"/>
          <w:kern w:val="0"/>
          <w:sz w:val="28"/>
          <w:szCs w:val="28"/>
          <w:lang w:val="zh-CN"/>
        </w:rPr>
        <w:t>2035</w:t>
      </w:r>
      <w:r>
        <w:rPr>
          <w:rFonts w:hint="eastAsia"/>
          <w:color w:val="000000" w:themeColor="text1"/>
          <w:kern w:val="0"/>
          <w:sz w:val="28"/>
          <w:szCs w:val="28"/>
          <w:lang w:val="zh-CN"/>
        </w:rPr>
        <w:t>年）》正在</w:t>
      </w:r>
      <w:r>
        <w:rPr>
          <w:rFonts w:hint="eastAsia"/>
          <w:color w:val="000000" w:themeColor="text1"/>
          <w:sz w:val="28"/>
          <w:szCs w:val="28"/>
        </w:rPr>
        <w:t>推进城乡污废水集中处理，结合中心城区及各镇污废水处理需求情况，在中心城区及各镇驻地建设污水处理厂。目前已建成污水处理厂共5座，</w:t>
      </w:r>
      <w:r>
        <w:rPr>
          <w:color w:val="000000" w:themeColor="text1"/>
          <w:sz w:val="28"/>
          <w:szCs w:val="28"/>
        </w:rPr>
        <w:t>分别为平阴水务发展有限公司</w:t>
      </w:r>
      <w:r>
        <w:rPr>
          <w:rFonts w:hint="eastAsia"/>
          <w:color w:val="000000" w:themeColor="text1"/>
          <w:sz w:val="28"/>
          <w:szCs w:val="28"/>
        </w:rPr>
        <w:t>（一厂）</w:t>
      </w:r>
      <w:r>
        <w:rPr>
          <w:color w:val="000000" w:themeColor="text1"/>
          <w:sz w:val="28"/>
          <w:szCs w:val="28"/>
        </w:rPr>
        <w:t>、平阴水务发展有限公司</w:t>
      </w:r>
      <w:r>
        <w:rPr>
          <w:rFonts w:hint="eastAsia"/>
          <w:color w:val="000000" w:themeColor="text1"/>
          <w:sz w:val="28"/>
          <w:szCs w:val="28"/>
        </w:rPr>
        <w:t>（二厂）</w:t>
      </w:r>
      <w:r>
        <w:rPr>
          <w:color w:val="000000" w:themeColor="text1"/>
          <w:sz w:val="28"/>
          <w:szCs w:val="28"/>
        </w:rPr>
        <w:t>、平阴水务发展有限公司（</w:t>
      </w:r>
      <w:r>
        <w:rPr>
          <w:rFonts w:hint="eastAsia"/>
          <w:color w:val="000000" w:themeColor="text1"/>
          <w:sz w:val="28"/>
          <w:szCs w:val="28"/>
        </w:rPr>
        <w:t>三厂</w:t>
      </w:r>
      <w:r>
        <w:rPr>
          <w:color w:val="000000" w:themeColor="text1"/>
          <w:sz w:val="28"/>
          <w:szCs w:val="28"/>
        </w:rPr>
        <w:t>）</w:t>
      </w:r>
      <w:r>
        <w:rPr>
          <w:rFonts w:hint="eastAsia"/>
          <w:color w:val="000000" w:themeColor="text1"/>
          <w:sz w:val="28"/>
          <w:szCs w:val="28"/>
        </w:rPr>
        <w:t>、</w:t>
      </w:r>
      <w:r>
        <w:rPr>
          <w:color w:val="000000" w:themeColor="text1"/>
          <w:sz w:val="28"/>
          <w:szCs w:val="28"/>
        </w:rPr>
        <w:t>平阴县中环水务有限公司</w:t>
      </w:r>
      <w:r>
        <w:rPr>
          <w:rFonts w:hint="eastAsia"/>
          <w:color w:val="000000" w:themeColor="text1"/>
          <w:sz w:val="28"/>
          <w:szCs w:val="28"/>
        </w:rPr>
        <w:t>（孔村厂）和</w:t>
      </w:r>
      <w:r>
        <w:rPr>
          <w:color w:val="000000" w:themeColor="text1"/>
          <w:sz w:val="28"/>
          <w:szCs w:val="28"/>
        </w:rPr>
        <w:t>平阴县中环水务有限公司</w:t>
      </w:r>
      <w:r>
        <w:rPr>
          <w:rFonts w:hint="eastAsia"/>
          <w:color w:val="000000" w:themeColor="text1"/>
          <w:sz w:val="28"/>
          <w:szCs w:val="28"/>
        </w:rPr>
        <w:t>（孝直厂）。目前，平阴县污水处理厂的</w:t>
      </w:r>
      <w:r>
        <w:rPr>
          <w:color w:val="000000" w:themeColor="text1"/>
          <w:sz w:val="28"/>
          <w:szCs w:val="28"/>
        </w:rPr>
        <w:t>处理规模为6.0万m</w:t>
      </w:r>
      <w:r>
        <w:rPr>
          <w:rFonts w:hint="eastAsia"/>
          <w:bCs/>
          <w:color w:val="000000" w:themeColor="text1"/>
          <w:kern w:val="44"/>
          <w:sz w:val="28"/>
          <w:szCs w:val="28"/>
          <w:vertAlign w:val="superscript"/>
        </w:rPr>
        <w:t>3</w:t>
      </w:r>
      <w:r>
        <w:rPr>
          <w:color w:val="000000" w:themeColor="text1"/>
          <w:sz w:val="28"/>
          <w:szCs w:val="28"/>
        </w:rPr>
        <w:t>/d，实际日处理量为</w:t>
      </w:r>
      <w:r>
        <w:rPr>
          <w:rFonts w:hint="eastAsia"/>
          <w:color w:val="000000" w:themeColor="text1"/>
          <w:sz w:val="28"/>
          <w:szCs w:val="28"/>
        </w:rPr>
        <w:t>4.63</w:t>
      </w:r>
      <w:r>
        <w:rPr>
          <w:color w:val="000000" w:themeColor="text1"/>
          <w:sz w:val="28"/>
          <w:szCs w:val="28"/>
        </w:rPr>
        <w:t>万m</w:t>
      </w:r>
      <w:r>
        <w:rPr>
          <w:rFonts w:hint="eastAsia"/>
          <w:bCs/>
          <w:color w:val="000000" w:themeColor="text1"/>
          <w:kern w:val="44"/>
          <w:sz w:val="28"/>
          <w:szCs w:val="28"/>
          <w:vertAlign w:val="superscript"/>
        </w:rPr>
        <w:t>3</w:t>
      </w:r>
      <w:r>
        <w:rPr>
          <w:color w:val="000000" w:themeColor="text1"/>
          <w:sz w:val="28"/>
          <w:szCs w:val="28"/>
        </w:rPr>
        <w:t>/d。</w:t>
      </w:r>
    </w:p>
    <w:p w14:paraId="0D874E59">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kern w:val="0"/>
          <w:sz w:val="28"/>
          <w:szCs w:val="28"/>
          <w:lang w:val="zh-CN"/>
        </w:rPr>
        <w:t>根据《平阴县城乡污水处理统筹规划（2</w:t>
      </w:r>
      <w:r>
        <w:rPr>
          <w:color w:val="000000" w:themeColor="text1"/>
          <w:kern w:val="0"/>
          <w:sz w:val="28"/>
          <w:szCs w:val="28"/>
          <w:lang w:val="zh-CN"/>
        </w:rPr>
        <w:t>017</w:t>
      </w:r>
      <w:r>
        <w:rPr>
          <w:rFonts w:hint="eastAsia"/>
          <w:color w:val="000000" w:themeColor="text1"/>
          <w:kern w:val="0"/>
          <w:sz w:val="28"/>
          <w:szCs w:val="28"/>
          <w:lang w:val="zh-CN"/>
        </w:rPr>
        <w:t>—</w:t>
      </w:r>
      <w:r>
        <w:rPr>
          <w:color w:val="000000" w:themeColor="text1"/>
          <w:kern w:val="0"/>
          <w:sz w:val="28"/>
          <w:szCs w:val="28"/>
          <w:lang w:val="zh-CN"/>
        </w:rPr>
        <w:t>2035</w:t>
      </w:r>
      <w:r>
        <w:rPr>
          <w:rFonts w:hint="eastAsia"/>
          <w:color w:val="000000" w:themeColor="text1"/>
          <w:kern w:val="0"/>
          <w:sz w:val="28"/>
          <w:szCs w:val="28"/>
          <w:lang w:val="zh-CN"/>
        </w:rPr>
        <w:t>年）》等资料可知，平阴县将会结合当地污水处理需求对已建</w:t>
      </w:r>
      <w:r>
        <w:rPr>
          <w:rFonts w:hint="eastAsia"/>
          <w:color w:val="000000" w:themeColor="text1"/>
          <w:sz w:val="28"/>
          <w:szCs w:val="28"/>
        </w:rPr>
        <w:t>污水处理厂进行扩建，同时在玫瑰镇和洪范池镇规划建设污水处理厂，收集镇区及周边农村的污废水，进而减少农村污废水外排对当地河流生态环境的影响。</w:t>
      </w:r>
    </w:p>
    <w:bookmarkEnd w:id="157"/>
    <w:p w14:paraId="4AAE8D03">
      <w:pPr>
        <w:keepNext/>
        <w:autoSpaceDE w:val="0"/>
        <w:autoSpaceDN w:val="0"/>
        <w:adjustRightInd w:val="0"/>
        <w:snapToGrid w:val="0"/>
        <w:spacing w:line="600" w:lineRule="exact"/>
        <w:textAlignment w:val="bottom"/>
        <w:outlineLvl w:val="2"/>
        <w:rPr>
          <w:b/>
          <w:color w:val="000000" w:themeColor="text1"/>
          <w:sz w:val="28"/>
          <w:szCs w:val="28"/>
        </w:rPr>
      </w:pPr>
      <w:bookmarkStart w:id="158" w:name="_Toc137737100"/>
      <w:bookmarkStart w:id="159" w:name="_Toc144243732"/>
      <w:bookmarkStart w:id="160" w:name="_Toc143780503"/>
      <w:r>
        <w:rPr>
          <w:b/>
          <w:color w:val="000000" w:themeColor="text1"/>
          <w:sz w:val="28"/>
          <w:szCs w:val="28"/>
        </w:rPr>
        <w:t>5.</w:t>
      </w:r>
      <w:r>
        <w:rPr>
          <w:rFonts w:hint="eastAsia"/>
          <w:b/>
          <w:color w:val="000000" w:themeColor="text1"/>
          <w:sz w:val="28"/>
          <w:szCs w:val="28"/>
        </w:rPr>
        <w:t>2</w:t>
      </w:r>
      <w:r>
        <w:rPr>
          <w:b/>
          <w:color w:val="000000" w:themeColor="text1"/>
          <w:sz w:val="28"/>
          <w:szCs w:val="28"/>
        </w:rPr>
        <w:t xml:space="preserve">.1  </w:t>
      </w:r>
      <w:r>
        <w:rPr>
          <w:rFonts w:hint="eastAsia"/>
          <w:b/>
          <w:color w:val="000000" w:themeColor="text1"/>
          <w:sz w:val="28"/>
          <w:szCs w:val="28"/>
        </w:rPr>
        <w:t>中心城区</w:t>
      </w:r>
      <w:bookmarkEnd w:id="158"/>
      <w:r>
        <w:rPr>
          <w:rFonts w:hint="eastAsia"/>
          <w:b/>
          <w:color w:val="000000" w:themeColor="text1"/>
          <w:sz w:val="28"/>
          <w:szCs w:val="28"/>
        </w:rPr>
        <w:t>污水处理工程</w:t>
      </w:r>
      <w:bookmarkEnd w:id="159"/>
      <w:bookmarkEnd w:id="160"/>
    </w:p>
    <w:p w14:paraId="610B1EAE">
      <w:pPr>
        <w:adjustRightInd w:val="0"/>
        <w:snapToGrid w:val="0"/>
        <w:spacing w:line="560" w:lineRule="exact"/>
        <w:ind w:firstLine="560" w:firstLineChars="200"/>
        <w:rPr>
          <w:color w:val="000000" w:themeColor="text1"/>
          <w:sz w:val="28"/>
          <w:szCs w:val="28"/>
        </w:rPr>
      </w:pPr>
      <w:bookmarkStart w:id="161" w:name="_Hlk181278083"/>
      <w:r>
        <w:rPr>
          <w:rFonts w:hint="eastAsia"/>
          <w:color w:val="000000" w:themeColor="text1"/>
          <w:sz w:val="28"/>
          <w:szCs w:val="28"/>
        </w:rPr>
        <w:t>1、污水处理厂运行现状</w:t>
      </w:r>
    </w:p>
    <w:bookmarkEnd w:id="161"/>
    <w:p w14:paraId="61BCB8B6">
      <w:pPr>
        <w:adjustRightInd w:val="0"/>
        <w:snapToGrid w:val="0"/>
        <w:spacing w:line="560" w:lineRule="exact"/>
        <w:ind w:firstLine="560" w:firstLineChars="200"/>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（一厂）</w:t>
      </w:r>
      <w:r>
        <w:rPr>
          <w:color w:val="000000" w:themeColor="text1"/>
          <w:sz w:val="28"/>
          <w:szCs w:val="28"/>
        </w:rPr>
        <w:t>主要接纳处理</w:t>
      </w:r>
      <w:r>
        <w:rPr>
          <w:rFonts w:hint="eastAsia"/>
          <w:color w:val="000000" w:themeColor="text1"/>
          <w:sz w:val="28"/>
          <w:szCs w:val="28"/>
        </w:rPr>
        <w:t>中心</w:t>
      </w:r>
      <w:r>
        <w:rPr>
          <w:color w:val="000000" w:themeColor="text1"/>
          <w:sz w:val="28"/>
          <w:szCs w:val="28"/>
        </w:rPr>
        <w:t>城区</w:t>
      </w:r>
      <w:r>
        <w:rPr>
          <w:rFonts w:hint="eastAsia"/>
          <w:color w:val="000000" w:themeColor="text1"/>
          <w:sz w:val="28"/>
          <w:szCs w:val="28"/>
        </w:rPr>
        <w:t>的</w:t>
      </w:r>
      <w:r>
        <w:rPr>
          <w:color w:val="000000" w:themeColor="text1"/>
          <w:sz w:val="28"/>
          <w:szCs w:val="28"/>
        </w:rPr>
        <w:t>生活污水和工业废水。该厂建于2004年，于2005年建成投入运营，设计规模4.0万m</w:t>
      </w:r>
      <w:r>
        <w:rPr>
          <w:color w:val="000000" w:themeColor="text1"/>
          <w:sz w:val="28"/>
          <w:szCs w:val="28"/>
          <w:vertAlign w:val="superscript"/>
        </w:rPr>
        <w:t>3</w:t>
      </w:r>
      <w:r>
        <w:rPr>
          <w:color w:val="000000" w:themeColor="text1"/>
          <w:sz w:val="28"/>
          <w:szCs w:val="28"/>
        </w:rPr>
        <w:t>/d，实际日处理量约3.</w:t>
      </w:r>
      <w:r>
        <w:rPr>
          <w:rFonts w:hint="eastAsia"/>
          <w:color w:val="000000" w:themeColor="text1"/>
          <w:sz w:val="28"/>
          <w:szCs w:val="28"/>
        </w:rPr>
        <w:t>37</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该厂处理</w:t>
      </w:r>
      <w:r>
        <w:rPr>
          <w:color w:val="000000" w:themeColor="text1"/>
          <w:sz w:val="28"/>
          <w:szCs w:val="28"/>
        </w:rPr>
        <w:t>工艺采用“粗格栅+提升泵站+细格栅+旋流沉砂池+A</w:t>
      </w:r>
      <w:r>
        <w:rPr>
          <w:color w:val="000000" w:themeColor="text1"/>
          <w:sz w:val="28"/>
          <w:szCs w:val="28"/>
          <w:vertAlign w:val="superscript"/>
        </w:rPr>
        <w:t>2</w:t>
      </w:r>
      <w:r>
        <w:rPr>
          <w:color w:val="000000" w:themeColor="text1"/>
          <w:sz w:val="28"/>
          <w:szCs w:val="28"/>
        </w:rPr>
        <w:t>O生化池+二沉池+二次提升泵站+磁混凝沉淀池+V型滤池+次氯酸钠消毒”工艺，处理后的污水执行《城镇污水处理厂污染物排放标准》一级A标准。</w:t>
      </w:r>
    </w:p>
    <w:p w14:paraId="3E5D3D74">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w:t>
      </w:r>
      <w:r>
        <w:rPr>
          <w:rFonts w:hint="eastAsia"/>
          <w:color w:val="000000" w:themeColor="text1"/>
          <w:sz w:val="28"/>
          <w:szCs w:val="28"/>
        </w:rPr>
        <w:t>、污水处理厂规划建设情况</w:t>
      </w:r>
    </w:p>
    <w:p w14:paraId="0FC06BA3">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（一厂）近期（2030年）无扩建规划，处理规模为4.0万m</w:t>
      </w:r>
      <w:r>
        <w:rPr>
          <w:rFonts w:hint="eastAsia"/>
          <w:color w:val="000000" w:themeColor="text1"/>
          <w:sz w:val="28"/>
          <w:szCs w:val="28"/>
          <w:vertAlign w:val="superscript"/>
        </w:rPr>
        <w:t>3</w:t>
      </w:r>
      <w:r>
        <w:rPr>
          <w:rFonts w:hint="eastAsia"/>
          <w:color w:val="000000" w:themeColor="text1"/>
          <w:sz w:val="28"/>
          <w:szCs w:val="28"/>
        </w:rPr>
        <w:t>/d。规划建设1座新污水处理厂，处理规模为4.0万m</w:t>
      </w:r>
      <w:r>
        <w:rPr>
          <w:rFonts w:hint="eastAsia"/>
          <w:color w:val="000000" w:themeColor="text1"/>
          <w:sz w:val="28"/>
          <w:szCs w:val="28"/>
          <w:vertAlign w:val="superscript"/>
        </w:rPr>
        <w:t>3</w:t>
      </w:r>
      <w:r>
        <w:rPr>
          <w:rFonts w:hint="eastAsia"/>
          <w:color w:val="000000" w:themeColor="text1"/>
          <w:sz w:val="28"/>
          <w:szCs w:val="28"/>
        </w:rPr>
        <w:t>/d。因此，2</w:t>
      </w:r>
      <w:r>
        <w:rPr>
          <w:color w:val="000000" w:themeColor="text1"/>
          <w:sz w:val="28"/>
          <w:szCs w:val="28"/>
        </w:rPr>
        <w:t>03</w:t>
      </w:r>
      <w:r>
        <w:rPr>
          <w:rFonts w:hint="eastAsia"/>
          <w:color w:val="000000" w:themeColor="text1"/>
          <w:sz w:val="28"/>
          <w:szCs w:val="28"/>
        </w:rPr>
        <w:t>0年中心城区污水处理厂的处理规模为8</w:t>
      </w:r>
      <w:r>
        <w:rPr>
          <w:color w:val="000000" w:themeColor="text1"/>
          <w:sz w:val="28"/>
          <w:szCs w:val="28"/>
        </w:rPr>
        <w:t>.</w:t>
      </w:r>
      <w:r>
        <w:rPr>
          <w:rFonts w:hint="eastAsia"/>
          <w:color w:val="000000" w:themeColor="text1"/>
          <w:sz w:val="28"/>
          <w:szCs w:val="28"/>
        </w:rPr>
        <w:t>0万m</w:t>
      </w:r>
      <w:r>
        <w:rPr>
          <w:rFonts w:hint="eastAsia"/>
          <w:color w:val="000000" w:themeColor="text1"/>
          <w:sz w:val="28"/>
          <w:szCs w:val="28"/>
          <w:vertAlign w:val="superscript"/>
        </w:rPr>
        <w:t>3</w:t>
      </w:r>
      <w:r>
        <w:rPr>
          <w:rFonts w:hint="eastAsia"/>
          <w:color w:val="000000" w:themeColor="text1"/>
          <w:sz w:val="28"/>
          <w:szCs w:val="28"/>
        </w:rPr>
        <w:t>/d。</w:t>
      </w:r>
    </w:p>
    <w:p w14:paraId="78ACA5B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远期（2035年）结合中心城区的污水处理需求，规划建设1座新污水处理厂，处理规模为0.6万m</w:t>
      </w:r>
      <w:r>
        <w:rPr>
          <w:rFonts w:hint="eastAsia"/>
          <w:color w:val="000000" w:themeColor="text1"/>
          <w:sz w:val="28"/>
          <w:szCs w:val="28"/>
          <w:vertAlign w:val="superscript"/>
        </w:rPr>
        <w:t>3</w:t>
      </w:r>
      <w:r>
        <w:rPr>
          <w:rFonts w:hint="eastAsia"/>
          <w:color w:val="000000" w:themeColor="text1"/>
          <w:sz w:val="28"/>
          <w:szCs w:val="28"/>
        </w:rPr>
        <w:t>/d。因此，2</w:t>
      </w:r>
      <w:r>
        <w:rPr>
          <w:color w:val="000000" w:themeColor="text1"/>
          <w:sz w:val="28"/>
          <w:szCs w:val="28"/>
        </w:rPr>
        <w:t>035</w:t>
      </w:r>
      <w:r>
        <w:rPr>
          <w:rFonts w:hint="eastAsia"/>
          <w:color w:val="000000" w:themeColor="text1"/>
          <w:sz w:val="28"/>
          <w:szCs w:val="28"/>
        </w:rPr>
        <w:t>年中心城区污水处理厂的处理规模为8</w:t>
      </w:r>
      <w:r>
        <w:rPr>
          <w:color w:val="000000" w:themeColor="text1"/>
          <w:sz w:val="28"/>
          <w:szCs w:val="28"/>
        </w:rPr>
        <w:t>.</w:t>
      </w:r>
      <w:r>
        <w:rPr>
          <w:rFonts w:hint="eastAsia"/>
          <w:color w:val="000000" w:themeColor="text1"/>
          <w:sz w:val="28"/>
          <w:szCs w:val="28"/>
        </w:rPr>
        <w:t>6万m</w:t>
      </w:r>
      <w:r>
        <w:rPr>
          <w:rFonts w:hint="eastAsia"/>
          <w:color w:val="000000" w:themeColor="text1"/>
          <w:sz w:val="28"/>
          <w:szCs w:val="28"/>
          <w:vertAlign w:val="superscript"/>
        </w:rPr>
        <w:t>3</w:t>
      </w:r>
      <w:r>
        <w:rPr>
          <w:rFonts w:hint="eastAsia"/>
          <w:color w:val="000000" w:themeColor="text1"/>
          <w:sz w:val="28"/>
          <w:szCs w:val="28"/>
        </w:rPr>
        <w:t>/d。</w:t>
      </w:r>
    </w:p>
    <w:p w14:paraId="4A81B04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同时结合孔村镇再生水用水需求，规划配套建设再生水调水工程，即从中心城区向孔村镇供再生水，近期供水规模为1.0万m</w:t>
      </w:r>
      <w:r>
        <w:rPr>
          <w:rFonts w:hint="eastAsia"/>
          <w:color w:val="000000" w:themeColor="text1"/>
          <w:sz w:val="28"/>
          <w:szCs w:val="28"/>
          <w:vertAlign w:val="superscript"/>
        </w:rPr>
        <w:t>3</w:t>
      </w:r>
      <w:r>
        <w:rPr>
          <w:rFonts w:hint="eastAsia"/>
          <w:color w:val="000000" w:themeColor="text1"/>
          <w:sz w:val="28"/>
          <w:szCs w:val="28"/>
        </w:rPr>
        <w:t>/d，远期为2.0万m</w:t>
      </w:r>
      <w:r>
        <w:rPr>
          <w:rFonts w:hint="eastAsia"/>
          <w:color w:val="000000" w:themeColor="text1"/>
          <w:sz w:val="28"/>
          <w:szCs w:val="28"/>
          <w:vertAlign w:val="superscript"/>
        </w:rPr>
        <w:t>3</w:t>
      </w:r>
      <w:r>
        <w:rPr>
          <w:rFonts w:hint="eastAsia"/>
          <w:color w:val="000000" w:themeColor="text1"/>
          <w:sz w:val="28"/>
          <w:szCs w:val="28"/>
        </w:rPr>
        <w:t>/d。</w:t>
      </w:r>
    </w:p>
    <w:p w14:paraId="7A884AA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平阴县污水处理厂扩建或新建均需结合城区产业布局、雨污分流、污水管布局、城区河道生态补水需求等因素综合考虑。根据平阴县发展规划，综合考虑上述因素，规划建设两座污水处理厂。</w:t>
      </w:r>
    </w:p>
    <w:p w14:paraId="59A49626">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（1）保留现状</w:t>
      </w:r>
      <w:r>
        <w:rPr>
          <w:color w:val="000000" w:themeColor="text1"/>
          <w:sz w:val="28"/>
          <w:szCs w:val="28"/>
        </w:rPr>
        <w:t>平阴水务发展有限公司</w:t>
      </w:r>
      <w:r>
        <w:rPr>
          <w:rFonts w:hint="eastAsia"/>
          <w:color w:val="000000" w:themeColor="text1"/>
          <w:sz w:val="28"/>
          <w:szCs w:val="28"/>
        </w:rPr>
        <w:t>（一厂）现状规模及用地。</w:t>
      </w:r>
    </w:p>
    <w:p w14:paraId="2A3DB51C">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（2）近期规划在锦水河西支河道西侧，改造现状泵站为污水处理厂。根据玫瑰路污水干管流量及东关街西段污水干管流量，该污水处理厂规模为4.0万m</w:t>
      </w:r>
      <w:r>
        <w:rPr>
          <w:rFonts w:hint="eastAsia"/>
          <w:color w:val="000000" w:themeColor="text1"/>
          <w:sz w:val="28"/>
          <w:szCs w:val="28"/>
          <w:vertAlign w:val="superscript"/>
        </w:rPr>
        <w:t>3</w:t>
      </w:r>
      <w:r>
        <w:rPr>
          <w:rFonts w:hint="eastAsia"/>
          <w:color w:val="000000" w:themeColor="text1"/>
          <w:sz w:val="28"/>
          <w:szCs w:val="28"/>
        </w:rPr>
        <w:t>/d，主要处理当地城乡居民生活污水和企业废水。根据预留用地规模3.5hm</w:t>
      </w:r>
      <w:r>
        <w:rPr>
          <w:rFonts w:hint="eastAsia"/>
          <w:color w:val="000000" w:themeColor="text1"/>
          <w:sz w:val="28"/>
          <w:szCs w:val="28"/>
          <w:vertAlign w:val="superscript"/>
        </w:rPr>
        <w:t>2</w:t>
      </w:r>
      <w:r>
        <w:rPr>
          <w:rFonts w:hint="eastAsia"/>
          <w:color w:val="000000" w:themeColor="text1"/>
          <w:sz w:val="28"/>
          <w:szCs w:val="28"/>
        </w:rPr>
        <w:t>及周边卫生防护范围受限，建议此污水处理厂采用全地下式污水处理厂。</w:t>
      </w:r>
    </w:p>
    <w:p w14:paraId="1FA7530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（3）远期规划在锦水河东支与振兴街相交处东南角建设锦东新区污水处理厂，集中处理锦东新区污水。根据锦水河东支污水管网核算，规模为0.6万m</w:t>
      </w:r>
      <w:r>
        <w:rPr>
          <w:rFonts w:hint="eastAsia"/>
          <w:color w:val="000000" w:themeColor="text1"/>
          <w:sz w:val="28"/>
          <w:szCs w:val="28"/>
          <w:vertAlign w:val="superscript"/>
        </w:rPr>
        <w:t>3</w:t>
      </w:r>
      <w:r>
        <w:rPr>
          <w:rFonts w:hint="eastAsia"/>
          <w:color w:val="000000" w:themeColor="text1"/>
          <w:sz w:val="28"/>
          <w:szCs w:val="28"/>
        </w:rPr>
        <w:t>/d；政府前期预留市政设施用地，锦东新区污水处理厂用地规模为5.0 hm</w:t>
      </w:r>
      <w:r>
        <w:rPr>
          <w:rFonts w:hint="eastAsia"/>
          <w:color w:val="000000" w:themeColor="text1"/>
          <w:sz w:val="28"/>
          <w:szCs w:val="28"/>
          <w:vertAlign w:val="superscript"/>
        </w:rPr>
        <w:t>2</w:t>
      </w:r>
      <w:r>
        <w:rPr>
          <w:rFonts w:hint="eastAsia"/>
          <w:color w:val="000000" w:themeColor="text1"/>
          <w:sz w:val="28"/>
          <w:szCs w:val="28"/>
        </w:rPr>
        <w:t>，配套湿地规模为4.4hm</w:t>
      </w:r>
      <w:r>
        <w:rPr>
          <w:rFonts w:hint="eastAsia"/>
          <w:color w:val="000000" w:themeColor="text1"/>
          <w:sz w:val="28"/>
          <w:szCs w:val="28"/>
          <w:vertAlign w:val="superscript"/>
        </w:rPr>
        <w:t>2</w:t>
      </w:r>
      <w:r>
        <w:rPr>
          <w:rFonts w:hint="eastAsia"/>
          <w:color w:val="000000" w:themeColor="text1"/>
          <w:sz w:val="28"/>
          <w:szCs w:val="28"/>
        </w:rPr>
        <w:t>。</w:t>
      </w:r>
    </w:p>
    <w:p w14:paraId="7B983812">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5.</w:t>
      </w:r>
      <w:r>
        <w:rPr>
          <w:rFonts w:hint="eastAsia"/>
          <w:b/>
          <w:bCs/>
          <w:color w:val="000000" w:themeColor="text1"/>
          <w:sz w:val="24"/>
        </w:rPr>
        <w:t>2</w:t>
      </w:r>
      <w:r>
        <w:rPr>
          <w:b/>
          <w:bCs/>
          <w:color w:val="000000" w:themeColor="text1"/>
          <w:sz w:val="24"/>
        </w:rPr>
        <w:t xml:space="preserve">-1  </w:t>
      </w:r>
      <w:r>
        <w:rPr>
          <w:rFonts w:hint="eastAsia"/>
          <w:b/>
          <w:bCs/>
          <w:color w:val="000000" w:themeColor="text1"/>
          <w:sz w:val="24"/>
        </w:rPr>
        <w:t xml:space="preserve"> 平阴县中心城区污水处理厂、湿地规模及用地规模及建设规划</w:t>
      </w:r>
    </w:p>
    <w:tbl>
      <w:tblPr>
        <w:tblStyle w:val="46"/>
        <w:tblW w:w="8364"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2409"/>
        <w:gridCol w:w="1276"/>
        <w:gridCol w:w="1559"/>
        <w:gridCol w:w="1276"/>
        <w:gridCol w:w="1276"/>
      </w:tblGrid>
      <w:tr w14:paraId="7B722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568" w:type="dxa"/>
            <w:noWrap/>
            <w:vAlign w:val="center"/>
          </w:tcPr>
          <w:p w14:paraId="2D7E46A7">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序号</w:t>
            </w:r>
          </w:p>
        </w:tc>
        <w:tc>
          <w:tcPr>
            <w:tcW w:w="2409" w:type="dxa"/>
            <w:noWrap/>
            <w:vAlign w:val="center"/>
          </w:tcPr>
          <w:p w14:paraId="6069418B">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名称</w:t>
            </w:r>
          </w:p>
        </w:tc>
        <w:tc>
          <w:tcPr>
            <w:tcW w:w="1276" w:type="dxa"/>
            <w:noWrap/>
            <w:vAlign w:val="center"/>
          </w:tcPr>
          <w:p w14:paraId="5803FB99">
            <w:pPr>
              <w:widowControl/>
              <w:adjustRightInd w:val="0"/>
              <w:snapToGrid w:val="0"/>
              <w:ind w:left="-105" w:leftChars="-50" w:right="-105" w:rightChars="-50"/>
              <w:jc w:val="center"/>
              <w:rPr>
                <w:rFonts w:hint="eastAsia" w:ascii="宋体" w:hAnsi="宋体"/>
                <w:color w:val="000000" w:themeColor="text1"/>
                <w:kern w:val="0"/>
                <w:sz w:val="22"/>
                <w:szCs w:val="22"/>
              </w:rPr>
            </w:pPr>
            <w:r>
              <w:rPr>
                <w:rFonts w:hint="eastAsia" w:ascii="宋体" w:hAnsi="宋体"/>
                <w:color w:val="000000" w:themeColor="text1"/>
                <w:kern w:val="0"/>
                <w:sz w:val="22"/>
                <w:szCs w:val="22"/>
              </w:rPr>
              <w:t>规划规模</w:t>
            </w:r>
          </w:p>
          <w:p w14:paraId="41045946">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（万</w:t>
            </w:r>
            <w:r>
              <w:rPr>
                <w:rFonts w:eastAsia="等线"/>
                <w:color w:val="000000" w:themeColor="text1"/>
                <w:kern w:val="0"/>
                <w:sz w:val="22"/>
                <w:szCs w:val="22"/>
              </w:rPr>
              <w:t>m</w:t>
            </w:r>
            <w:r>
              <w:rPr>
                <w:rFonts w:eastAsia="等线"/>
                <w:color w:val="000000" w:themeColor="text1"/>
                <w:kern w:val="0"/>
                <w:sz w:val="22"/>
                <w:szCs w:val="22"/>
                <w:vertAlign w:val="superscript"/>
              </w:rPr>
              <w:t>3</w:t>
            </w:r>
            <w:r>
              <w:rPr>
                <w:rFonts w:eastAsia="等线"/>
                <w:color w:val="000000" w:themeColor="text1"/>
                <w:kern w:val="0"/>
                <w:sz w:val="22"/>
                <w:szCs w:val="22"/>
              </w:rPr>
              <w:t>/d</w:t>
            </w:r>
            <w:r>
              <w:rPr>
                <w:rFonts w:hint="eastAsia" w:ascii="宋体" w:hAnsi="宋体"/>
                <w:color w:val="000000" w:themeColor="text1"/>
                <w:kern w:val="0"/>
                <w:sz w:val="22"/>
                <w:szCs w:val="22"/>
              </w:rPr>
              <w:t>）</w:t>
            </w:r>
          </w:p>
        </w:tc>
        <w:tc>
          <w:tcPr>
            <w:tcW w:w="1559" w:type="dxa"/>
            <w:noWrap/>
            <w:vAlign w:val="center"/>
          </w:tcPr>
          <w:p w14:paraId="5EE19BDC">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占地面积（</w:t>
            </w:r>
            <w:r>
              <w:rPr>
                <w:rFonts w:eastAsia="等线"/>
                <w:color w:val="000000" w:themeColor="text1"/>
                <w:kern w:val="0"/>
                <w:sz w:val="22"/>
                <w:szCs w:val="22"/>
              </w:rPr>
              <w:t>hm</w:t>
            </w:r>
            <w:r>
              <w:rPr>
                <w:rFonts w:eastAsia="等线"/>
                <w:color w:val="000000" w:themeColor="text1"/>
                <w:kern w:val="0"/>
                <w:sz w:val="22"/>
                <w:szCs w:val="22"/>
                <w:vertAlign w:val="superscript"/>
              </w:rPr>
              <w:t>2</w:t>
            </w:r>
            <w:r>
              <w:rPr>
                <w:rFonts w:hint="eastAsia" w:ascii="宋体" w:hAnsi="宋体"/>
                <w:color w:val="000000" w:themeColor="text1"/>
                <w:kern w:val="0"/>
                <w:sz w:val="22"/>
                <w:szCs w:val="22"/>
              </w:rPr>
              <w:t>）</w:t>
            </w:r>
          </w:p>
        </w:tc>
        <w:tc>
          <w:tcPr>
            <w:tcW w:w="1276" w:type="dxa"/>
            <w:noWrap/>
            <w:vAlign w:val="center"/>
          </w:tcPr>
          <w:p w14:paraId="10252110">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湿地占地面积（</w:t>
            </w:r>
            <w:r>
              <w:rPr>
                <w:rFonts w:eastAsia="等线"/>
                <w:color w:val="000000" w:themeColor="text1"/>
                <w:kern w:val="0"/>
                <w:sz w:val="22"/>
                <w:szCs w:val="22"/>
              </w:rPr>
              <w:t>hm</w:t>
            </w:r>
            <w:r>
              <w:rPr>
                <w:rFonts w:eastAsia="等线"/>
                <w:color w:val="000000" w:themeColor="text1"/>
                <w:kern w:val="0"/>
                <w:sz w:val="22"/>
                <w:szCs w:val="22"/>
                <w:vertAlign w:val="superscript"/>
              </w:rPr>
              <w:t>2</w:t>
            </w:r>
            <w:r>
              <w:rPr>
                <w:rFonts w:hint="eastAsia" w:ascii="宋体" w:hAnsi="宋体"/>
                <w:color w:val="000000" w:themeColor="text1"/>
                <w:kern w:val="0"/>
                <w:sz w:val="22"/>
                <w:szCs w:val="22"/>
              </w:rPr>
              <w:t>）</w:t>
            </w:r>
          </w:p>
        </w:tc>
        <w:tc>
          <w:tcPr>
            <w:tcW w:w="1276" w:type="dxa"/>
            <w:vAlign w:val="center"/>
          </w:tcPr>
          <w:p w14:paraId="7A81B806">
            <w:pPr>
              <w:widowControl/>
              <w:adjustRightInd w:val="0"/>
              <w:snapToGrid w:val="0"/>
              <w:ind w:left="-105" w:leftChars="-50" w:right="-105" w:rightChars="-50"/>
              <w:jc w:val="center"/>
              <w:rPr>
                <w:rFonts w:hint="eastAsia" w:ascii="宋体" w:hAnsi="宋体"/>
                <w:color w:val="000000" w:themeColor="text1"/>
                <w:kern w:val="0"/>
                <w:sz w:val="22"/>
                <w:szCs w:val="22"/>
              </w:rPr>
            </w:pPr>
            <w:r>
              <w:rPr>
                <w:rFonts w:hint="eastAsia" w:ascii="宋体" w:hAnsi="宋体"/>
                <w:color w:val="000000" w:themeColor="text1"/>
                <w:kern w:val="0"/>
                <w:sz w:val="22"/>
                <w:szCs w:val="22"/>
              </w:rPr>
              <w:t>建设情况</w:t>
            </w:r>
          </w:p>
        </w:tc>
      </w:tr>
      <w:tr w14:paraId="71779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568" w:type="dxa"/>
            <w:noWrap/>
            <w:vAlign w:val="center"/>
          </w:tcPr>
          <w:p w14:paraId="65C1E48A">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1</w:t>
            </w:r>
          </w:p>
        </w:tc>
        <w:tc>
          <w:tcPr>
            <w:tcW w:w="2409" w:type="dxa"/>
            <w:noWrap/>
            <w:vAlign w:val="center"/>
          </w:tcPr>
          <w:p w14:paraId="5A69784B">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平阴水务发展有限公司（一厂）</w:t>
            </w:r>
          </w:p>
        </w:tc>
        <w:tc>
          <w:tcPr>
            <w:tcW w:w="1276" w:type="dxa"/>
            <w:noWrap/>
            <w:vAlign w:val="center"/>
          </w:tcPr>
          <w:p w14:paraId="1B38C03F">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4.0</w:t>
            </w:r>
          </w:p>
        </w:tc>
        <w:tc>
          <w:tcPr>
            <w:tcW w:w="1559" w:type="dxa"/>
            <w:noWrap/>
            <w:vAlign w:val="center"/>
          </w:tcPr>
          <w:p w14:paraId="6B33F30C">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6.4</w:t>
            </w:r>
          </w:p>
        </w:tc>
        <w:tc>
          <w:tcPr>
            <w:tcW w:w="1276" w:type="dxa"/>
            <w:noWrap/>
            <w:vAlign w:val="center"/>
          </w:tcPr>
          <w:p w14:paraId="42FFFC1C">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13.2</w:t>
            </w:r>
          </w:p>
        </w:tc>
        <w:tc>
          <w:tcPr>
            <w:tcW w:w="1276" w:type="dxa"/>
            <w:vAlign w:val="center"/>
          </w:tcPr>
          <w:p w14:paraId="3DBDF32D">
            <w:pPr>
              <w:widowControl/>
              <w:adjustRightInd w:val="0"/>
              <w:snapToGrid w:val="0"/>
              <w:ind w:left="-105" w:leftChars="-50" w:right="-105" w:rightChars="-50"/>
              <w:jc w:val="center"/>
              <w:rPr>
                <w:rFonts w:hint="eastAsia" w:ascii="宋体" w:hAnsi="宋体"/>
                <w:color w:val="000000" w:themeColor="text1"/>
                <w:kern w:val="0"/>
                <w:sz w:val="22"/>
                <w:szCs w:val="22"/>
              </w:rPr>
            </w:pPr>
            <w:r>
              <w:rPr>
                <w:rFonts w:hint="eastAsia" w:ascii="宋体" w:hAnsi="宋体"/>
                <w:color w:val="000000" w:themeColor="text1"/>
                <w:kern w:val="0"/>
                <w:sz w:val="22"/>
                <w:szCs w:val="22"/>
              </w:rPr>
              <w:t>已建</w:t>
            </w:r>
          </w:p>
        </w:tc>
      </w:tr>
      <w:tr w14:paraId="743C0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568" w:type="dxa"/>
            <w:noWrap/>
            <w:vAlign w:val="center"/>
          </w:tcPr>
          <w:p w14:paraId="13B380E7">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2</w:t>
            </w:r>
          </w:p>
        </w:tc>
        <w:tc>
          <w:tcPr>
            <w:tcW w:w="2409" w:type="dxa"/>
            <w:noWrap/>
            <w:vAlign w:val="center"/>
          </w:tcPr>
          <w:p w14:paraId="6864E1E0">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锦水河西支综合治理工程（污水处理厂）</w:t>
            </w:r>
          </w:p>
        </w:tc>
        <w:tc>
          <w:tcPr>
            <w:tcW w:w="1276" w:type="dxa"/>
            <w:noWrap/>
            <w:vAlign w:val="center"/>
          </w:tcPr>
          <w:p w14:paraId="013A44EA">
            <w:pPr>
              <w:widowControl/>
              <w:adjustRightInd w:val="0"/>
              <w:snapToGrid w:val="0"/>
              <w:ind w:left="-105" w:leftChars="-50" w:right="-105" w:rightChars="-50"/>
              <w:jc w:val="center"/>
              <w:rPr>
                <w:rFonts w:eastAsia="等线"/>
                <w:color w:val="000000" w:themeColor="text1"/>
                <w:kern w:val="0"/>
                <w:sz w:val="22"/>
                <w:szCs w:val="22"/>
              </w:rPr>
            </w:pPr>
            <w:r>
              <w:rPr>
                <w:rFonts w:hint="eastAsia" w:eastAsia="等线"/>
                <w:color w:val="000000" w:themeColor="text1"/>
                <w:kern w:val="0"/>
                <w:sz w:val="22"/>
                <w:szCs w:val="22"/>
              </w:rPr>
              <w:t>4.0</w:t>
            </w:r>
          </w:p>
        </w:tc>
        <w:tc>
          <w:tcPr>
            <w:tcW w:w="1559" w:type="dxa"/>
            <w:noWrap/>
            <w:vAlign w:val="center"/>
          </w:tcPr>
          <w:p w14:paraId="3372861F">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2.3</w:t>
            </w:r>
          </w:p>
        </w:tc>
        <w:tc>
          <w:tcPr>
            <w:tcW w:w="1276" w:type="dxa"/>
            <w:noWrap/>
            <w:vAlign w:val="center"/>
          </w:tcPr>
          <w:p w14:paraId="4B90272F">
            <w:pPr>
              <w:widowControl/>
              <w:adjustRightInd w:val="0"/>
              <w:snapToGrid w:val="0"/>
              <w:ind w:left="-105" w:leftChars="-50" w:right="-105" w:rightChars="-50"/>
              <w:jc w:val="center"/>
              <w:rPr>
                <w:rFonts w:eastAsia="等线"/>
                <w:color w:val="000000" w:themeColor="text1"/>
                <w:kern w:val="0"/>
                <w:sz w:val="22"/>
                <w:szCs w:val="22"/>
              </w:rPr>
            </w:pPr>
          </w:p>
        </w:tc>
        <w:tc>
          <w:tcPr>
            <w:tcW w:w="1276" w:type="dxa"/>
            <w:vAlign w:val="center"/>
          </w:tcPr>
          <w:p w14:paraId="59EBCD09">
            <w:pPr>
              <w:widowControl/>
              <w:adjustRightInd w:val="0"/>
              <w:snapToGrid w:val="0"/>
              <w:ind w:left="-105" w:leftChars="-50" w:right="-105" w:rightChars="-50"/>
              <w:jc w:val="center"/>
              <w:rPr>
                <w:rFonts w:hint="eastAsia" w:ascii="宋体" w:hAnsi="宋体"/>
                <w:color w:val="000000" w:themeColor="text1"/>
                <w:kern w:val="0"/>
                <w:sz w:val="22"/>
                <w:szCs w:val="22"/>
              </w:rPr>
            </w:pPr>
            <w:r>
              <w:rPr>
                <w:rFonts w:hint="eastAsia" w:ascii="宋体" w:hAnsi="宋体"/>
                <w:color w:val="000000" w:themeColor="text1"/>
                <w:kern w:val="0"/>
                <w:sz w:val="22"/>
                <w:szCs w:val="22"/>
              </w:rPr>
              <w:t>近期规划</w:t>
            </w:r>
          </w:p>
        </w:tc>
      </w:tr>
      <w:tr w14:paraId="72CB6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568" w:type="dxa"/>
            <w:noWrap/>
            <w:vAlign w:val="center"/>
          </w:tcPr>
          <w:p w14:paraId="3DB8B71D">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3</w:t>
            </w:r>
          </w:p>
        </w:tc>
        <w:tc>
          <w:tcPr>
            <w:tcW w:w="2409" w:type="dxa"/>
            <w:noWrap/>
            <w:vAlign w:val="center"/>
          </w:tcPr>
          <w:p w14:paraId="72559B63">
            <w:pPr>
              <w:widowControl/>
              <w:adjustRightInd w:val="0"/>
              <w:snapToGrid w:val="0"/>
              <w:ind w:left="-105" w:leftChars="-50" w:right="-105" w:rightChars="-50"/>
              <w:jc w:val="center"/>
              <w:rPr>
                <w:rFonts w:eastAsia="等线"/>
                <w:color w:val="000000" w:themeColor="text1"/>
                <w:kern w:val="0"/>
                <w:sz w:val="22"/>
                <w:szCs w:val="22"/>
              </w:rPr>
            </w:pPr>
            <w:r>
              <w:rPr>
                <w:rFonts w:hint="eastAsia" w:ascii="宋体" w:hAnsi="宋体"/>
                <w:color w:val="000000" w:themeColor="text1"/>
                <w:kern w:val="0"/>
                <w:sz w:val="22"/>
                <w:szCs w:val="22"/>
              </w:rPr>
              <w:t>锦东新区污水处理厂</w:t>
            </w:r>
          </w:p>
        </w:tc>
        <w:tc>
          <w:tcPr>
            <w:tcW w:w="1276" w:type="dxa"/>
            <w:noWrap/>
            <w:vAlign w:val="center"/>
          </w:tcPr>
          <w:p w14:paraId="59372C95">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0.6</w:t>
            </w:r>
          </w:p>
        </w:tc>
        <w:tc>
          <w:tcPr>
            <w:tcW w:w="1559" w:type="dxa"/>
            <w:noWrap/>
            <w:vAlign w:val="center"/>
          </w:tcPr>
          <w:p w14:paraId="34B647A4">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5.0</w:t>
            </w:r>
          </w:p>
        </w:tc>
        <w:tc>
          <w:tcPr>
            <w:tcW w:w="1276" w:type="dxa"/>
            <w:noWrap/>
            <w:vAlign w:val="center"/>
          </w:tcPr>
          <w:p w14:paraId="4FE72D8D">
            <w:pPr>
              <w:widowControl/>
              <w:adjustRightInd w:val="0"/>
              <w:snapToGrid w:val="0"/>
              <w:ind w:left="-105" w:leftChars="-50" w:right="-105" w:rightChars="-50"/>
              <w:jc w:val="center"/>
              <w:rPr>
                <w:rFonts w:eastAsia="等线"/>
                <w:color w:val="000000" w:themeColor="text1"/>
                <w:kern w:val="0"/>
                <w:sz w:val="22"/>
                <w:szCs w:val="22"/>
              </w:rPr>
            </w:pPr>
            <w:r>
              <w:rPr>
                <w:rFonts w:eastAsia="等线"/>
                <w:color w:val="000000" w:themeColor="text1"/>
                <w:kern w:val="0"/>
                <w:sz w:val="22"/>
                <w:szCs w:val="22"/>
              </w:rPr>
              <w:t>4.4</w:t>
            </w:r>
          </w:p>
        </w:tc>
        <w:tc>
          <w:tcPr>
            <w:tcW w:w="1276" w:type="dxa"/>
            <w:vAlign w:val="center"/>
          </w:tcPr>
          <w:p w14:paraId="3022CA82">
            <w:pPr>
              <w:widowControl/>
              <w:adjustRightInd w:val="0"/>
              <w:snapToGrid w:val="0"/>
              <w:ind w:left="-105" w:leftChars="-50" w:right="-105" w:rightChars="-50"/>
              <w:jc w:val="center"/>
              <w:rPr>
                <w:rFonts w:hint="eastAsia" w:ascii="宋体" w:hAnsi="宋体"/>
                <w:color w:val="000000" w:themeColor="text1"/>
                <w:kern w:val="0"/>
                <w:sz w:val="22"/>
                <w:szCs w:val="22"/>
              </w:rPr>
            </w:pPr>
            <w:r>
              <w:rPr>
                <w:rFonts w:hint="eastAsia" w:ascii="宋体" w:hAnsi="宋体"/>
                <w:color w:val="000000" w:themeColor="text1"/>
                <w:kern w:val="0"/>
                <w:sz w:val="22"/>
                <w:szCs w:val="22"/>
              </w:rPr>
              <w:t>远期规划</w:t>
            </w:r>
          </w:p>
        </w:tc>
      </w:tr>
      <w:tr w14:paraId="2BEF5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568" w:type="dxa"/>
            <w:noWrap/>
            <w:vAlign w:val="center"/>
          </w:tcPr>
          <w:p w14:paraId="7EBBCC28">
            <w:pPr>
              <w:widowControl/>
              <w:adjustRightInd w:val="0"/>
              <w:snapToGrid w:val="0"/>
              <w:ind w:left="-105" w:leftChars="-50" w:right="-105" w:rightChars="-50"/>
              <w:jc w:val="center"/>
              <w:rPr>
                <w:rFonts w:eastAsia="等线"/>
                <w:color w:val="000000" w:themeColor="text1"/>
                <w:kern w:val="0"/>
                <w:sz w:val="22"/>
                <w:szCs w:val="22"/>
              </w:rPr>
            </w:pPr>
            <w:r>
              <w:rPr>
                <w:rFonts w:hint="eastAsia" w:eastAsia="等线"/>
                <w:color w:val="000000" w:themeColor="text1"/>
                <w:kern w:val="0"/>
                <w:sz w:val="22"/>
                <w:szCs w:val="22"/>
              </w:rPr>
              <w:t>4</w:t>
            </w:r>
          </w:p>
        </w:tc>
        <w:tc>
          <w:tcPr>
            <w:tcW w:w="2409" w:type="dxa"/>
            <w:noWrap/>
            <w:vAlign w:val="center"/>
          </w:tcPr>
          <w:p w14:paraId="05942394">
            <w:pPr>
              <w:widowControl/>
              <w:adjustRightInd w:val="0"/>
              <w:snapToGrid w:val="0"/>
              <w:ind w:left="-105" w:leftChars="-50" w:right="-105" w:rightChars="-50"/>
              <w:jc w:val="center"/>
              <w:rPr>
                <w:rFonts w:hint="eastAsia" w:ascii="宋体" w:hAnsi="宋体"/>
                <w:color w:val="000000" w:themeColor="text1"/>
                <w:kern w:val="0"/>
                <w:sz w:val="22"/>
                <w:szCs w:val="22"/>
              </w:rPr>
            </w:pPr>
            <w:r>
              <w:rPr>
                <w:rFonts w:hint="eastAsia" w:ascii="宋体" w:hAnsi="宋体"/>
                <w:color w:val="000000" w:themeColor="text1"/>
                <w:kern w:val="0"/>
                <w:sz w:val="22"/>
                <w:szCs w:val="22"/>
              </w:rPr>
              <w:t>合计</w:t>
            </w:r>
          </w:p>
        </w:tc>
        <w:tc>
          <w:tcPr>
            <w:tcW w:w="1276" w:type="dxa"/>
            <w:noWrap/>
            <w:vAlign w:val="center"/>
          </w:tcPr>
          <w:p w14:paraId="1F25A0C9">
            <w:pPr>
              <w:widowControl/>
              <w:adjustRightInd w:val="0"/>
              <w:snapToGrid w:val="0"/>
              <w:ind w:left="-105" w:leftChars="-50" w:right="-105" w:rightChars="-50"/>
              <w:jc w:val="center"/>
              <w:rPr>
                <w:rFonts w:eastAsia="等线"/>
                <w:color w:val="000000" w:themeColor="text1"/>
                <w:kern w:val="0"/>
                <w:sz w:val="22"/>
                <w:szCs w:val="22"/>
              </w:rPr>
            </w:pPr>
            <w:r>
              <w:rPr>
                <w:rFonts w:hint="eastAsia" w:eastAsia="等线"/>
                <w:color w:val="000000" w:themeColor="text1"/>
                <w:kern w:val="0"/>
                <w:sz w:val="22"/>
                <w:szCs w:val="22"/>
              </w:rPr>
              <w:t>8</w:t>
            </w:r>
            <w:r>
              <w:rPr>
                <w:rFonts w:eastAsia="等线"/>
                <w:color w:val="000000" w:themeColor="text1"/>
                <w:kern w:val="0"/>
                <w:sz w:val="22"/>
                <w:szCs w:val="22"/>
              </w:rPr>
              <w:t>.</w:t>
            </w:r>
            <w:r>
              <w:rPr>
                <w:rFonts w:hint="eastAsia" w:eastAsia="等线"/>
                <w:color w:val="000000" w:themeColor="text1"/>
                <w:kern w:val="0"/>
                <w:sz w:val="22"/>
                <w:szCs w:val="22"/>
              </w:rPr>
              <w:t>6</w:t>
            </w:r>
          </w:p>
        </w:tc>
        <w:tc>
          <w:tcPr>
            <w:tcW w:w="1559" w:type="dxa"/>
            <w:noWrap/>
            <w:vAlign w:val="center"/>
          </w:tcPr>
          <w:p w14:paraId="01960575">
            <w:pPr>
              <w:widowControl/>
              <w:adjustRightInd w:val="0"/>
              <w:snapToGrid w:val="0"/>
              <w:ind w:left="-105" w:leftChars="-50" w:right="-105" w:rightChars="-50"/>
              <w:jc w:val="center"/>
              <w:rPr>
                <w:rFonts w:eastAsia="等线"/>
                <w:color w:val="000000" w:themeColor="text1"/>
                <w:kern w:val="0"/>
                <w:sz w:val="22"/>
                <w:szCs w:val="22"/>
              </w:rPr>
            </w:pPr>
            <w:r>
              <w:rPr>
                <w:rFonts w:hint="eastAsia" w:eastAsia="等线"/>
                <w:color w:val="000000" w:themeColor="text1"/>
                <w:kern w:val="0"/>
                <w:sz w:val="22"/>
                <w:szCs w:val="22"/>
              </w:rPr>
              <w:t>1</w:t>
            </w:r>
            <w:r>
              <w:rPr>
                <w:rFonts w:eastAsia="等线"/>
                <w:color w:val="000000" w:themeColor="text1"/>
                <w:kern w:val="0"/>
                <w:sz w:val="22"/>
                <w:szCs w:val="22"/>
              </w:rPr>
              <w:t>3.7</w:t>
            </w:r>
          </w:p>
        </w:tc>
        <w:tc>
          <w:tcPr>
            <w:tcW w:w="1276" w:type="dxa"/>
            <w:noWrap/>
            <w:vAlign w:val="center"/>
          </w:tcPr>
          <w:p w14:paraId="735C0316">
            <w:pPr>
              <w:widowControl/>
              <w:adjustRightInd w:val="0"/>
              <w:snapToGrid w:val="0"/>
              <w:ind w:left="-105" w:leftChars="-50" w:right="-105" w:rightChars="-50"/>
              <w:jc w:val="center"/>
              <w:rPr>
                <w:rFonts w:eastAsia="等线"/>
                <w:color w:val="000000" w:themeColor="text1"/>
                <w:kern w:val="0"/>
                <w:sz w:val="22"/>
                <w:szCs w:val="22"/>
              </w:rPr>
            </w:pPr>
            <w:r>
              <w:rPr>
                <w:rFonts w:hint="eastAsia" w:eastAsia="等线"/>
                <w:color w:val="000000" w:themeColor="text1"/>
                <w:kern w:val="0"/>
                <w:sz w:val="22"/>
                <w:szCs w:val="22"/>
              </w:rPr>
              <w:t>1</w:t>
            </w:r>
            <w:r>
              <w:rPr>
                <w:rFonts w:eastAsia="等线"/>
                <w:color w:val="000000" w:themeColor="text1"/>
                <w:kern w:val="0"/>
                <w:sz w:val="22"/>
                <w:szCs w:val="22"/>
              </w:rPr>
              <w:t>7.6</w:t>
            </w:r>
          </w:p>
        </w:tc>
        <w:tc>
          <w:tcPr>
            <w:tcW w:w="1276" w:type="dxa"/>
            <w:vAlign w:val="center"/>
          </w:tcPr>
          <w:p w14:paraId="6EA3299A">
            <w:pPr>
              <w:widowControl/>
              <w:adjustRightInd w:val="0"/>
              <w:snapToGrid w:val="0"/>
              <w:ind w:left="-105" w:leftChars="-50" w:right="-105" w:rightChars="-50"/>
              <w:jc w:val="center"/>
              <w:rPr>
                <w:rFonts w:hint="eastAsia" w:ascii="宋体" w:hAnsi="宋体"/>
                <w:color w:val="000000" w:themeColor="text1"/>
                <w:kern w:val="0"/>
                <w:sz w:val="22"/>
                <w:szCs w:val="22"/>
              </w:rPr>
            </w:pPr>
          </w:p>
        </w:tc>
      </w:tr>
    </w:tbl>
    <w:p w14:paraId="08F353F0">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（4）污水系统及管线布置</w:t>
      </w:r>
    </w:p>
    <w:p w14:paraId="77787487">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根据污水系统划分，中心城区污水系统共分为七大污水分区。各系统污水管网根据城区的地形特点及现状污水管网布局，在南北向布置污水干管，东西向布置污水次干管及支管，最终通过青龙路现状污水主干管及青龙河东侧设计主干管汇集进入污水处理厂。</w:t>
      </w:r>
    </w:p>
    <w:p w14:paraId="49BBDBBC">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（5）污水泵站规模及数量</w:t>
      </w:r>
    </w:p>
    <w:p w14:paraId="726214EA">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近期对锦水河西区域内的现状泵站进行扩建，远期将其改造为污水处理厂。</w:t>
      </w:r>
    </w:p>
    <w:p w14:paraId="0D470C2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远期结合中心城区污水处理需求和污水管网配套设施建设规划新建5座泵站，自南至北、自西向东分别为：圣母片区泵站、玛钢工业园区泵站（近期）、子顺社区泵站、国道220与翠屏街交汇处泵站、东关街西段泵站。</w:t>
      </w:r>
    </w:p>
    <w:p w14:paraId="58A8440D">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5.</w:t>
      </w:r>
      <w:r>
        <w:rPr>
          <w:rFonts w:hint="eastAsia"/>
          <w:b/>
          <w:bCs/>
          <w:color w:val="000000" w:themeColor="text1"/>
          <w:sz w:val="24"/>
        </w:rPr>
        <w:t>2</w:t>
      </w:r>
      <w:r>
        <w:rPr>
          <w:b/>
          <w:bCs/>
          <w:color w:val="000000" w:themeColor="text1"/>
          <w:sz w:val="24"/>
        </w:rPr>
        <w:t xml:space="preserve">-2  </w:t>
      </w:r>
      <w:r>
        <w:rPr>
          <w:rFonts w:hint="eastAsia"/>
          <w:b/>
          <w:bCs/>
          <w:color w:val="000000" w:themeColor="text1"/>
          <w:sz w:val="24"/>
        </w:rPr>
        <w:t>平阴县中心城区规划年污水泵站建设情况统计表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36"/>
        <w:gridCol w:w="1950"/>
        <w:gridCol w:w="3136"/>
      </w:tblGrid>
      <w:tr w14:paraId="328AE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6" w:type="pct"/>
            <w:vAlign w:val="center"/>
          </w:tcPr>
          <w:p w14:paraId="47A9E798">
            <w:pPr>
              <w:widowControl/>
              <w:jc w:val="center"/>
              <w:rPr>
                <w:color w:val="000000" w:themeColor="text1"/>
                <w:kern w:val="0"/>
                <w:sz w:val="22"/>
                <w:szCs w:val="22"/>
              </w:rPr>
            </w:pPr>
            <w:r>
              <w:rPr>
                <w:color w:val="000000" w:themeColor="text1"/>
                <w:kern w:val="0"/>
                <w:sz w:val="22"/>
                <w:szCs w:val="22"/>
              </w:rPr>
              <w:t>泵站名称</w:t>
            </w:r>
          </w:p>
        </w:tc>
        <w:tc>
          <w:tcPr>
            <w:tcW w:w="1144" w:type="pct"/>
            <w:vAlign w:val="center"/>
          </w:tcPr>
          <w:p w14:paraId="1944CC59">
            <w:pPr>
              <w:widowControl/>
              <w:jc w:val="center"/>
              <w:rPr>
                <w:color w:val="000000" w:themeColor="text1"/>
                <w:kern w:val="0"/>
                <w:sz w:val="22"/>
                <w:szCs w:val="22"/>
              </w:rPr>
            </w:pPr>
            <w:r>
              <w:rPr>
                <w:rFonts w:hint="eastAsia"/>
                <w:color w:val="000000" w:themeColor="text1"/>
                <w:kern w:val="0"/>
                <w:sz w:val="22"/>
                <w:szCs w:val="22"/>
              </w:rPr>
              <w:t>建设规模</w:t>
            </w:r>
          </w:p>
          <w:p w14:paraId="49B27397">
            <w:pPr>
              <w:widowControl/>
              <w:jc w:val="center"/>
              <w:rPr>
                <w:color w:val="000000" w:themeColor="text1"/>
                <w:kern w:val="0"/>
                <w:sz w:val="22"/>
                <w:szCs w:val="22"/>
              </w:rPr>
            </w:pPr>
            <w:r>
              <w:rPr>
                <w:rFonts w:hint="eastAsia"/>
                <w:color w:val="000000" w:themeColor="text1"/>
                <w:kern w:val="0"/>
                <w:sz w:val="22"/>
                <w:szCs w:val="22"/>
                <w:lang w:eastAsia="zh-CN"/>
              </w:rPr>
              <w:t>(</w:t>
            </w:r>
            <w:r>
              <w:rPr>
                <w:color w:val="000000" w:themeColor="text1"/>
                <w:kern w:val="0"/>
                <w:sz w:val="22"/>
                <w:szCs w:val="22"/>
              </w:rPr>
              <w:t>m</w:t>
            </w:r>
            <w:r>
              <w:rPr>
                <w:color w:val="000000" w:themeColor="text1"/>
                <w:kern w:val="0"/>
                <w:sz w:val="22"/>
                <w:szCs w:val="22"/>
                <w:vertAlign w:val="superscript"/>
              </w:rPr>
              <w:t>3</w:t>
            </w:r>
            <w:r>
              <w:rPr>
                <w:color w:val="000000" w:themeColor="text1"/>
                <w:kern w:val="0"/>
                <w:sz w:val="22"/>
                <w:szCs w:val="22"/>
              </w:rPr>
              <w:t>/d</w:t>
            </w:r>
            <w:r>
              <w:rPr>
                <w:rFonts w:hint="eastAsia"/>
                <w:color w:val="000000" w:themeColor="text1"/>
                <w:kern w:val="0"/>
                <w:sz w:val="22"/>
                <w:szCs w:val="22"/>
                <w:lang w:eastAsia="zh-CN"/>
              </w:rPr>
              <w:t>)</w:t>
            </w:r>
          </w:p>
        </w:tc>
        <w:tc>
          <w:tcPr>
            <w:tcW w:w="1840" w:type="pct"/>
            <w:vAlign w:val="center"/>
          </w:tcPr>
          <w:p w14:paraId="4E732623">
            <w:pPr>
              <w:widowControl/>
              <w:jc w:val="center"/>
              <w:rPr>
                <w:color w:val="000000" w:themeColor="text1"/>
                <w:kern w:val="0"/>
                <w:sz w:val="22"/>
                <w:szCs w:val="22"/>
              </w:rPr>
            </w:pPr>
            <w:r>
              <w:rPr>
                <w:color w:val="000000" w:themeColor="text1"/>
                <w:kern w:val="0"/>
                <w:sz w:val="22"/>
                <w:szCs w:val="22"/>
              </w:rPr>
              <w:t>位置</w:t>
            </w:r>
          </w:p>
        </w:tc>
      </w:tr>
      <w:tr w14:paraId="2B8E6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6" w:type="pct"/>
            <w:vAlign w:val="center"/>
          </w:tcPr>
          <w:p w14:paraId="16CF9AD8">
            <w:pPr>
              <w:widowControl/>
              <w:jc w:val="center"/>
              <w:rPr>
                <w:color w:val="000000" w:themeColor="text1"/>
                <w:kern w:val="0"/>
                <w:sz w:val="22"/>
                <w:szCs w:val="22"/>
              </w:rPr>
            </w:pPr>
            <w:r>
              <w:rPr>
                <w:color w:val="000000" w:themeColor="text1"/>
                <w:kern w:val="0"/>
                <w:sz w:val="22"/>
                <w:szCs w:val="22"/>
              </w:rPr>
              <w:t>圣母片区泵站</w:t>
            </w:r>
          </w:p>
        </w:tc>
        <w:tc>
          <w:tcPr>
            <w:tcW w:w="1144" w:type="pct"/>
            <w:vAlign w:val="center"/>
          </w:tcPr>
          <w:p w14:paraId="241E9BDB">
            <w:pPr>
              <w:widowControl/>
              <w:jc w:val="center"/>
              <w:rPr>
                <w:color w:val="000000" w:themeColor="text1"/>
                <w:kern w:val="0"/>
                <w:sz w:val="22"/>
                <w:szCs w:val="22"/>
              </w:rPr>
            </w:pPr>
            <w:r>
              <w:rPr>
                <w:color w:val="000000" w:themeColor="text1"/>
                <w:kern w:val="0"/>
                <w:sz w:val="22"/>
                <w:szCs w:val="22"/>
              </w:rPr>
              <w:t>4000</w:t>
            </w:r>
          </w:p>
        </w:tc>
        <w:tc>
          <w:tcPr>
            <w:tcW w:w="1840" w:type="pct"/>
            <w:vAlign w:val="center"/>
          </w:tcPr>
          <w:p w14:paraId="42AABFD7">
            <w:pPr>
              <w:widowControl/>
              <w:jc w:val="center"/>
              <w:rPr>
                <w:color w:val="000000" w:themeColor="text1"/>
                <w:kern w:val="0"/>
                <w:sz w:val="22"/>
                <w:szCs w:val="22"/>
              </w:rPr>
            </w:pPr>
            <w:r>
              <w:rPr>
                <w:color w:val="000000" w:themeColor="text1"/>
                <w:kern w:val="0"/>
                <w:sz w:val="22"/>
                <w:szCs w:val="22"/>
              </w:rPr>
              <w:t>圣母片区南段</w:t>
            </w:r>
          </w:p>
        </w:tc>
      </w:tr>
      <w:tr w14:paraId="6621C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6" w:type="pct"/>
            <w:vAlign w:val="center"/>
          </w:tcPr>
          <w:p w14:paraId="1220C57D">
            <w:pPr>
              <w:widowControl/>
              <w:jc w:val="center"/>
              <w:rPr>
                <w:color w:val="000000" w:themeColor="text1"/>
                <w:kern w:val="0"/>
                <w:sz w:val="22"/>
                <w:szCs w:val="22"/>
              </w:rPr>
            </w:pPr>
            <w:r>
              <w:rPr>
                <w:color w:val="000000" w:themeColor="text1"/>
                <w:kern w:val="0"/>
                <w:sz w:val="22"/>
                <w:szCs w:val="22"/>
              </w:rPr>
              <w:t>玛钢工业园区南泵站</w:t>
            </w:r>
          </w:p>
        </w:tc>
        <w:tc>
          <w:tcPr>
            <w:tcW w:w="1144" w:type="pct"/>
            <w:vAlign w:val="center"/>
          </w:tcPr>
          <w:p w14:paraId="58335344">
            <w:pPr>
              <w:widowControl/>
              <w:jc w:val="center"/>
              <w:rPr>
                <w:color w:val="000000" w:themeColor="text1"/>
                <w:kern w:val="0"/>
                <w:sz w:val="22"/>
                <w:szCs w:val="22"/>
              </w:rPr>
            </w:pPr>
            <w:r>
              <w:rPr>
                <w:color w:val="000000" w:themeColor="text1"/>
                <w:kern w:val="0"/>
                <w:sz w:val="22"/>
                <w:szCs w:val="22"/>
              </w:rPr>
              <w:t>6100</w:t>
            </w:r>
          </w:p>
        </w:tc>
        <w:tc>
          <w:tcPr>
            <w:tcW w:w="1840" w:type="pct"/>
            <w:vAlign w:val="center"/>
          </w:tcPr>
          <w:p w14:paraId="075BC1AD">
            <w:pPr>
              <w:widowControl/>
              <w:jc w:val="center"/>
              <w:rPr>
                <w:color w:val="000000" w:themeColor="text1"/>
                <w:kern w:val="0"/>
                <w:sz w:val="22"/>
                <w:szCs w:val="22"/>
              </w:rPr>
            </w:pPr>
            <w:r>
              <w:rPr>
                <w:color w:val="000000" w:themeColor="text1"/>
                <w:kern w:val="0"/>
                <w:sz w:val="22"/>
                <w:szCs w:val="22"/>
              </w:rPr>
              <w:t>玛钢工业园区南侧</w:t>
            </w:r>
          </w:p>
        </w:tc>
      </w:tr>
      <w:tr w14:paraId="3A0DE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6" w:type="pct"/>
            <w:vAlign w:val="center"/>
          </w:tcPr>
          <w:p w14:paraId="37DBE5A7">
            <w:pPr>
              <w:widowControl/>
              <w:jc w:val="center"/>
              <w:rPr>
                <w:color w:val="000000" w:themeColor="text1"/>
                <w:kern w:val="0"/>
                <w:sz w:val="22"/>
                <w:szCs w:val="22"/>
              </w:rPr>
            </w:pPr>
            <w:r>
              <w:rPr>
                <w:color w:val="000000" w:themeColor="text1"/>
                <w:kern w:val="0"/>
                <w:sz w:val="22"/>
                <w:szCs w:val="22"/>
              </w:rPr>
              <w:t>子顺社区泵站</w:t>
            </w:r>
          </w:p>
        </w:tc>
        <w:tc>
          <w:tcPr>
            <w:tcW w:w="1144" w:type="pct"/>
            <w:vAlign w:val="center"/>
          </w:tcPr>
          <w:p w14:paraId="6F8F732A">
            <w:pPr>
              <w:widowControl/>
              <w:jc w:val="center"/>
              <w:rPr>
                <w:color w:val="000000" w:themeColor="text1"/>
                <w:kern w:val="0"/>
                <w:sz w:val="22"/>
                <w:szCs w:val="22"/>
              </w:rPr>
            </w:pPr>
            <w:r>
              <w:rPr>
                <w:color w:val="000000" w:themeColor="text1"/>
                <w:kern w:val="0"/>
                <w:sz w:val="22"/>
                <w:szCs w:val="22"/>
              </w:rPr>
              <w:t>5000</w:t>
            </w:r>
          </w:p>
        </w:tc>
        <w:tc>
          <w:tcPr>
            <w:tcW w:w="1840" w:type="pct"/>
            <w:vAlign w:val="center"/>
          </w:tcPr>
          <w:p w14:paraId="24144E55">
            <w:pPr>
              <w:widowControl/>
              <w:jc w:val="center"/>
              <w:rPr>
                <w:color w:val="000000" w:themeColor="text1"/>
                <w:kern w:val="0"/>
                <w:sz w:val="22"/>
                <w:szCs w:val="22"/>
              </w:rPr>
            </w:pPr>
            <w:r>
              <w:rPr>
                <w:color w:val="000000" w:themeColor="text1"/>
                <w:kern w:val="0"/>
                <w:sz w:val="22"/>
                <w:szCs w:val="22"/>
              </w:rPr>
              <w:t>子顺社区</w:t>
            </w:r>
          </w:p>
        </w:tc>
      </w:tr>
      <w:tr w14:paraId="4E5FC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6" w:type="pct"/>
            <w:vAlign w:val="center"/>
          </w:tcPr>
          <w:p w14:paraId="4305A31A">
            <w:pPr>
              <w:widowControl/>
              <w:jc w:val="center"/>
              <w:rPr>
                <w:color w:val="000000" w:themeColor="text1"/>
                <w:kern w:val="0"/>
                <w:sz w:val="22"/>
                <w:szCs w:val="22"/>
              </w:rPr>
            </w:pPr>
            <w:r>
              <w:rPr>
                <w:color w:val="000000" w:themeColor="text1"/>
                <w:kern w:val="0"/>
                <w:sz w:val="22"/>
                <w:szCs w:val="22"/>
              </w:rPr>
              <w:t>国道220与翠屏街交汇处泵站</w:t>
            </w:r>
          </w:p>
        </w:tc>
        <w:tc>
          <w:tcPr>
            <w:tcW w:w="1144" w:type="pct"/>
            <w:vAlign w:val="center"/>
          </w:tcPr>
          <w:p w14:paraId="1AB9CB64">
            <w:pPr>
              <w:widowControl/>
              <w:jc w:val="center"/>
              <w:rPr>
                <w:color w:val="000000" w:themeColor="text1"/>
                <w:kern w:val="0"/>
                <w:sz w:val="22"/>
                <w:szCs w:val="22"/>
              </w:rPr>
            </w:pPr>
            <w:r>
              <w:rPr>
                <w:color w:val="000000" w:themeColor="text1"/>
                <w:kern w:val="0"/>
                <w:sz w:val="22"/>
                <w:szCs w:val="22"/>
              </w:rPr>
              <w:t>2000</w:t>
            </w:r>
          </w:p>
        </w:tc>
        <w:tc>
          <w:tcPr>
            <w:tcW w:w="1840" w:type="pct"/>
            <w:vAlign w:val="center"/>
          </w:tcPr>
          <w:p w14:paraId="53145723">
            <w:pPr>
              <w:widowControl/>
              <w:jc w:val="center"/>
              <w:rPr>
                <w:color w:val="000000" w:themeColor="text1"/>
                <w:kern w:val="0"/>
                <w:sz w:val="22"/>
                <w:szCs w:val="22"/>
              </w:rPr>
            </w:pPr>
            <w:r>
              <w:rPr>
                <w:color w:val="000000" w:themeColor="text1"/>
                <w:kern w:val="0"/>
                <w:sz w:val="22"/>
                <w:szCs w:val="22"/>
              </w:rPr>
              <w:t>国道220与翠屏街交汇处以东</w:t>
            </w:r>
          </w:p>
        </w:tc>
      </w:tr>
      <w:tr w14:paraId="5D3DF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6" w:type="pct"/>
            <w:vAlign w:val="center"/>
          </w:tcPr>
          <w:p w14:paraId="4B2A0138">
            <w:pPr>
              <w:widowControl/>
              <w:jc w:val="center"/>
              <w:rPr>
                <w:color w:val="000000" w:themeColor="text1"/>
                <w:kern w:val="0"/>
                <w:sz w:val="22"/>
                <w:szCs w:val="22"/>
              </w:rPr>
            </w:pPr>
            <w:r>
              <w:rPr>
                <w:color w:val="000000" w:themeColor="text1"/>
                <w:kern w:val="0"/>
                <w:sz w:val="22"/>
                <w:szCs w:val="22"/>
              </w:rPr>
              <w:t>东关街西段泵站</w:t>
            </w:r>
          </w:p>
        </w:tc>
        <w:tc>
          <w:tcPr>
            <w:tcW w:w="1144" w:type="pct"/>
            <w:vAlign w:val="center"/>
          </w:tcPr>
          <w:p w14:paraId="30A53073">
            <w:pPr>
              <w:widowControl/>
              <w:jc w:val="center"/>
              <w:rPr>
                <w:color w:val="000000" w:themeColor="text1"/>
                <w:kern w:val="0"/>
                <w:sz w:val="22"/>
                <w:szCs w:val="22"/>
              </w:rPr>
            </w:pPr>
            <w:r>
              <w:rPr>
                <w:color w:val="000000" w:themeColor="text1"/>
                <w:kern w:val="0"/>
                <w:sz w:val="22"/>
                <w:szCs w:val="22"/>
              </w:rPr>
              <w:t>7500</w:t>
            </w:r>
          </w:p>
        </w:tc>
        <w:tc>
          <w:tcPr>
            <w:tcW w:w="1840" w:type="pct"/>
            <w:vAlign w:val="center"/>
          </w:tcPr>
          <w:p w14:paraId="5FE7DE09">
            <w:pPr>
              <w:widowControl/>
              <w:jc w:val="center"/>
              <w:rPr>
                <w:color w:val="000000" w:themeColor="text1"/>
                <w:kern w:val="0"/>
                <w:sz w:val="22"/>
                <w:szCs w:val="22"/>
              </w:rPr>
            </w:pPr>
            <w:r>
              <w:rPr>
                <w:color w:val="000000" w:themeColor="text1"/>
                <w:kern w:val="0"/>
                <w:sz w:val="22"/>
                <w:szCs w:val="22"/>
              </w:rPr>
              <w:t>东关街与山头路交汇处</w:t>
            </w:r>
          </w:p>
        </w:tc>
      </w:tr>
      <w:tr w14:paraId="6D2FF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6" w:type="pct"/>
            <w:vAlign w:val="center"/>
          </w:tcPr>
          <w:p w14:paraId="2C343103">
            <w:pPr>
              <w:widowControl/>
              <w:jc w:val="center"/>
              <w:rPr>
                <w:color w:val="000000" w:themeColor="text1"/>
                <w:kern w:val="0"/>
                <w:sz w:val="22"/>
                <w:szCs w:val="22"/>
              </w:rPr>
            </w:pPr>
            <w:r>
              <w:rPr>
                <w:rFonts w:hint="eastAsia"/>
                <w:color w:val="000000" w:themeColor="text1"/>
                <w:kern w:val="0"/>
                <w:sz w:val="22"/>
                <w:szCs w:val="22"/>
              </w:rPr>
              <w:t>锦水河西</w:t>
            </w:r>
            <w:r>
              <w:rPr>
                <w:color w:val="000000" w:themeColor="text1"/>
                <w:kern w:val="0"/>
                <w:sz w:val="22"/>
                <w:szCs w:val="22"/>
              </w:rPr>
              <w:t>现状泵站</w:t>
            </w:r>
          </w:p>
        </w:tc>
        <w:tc>
          <w:tcPr>
            <w:tcW w:w="1144" w:type="pct"/>
            <w:vAlign w:val="center"/>
          </w:tcPr>
          <w:p w14:paraId="62D14A61">
            <w:pPr>
              <w:widowControl/>
              <w:jc w:val="center"/>
              <w:rPr>
                <w:color w:val="000000" w:themeColor="text1"/>
                <w:kern w:val="0"/>
                <w:sz w:val="22"/>
                <w:szCs w:val="22"/>
              </w:rPr>
            </w:pPr>
            <w:r>
              <w:rPr>
                <w:color w:val="000000" w:themeColor="text1"/>
                <w:kern w:val="0"/>
                <w:sz w:val="22"/>
                <w:szCs w:val="22"/>
              </w:rPr>
              <w:t>25000</w:t>
            </w:r>
          </w:p>
        </w:tc>
        <w:tc>
          <w:tcPr>
            <w:tcW w:w="1840" w:type="pct"/>
            <w:vAlign w:val="center"/>
          </w:tcPr>
          <w:p w14:paraId="33E4D79A">
            <w:pPr>
              <w:widowControl/>
              <w:jc w:val="center"/>
              <w:rPr>
                <w:color w:val="000000" w:themeColor="text1"/>
                <w:kern w:val="0"/>
                <w:sz w:val="22"/>
                <w:szCs w:val="22"/>
              </w:rPr>
            </w:pPr>
            <w:r>
              <w:rPr>
                <w:color w:val="000000" w:themeColor="text1"/>
                <w:kern w:val="0"/>
                <w:sz w:val="22"/>
                <w:szCs w:val="22"/>
              </w:rPr>
              <w:t>玫瑰路与翠屏街交叉口</w:t>
            </w:r>
          </w:p>
        </w:tc>
      </w:tr>
    </w:tbl>
    <w:p w14:paraId="46604FAC">
      <w:pPr>
        <w:autoSpaceDE w:val="0"/>
        <w:autoSpaceDN w:val="0"/>
        <w:adjustRightInd w:val="0"/>
        <w:snapToGrid w:val="0"/>
        <w:textAlignment w:val="baseline"/>
        <w:rPr>
          <w:color w:val="000000" w:themeColor="text1"/>
          <w:sz w:val="22"/>
          <w:szCs w:val="22"/>
        </w:rPr>
      </w:pPr>
      <w:bookmarkStart w:id="162" w:name="_Toc137737101"/>
      <w:r>
        <w:rPr>
          <w:rFonts w:hint="eastAsia"/>
          <w:color w:val="000000" w:themeColor="text1"/>
          <w:sz w:val="22"/>
          <w:szCs w:val="22"/>
        </w:rPr>
        <w:t>注：锦水河西现状泵站近期作为泵站，远期改造为</w:t>
      </w:r>
      <w:r>
        <w:rPr>
          <w:rFonts w:hint="eastAsia" w:ascii="宋体" w:hAnsi="宋体"/>
          <w:color w:val="000000" w:themeColor="text1"/>
          <w:kern w:val="0"/>
          <w:sz w:val="22"/>
          <w:szCs w:val="22"/>
        </w:rPr>
        <w:t>污水处理厂</w:t>
      </w:r>
      <w:r>
        <w:rPr>
          <w:rFonts w:hint="eastAsia"/>
          <w:color w:val="000000" w:themeColor="text1"/>
          <w:sz w:val="22"/>
          <w:szCs w:val="22"/>
        </w:rPr>
        <w:t>。</w:t>
      </w:r>
    </w:p>
    <w:p w14:paraId="2F7E984F">
      <w:pPr>
        <w:autoSpaceDE w:val="0"/>
        <w:autoSpaceDN w:val="0"/>
        <w:adjustRightInd w:val="0"/>
        <w:snapToGrid w:val="0"/>
        <w:spacing w:line="600" w:lineRule="exact"/>
        <w:textAlignment w:val="bottom"/>
        <w:outlineLvl w:val="2"/>
        <w:rPr>
          <w:b/>
          <w:color w:val="000000" w:themeColor="text1"/>
          <w:sz w:val="28"/>
          <w:szCs w:val="28"/>
        </w:rPr>
      </w:pPr>
      <w:bookmarkStart w:id="163" w:name="_Toc143780504"/>
      <w:bookmarkStart w:id="164" w:name="_Toc144243733"/>
      <w:r>
        <w:rPr>
          <w:b/>
          <w:color w:val="000000" w:themeColor="text1"/>
          <w:sz w:val="28"/>
          <w:szCs w:val="28"/>
        </w:rPr>
        <w:t>5.</w:t>
      </w:r>
      <w:r>
        <w:rPr>
          <w:rFonts w:hint="eastAsia"/>
          <w:b/>
          <w:color w:val="000000" w:themeColor="text1"/>
          <w:sz w:val="28"/>
          <w:szCs w:val="28"/>
        </w:rPr>
        <w:t>2</w:t>
      </w:r>
      <w:r>
        <w:rPr>
          <w:b/>
          <w:color w:val="000000" w:themeColor="text1"/>
          <w:sz w:val="28"/>
          <w:szCs w:val="28"/>
        </w:rPr>
        <w:t xml:space="preserve">.2  </w:t>
      </w:r>
      <w:r>
        <w:rPr>
          <w:rFonts w:hint="eastAsia"/>
          <w:b/>
          <w:color w:val="000000" w:themeColor="text1"/>
          <w:sz w:val="28"/>
          <w:szCs w:val="28"/>
        </w:rPr>
        <w:t>各镇污水处理工程</w:t>
      </w:r>
      <w:bookmarkEnd w:id="162"/>
      <w:bookmarkEnd w:id="163"/>
      <w:bookmarkEnd w:id="164"/>
    </w:p>
    <w:p w14:paraId="135EC5C3">
      <w:pPr>
        <w:autoSpaceDE w:val="0"/>
        <w:autoSpaceDN w:val="0"/>
        <w:spacing w:line="600" w:lineRule="exact"/>
        <w:ind w:firstLine="560" w:firstLineChars="200"/>
        <w:textAlignment w:val="baseline"/>
        <w:rPr>
          <w:color w:val="000000" w:themeColor="text1"/>
          <w:kern w:val="0"/>
          <w:sz w:val="28"/>
          <w:szCs w:val="28"/>
        </w:rPr>
      </w:pPr>
      <w:bookmarkStart w:id="165" w:name="_Hlk144248259"/>
      <w:r>
        <w:rPr>
          <w:color w:val="000000" w:themeColor="text1"/>
          <w:kern w:val="0"/>
          <w:sz w:val="28"/>
          <w:szCs w:val="28"/>
        </w:rPr>
        <w:t>1</w:t>
      </w:r>
      <w:r>
        <w:rPr>
          <w:rFonts w:hint="eastAsia"/>
          <w:color w:val="000000" w:themeColor="text1"/>
          <w:kern w:val="0"/>
          <w:sz w:val="28"/>
          <w:szCs w:val="28"/>
        </w:rPr>
        <w:t>、</w:t>
      </w:r>
      <w:r>
        <w:rPr>
          <w:color w:val="000000" w:themeColor="text1"/>
          <w:sz w:val="28"/>
          <w:szCs w:val="28"/>
        </w:rPr>
        <w:t>平阴水务发展有限公司</w:t>
      </w:r>
      <w:r>
        <w:rPr>
          <w:rFonts w:hint="eastAsia"/>
          <w:color w:val="000000" w:themeColor="text1"/>
          <w:sz w:val="28"/>
          <w:szCs w:val="28"/>
        </w:rPr>
        <w:t>（二厂）</w:t>
      </w:r>
    </w:p>
    <w:p w14:paraId="41D7E7F5">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w:t>
      </w:r>
      <w:r>
        <w:rPr>
          <w:color w:val="000000" w:themeColor="text1"/>
          <w:sz w:val="28"/>
          <w:szCs w:val="28"/>
        </w:rPr>
        <w:t>1</w:t>
      </w:r>
      <w:r>
        <w:rPr>
          <w:rFonts w:hint="eastAsia"/>
          <w:color w:val="000000" w:themeColor="text1"/>
          <w:sz w:val="28"/>
          <w:szCs w:val="28"/>
        </w:rPr>
        <w:t>）污水处理厂运行现状</w:t>
      </w:r>
    </w:p>
    <w:p w14:paraId="5B40B212">
      <w:pPr>
        <w:adjustRightInd w:val="0"/>
        <w:snapToGrid w:val="0"/>
        <w:spacing w:line="560" w:lineRule="exact"/>
        <w:ind w:firstLine="560" w:firstLineChars="200"/>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（二厂）</w:t>
      </w:r>
      <w:r>
        <w:rPr>
          <w:color w:val="000000" w:themeColor="text1"/>
          <w:sz w:val="28"/>
          <w:szCs w:val="28"/>
        </w:rPr>
        <w:t>主要接纳处理安城镇生活污水和工业废水。该厂建于2015年，设计规模2万m</w:t>
      </w:r>
      <w:r>
        <w:rPr>
          <w:color w:val="000000" w:themeColor="text1"/>
          <w:sz w:val="28"/>
          <w:szCs w:val="28"/>
          <w:vertAlign w:val="superscript"/>
        </w:rPr>
        <w:t>3</w:t>
      </w:r>
      <w:r>
        <w:rPr>
          <w:color w:val="000000" w:themeColor="text1"/>
          <w:sz w:val="28"/>
          <w:szCs w:val="28"/>
        </w:rPr>
        <w:t>/d，分两期建设，一期建设规模为1万m</w:t>
      </w:r>
      <w:r>
        <w:rPr>
          <w:color w:val="000000" w:themeColor="text1"/>
          <w:sz w:val="28"/>
          <w:szCs w:val="28"/>
          <w:vertAlign w:val="superscript"/>
        </w:rPr>
        <w:t>3</w:t>
      </w:r>
      <w:r>
        <w:rPr>
          <w:color w:val="000000" w:themeColor="text1"/>
          <w:sz w:val="28"/>
          <w:szCs w:val="28"/>
        </w:rPr>
        <w:t>/d，目前实际日处理量为0.</w:t>
      </w:r>
      <w:r>
        <w:rPr>
          <w:rFonts w:hint="eastAsia"/>
          <w:color w:val="000000" w:themeColor="text1"/>
          <w:sz w:val="28"/>
          <w:szCs w:val="28"/>
        </w:rPr>
        <w:t>71</w:t>
      </w:r>
      <w:r>
        <w:rPr>
          <w:color w:val="000000" w:themeColor="text1"/>
          <w:sz w:val="28"/>
          <w:szCs w:val="28"/>
        </w:rPr>
        <w:t>万m</w:t>
      </w:r>
      <w:r>
        <w:rPr>
          <w:color w:val="000000" w:themeColor="text1"/>
          <w:sz w:val="28"/>
          <w:szCs w:val="28"/>
          <w:vertAlign w:val="superscript"/>
        </w:rPr>
        <w:t>3</w:t>
      </w:r>
      <w:r>
        <w:rPr>
          <w:color w:val="000000" w:themeColor="text1"/>
          <w:sz w:val="28"/>
          <w:szCs w:val="28"/>
        </w:rPr>
        <w:t>/d左右。</w:t>
      </w:r>
      <w:r>
        <w:rPr>
          <w:rFonts w:hint="eastAsia"/>
          <w:color w:val="000000" w:themeColor="text1"/>
          <w:sz w:val="28"/>
          <w:szCs w:val="28"/>
        </w:rPr>
        <w:t>该厂处理</w:t>
      </w:r>
      <w:r>
        <w:rPr>
          <w:color w:val="000000" w:themeColor="text1"/>
          <w:sz w:val="28"/>
          <w:szCs w:val="28"/>
        </w:rPr>
        <w:t>工艺采用 “粗格栅+进水泵房+细格栅+旋流沉砂池+初沉池+A</w:t>
      </w:r>
      <w:r>
        <w:rPr>
          <w:color w:val="000000" w:themeColor="text1"/>
          <w:sz w:val="28"/>
          <w:szCs w:val="28"/>
          <w:vertAlign w:val="superscript"/>
        </w:rPr>
        <w:t>2</w:t>
      </w:r>
      <w:r>
        <w:rPr>
          <w:color w:val="000000" w:themeColor="text1"/>
          <w:sz w:val="28"/>
          <w:szCs w:val="28"/>
        </w:rPr>
        <w:t>O工艺+二沉池+二次提升泵站+磁混凝沉淀池+臭氧接触池+微絮凝活性砂滤池+消毒”</w:t>
      </w:r>
      <w:r>
        <w:rPr>
          <w:rFonts w:hint="eastAsia"/>
          <w:color w:val="000000" w:themeColor="text1"/>
          <w:sz w:val="28"/>
          <w:szCs w:val="28"/>
        </w:rPr>
        <w:t>；</w:t>
      </w:r>
      <w:r>
        <w:rPr>
          <w:color w:val="000000" w:themeColor="text1"/>
          <w:sz w:val="28"/>
          <w:szCs w:val="28"/>
        </w:rPr>
        <w:t>出水水质达到《地表水环境质量标准》（GB3838-2002）</w:t>
      </w:r>
      <w:r>
        <w:rPr>
          <w:rFonts w:hint="eastAsia" w:ascii="宋体" w:hAnsi="宋体"/>
          <w:color w:val="000000" w:themeColor="text1"/>
          <w:sz w:val="28"/>
          <w:szCs w:val="28"/>
        </w:rPr>
        <w:t>Ⅳ</w:t>
      </w:r>
      <w:r>
        <w:rPr>
          <w:color w:val="000000" w:themeColor="text1"/>
          <w:sz w:val="28"/>
          <w:szCs w:val="28"/>
        </w:rPr>
        <w:t>类（TN≤15mg/L）标准。</w:t>
      </w:r>
    </w:p>
    <w:p w14:paraId="5BFC364D">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该污水处理厂同时承担平阴县中心城区的污水处理任务。目前已建成了中心城区向</w:t>
      </w:r>
      <w:r>
        <w:rPr>
          <w:color w:val="000000" w:themeColor="text1"/>
          <w:sz w:val="28"/>
          <w:szCs w:val="28"/>
        </w:rPr>
        <w:t>平阴水务发展有限公司</w:t>
      </w:r>
      <w:r>
        <w:rPr>
          <w:rFonts w:hint="eastAsia"/>
          <w:color w:val="000000" w:themeColor="text1"/>
          <w:sz w:val="28"/>
          <w:szCs w:val="28"/>
        </w:rPr>
        <w:t>（二厂）调水的供水管网。</w:t>
      </w:r>
    </w:p>
    <w:p w14:paraId="75BC1909">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（2）污水处理厂规划</w:t>
      </w:r>
    </w:p>
    <w:p w14:paraId="08B422B0">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203</w:t>
      </w:r>
      <w:r>
        <w:rPr>
          <w:rFonts w:hint="eastAsia"/>
          <w:color w:val="000000" w:themeColor="text1"/>
          <w:sz w:val="28"/>
          <w:szCs w:val="28"/>
        </w:rPr>
        <w:t>0年，</w:t>
      </w:r>
      <w:r>
        <w:rPr>
          <w:color w:val="000000" w:themeColor="text1"/>
          <w:sz w:val="28"/>
          <w:szCs w:val="28"/>
        </w:rPr>
        <w:t>平阴水务发展有限公司</w:t>
      </w:r>
      <w:r>
        <w:rPr>
          <w:rFonts w:hint="eastAsia"/>
          <w:color w:val="000000" w:themeColor="text1"/>
          <w:sz w:val="28"/>
          <w:szCs w:val="28"/>
        </w:rPr>
        <w:t>（二厂）无扩建规划，处理规模为1</w:t>
      </w:r>
      <w:r>
        <w:rPr>
          <w:color w:val="000000" w:themeColor="text1"/>
          <w:sz w:val="28"/>
          <w:szCs w:val="28"/>
        </w:rPr>
        <w:t>.0</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4C19722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0</w:t>
      </w:r>
      <w:r>
        <w:rPr>
          <w:rFonts w:hint="eastAsia"/>
          <w:color w:val="000000" w:themeColor="text1"/>
          <w:sz w:val="28"/>
          <w:szCs w:val="28"/>
        </w:rPr>
        <w:t>35年，平阴县根据安城镇的污水处理需求，对</w:t>
      </w:r>
      <w:r>
        <w:rPr>
          <w:color w:val="000000" w:themeColor="text1"/>
          <w:sz w:val="28"/>
          <w:szCs w:val="28"/>
        </w:rPr>
        <w:t>平阴水务发展有限公司</w:t>
      </w:r>
      <w:r>
        <w:rPr>
          <w:rFonts w:hint="eastAsia"/>
          <w:color w:val="000000" w:themeColor="text1"/>
          <w:sz w:val="28"/>
          <w:szCs w:val="28"/>
        </w:rPr>
        <w:t>（二厂）进行扩建，处理规模达到2</w:t>
      </w:r>
      <w:r>
        <w:rPr>
          <w:color w:val="000000" w:themeColor="text1"/>
          <w:sz w:val="28"/>
          <w:szCs w:val="28"/>
        </w:rPr>
        <w:t>.0</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411CE38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w:t>
      </w:r>
      <w:r>
        <w:rPr>
          <w:color w:val="000000" w:themeColor="text1"/>
          <w:sz w:val="28"/>
          <w:szCs w:val="28"/>
        </w:rPr>
        <w:t>3</w:t>
      </w:r>
      <w:r>
        <w:rPr>
          <w:rFonts w:hint="eastAsia"/>
          <w:color w:val="000000" w:themeColor="text1"/>
          <w:sz w:val="28"/>
          <w:szCs w:val="28"/>
        </w:rPr>
        <w:t>）污水泵站</w:t>
      </w:r>
    </w:p>
    <w:p w14:paraId="0C5145E7">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①山水工业园片区建设污水提升泵站一处，规模7000m</w:t>
      </w:r>
      <w:r>
        <w:rPr>
          <w:rFonts w:hint="eastAsia"/>
          <w:color w:val="000000" w:themeColor="text1"/>
          <w:sz w:val="28"/>
          <w:szCs w:val="28"/>
          <w:vertAlign w:val="superscript"/>
        </w:rPr>
        <w:t>3</w:t>
      </w:r>
      <w:r>
        <w:rPr>
          <w:rFonts w:hint="eastAsia"/>
          <w:color w:val="000000" w:themeColor="text1"/>
          <w:sz w:val="28"/>
          <w:szCs w:val="28"/>
        </w:rPr>
        <w:t>/d，占地1000m</w:t>
      </w:r>
      <w:r>
        <w:rPr>
          <w:rFonts w:hint="eastAsia"/>
          <w:color w:val="000000" w:themeColor="text1"/>
          <w:sz w:val="28"/>
          <w:szCs w:val="28"/>
          <w:vertAlign w:val="superscript"/>
        </w:rPr>
        <w:t>2</w:t>
      </w:r>
      <w:r>
        <w:rPr>
          <w:rFonts w:hint="eastAsia"/>
          <w:color w:val="000000" w:themeColor="text1"/>
          <w:sz w:val="28"/>
          <w:szCs w:val="28"/>
        </w:rPr>
        <w:t>。</w:t>
      </w:r>
    </w:p>
    <w:p w14:paraId="24F36791">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②在北区国道220建设污水提升泵站一处，规模2200 m</w:t>
      </w:r>
      <w:r>
        <w:rPr>
          <w:rFonts w:hint="eastAsia"/>
          <w:color w:val="000000" w:themeColor="text1"/>
          <w:sz w:val="28"/>
          <w:szCs w:val="28"/>
          <w:vertAlign w:val="superscript"/>
        </w:rPr>
        <w:t>3</w:t>
      </w:r>
      <w:r>
        <w:rPr>
          <w:rFonts w:hint="eastAsia"/>
          <w:color w:val="000000" w:themeColor="text1"/>
          <w:sz w:val="28"/>
          <w:szCs w:val="28"/>
        </w:rPr>
        <w:t>/d，占地800m</w:t>
      </w:r>
      <w:r>
        <w:rPr>
          <w:rFonts w:hint="eastAsia"/>
          <w:color w:val="000000" w:themeColor="text1"/>
          <w:sz w:val="28"/>
          <w:szCs w:val="28"/>
          <w:vertAlign w:val="superscript"/>
        </w:rPr>
        <w:t>2</w:t>
      </w:r>
      <w:r>
        <w:rPr>
          <w:rFonts w:hint="eastAsia"/>
          <w:color w:val="000000" w:themeColor="text1"/>
          <w:sz w:val="28"/>
          <w:szCs w:val="28"/>
        </w:rPr>
        <w:t>。</w:t>
      </w:r>
    </w:p>
    <w:p w14:paraId="28D8E571">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w:t>
      </w:r>
      <w:r>
        <w:rPr>
          <w:color w:val="000000" w:themeColor="text1"/>
          <w:sz w:val="28"/>
          <w:szCs w:val="28"/>
        </w:rPr>
        <w:t>4</w:t>
      </w:r>
      <w:r>
        <w:rPr>
          <w:rFonts w:hint="eastAsia"/>
          <w:color w:val="000000" w:themeColor="text1"/>
          <w:sz w:val="28"/>
          <w:szCs w:val="28"/>
        </w:rPr>
        <w:t>）镇驻地污水系统及管线布置</w:t>
      </w:r>
    </w:p>
    <w:p w14:paraId="23E6E9A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安城镇南高北低，东西较高，安滦河及其支沟处地势较低。污水主干管沿安栾路由南向北敷设，接入污水处理厂。济菏高速以北为北区，济菏高速以南以安滦河为界分为西区、中区、东区及山水工业园，共5个污水分区。</w:t>
      </w:r>
    </w:p>
    <w:bookmarkEnd w:id="165"/>
    <w:p w14:paraId="6C9DAD90">
      <w:pPr>
        <w:autoSpaceDE w:val="0"/>
        <w:autoSpaceDN w:val="0"/>
        <w:spacing w:line="600" w:lineRule="exact"/>
        <w:ind w:firstLine="560" w:firstLineChars="200"/>
        <w:textAlignment w:val="baseline"/>
        <w:rPr>
          <w:color w:val="000000" w:themeColor="text1"/>
          <w:kern w:val="0"/>
          <w:sz w:val="28"/>
          <w:szCs w:val="28"/>
        </w:rPr>
      </w:pPr>
      <w:r>
        <w:rPr>
          <w:color w:val="000000" w:themeColor="text1"/>
          <w:kern w:val="0"/>
          <w:sz w:val="28"/>
          <w:szCs w:val="28"/>
        </w:rPr>
        <w:t>2</w:t>
      </w:r>
      <w:r>
        <w:rPr>
          <w:rFonts w:hint="eastAsia"/>
          <w:color w:val="000000" w:themeColor="text1"/>
          <w:kern w:val="0"/>
          <w:sz w:val="28"/>
          <w:szCs w:val="28"/>
        </w:rPr>
        <w:t>、</w:t>
      </w:r>
      <w:r>
        <w:rPr>
          <w:color w:val="000000" w:themeColor="text1"/>
          <w:sz w:val="28"/>
          <w:szCs w:val="28"/>
        </w:rPr>
        <w:t>平阴水务发展有限公司</w:t>
      </w:r>
      <w:r>
        <w:rPr>
          <w:rFonts w:hint="eastAsia"/>
          <w:color w:val="000000" w:themeColor="text1"/>
          <w:sz w:val="28"/>
          <w:szCs w:val="28"/>
        </w:rPr>
        <w:t>（三厂）</w:t>
      </w:r>
    </w:p>
    <w:p w14:paraId="7818529D">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w:t>
      </w:r>
      <w:r>
        <w:rPr>
          <w:color w:val="000000" w:themeColor="text1"/>
          <w:sz w:val="28"/>
          <w:szCs w:val="28"/>
        </w:rPr>
        <w:t>1</w:t>
      </w:r>
      <w:r>
        <w:rPr>
          <w:rFonts w:hint="eastAsia"/>
          <w:color w:val="000000" w:themeColor="text1"/>
          <w:sz w:val="28"/>
          <w:szCs w:val="28"/>
        </w:rPr>
        <w:t>）污水处理厂运行现状</w:t>
      </w:r>
    </w:p>
    <w:p w14:paraId="5826410D">
      <w:pPr>
        <w:adjustRightInd w:val="0"/>
        <w:snapToGrid w:val="0"/>
        <w:spacing w:line="560" w:lineRule="exact"/>
        <w:ind w:firstLine="560" w:firstLineChars="200"/>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（三厂）</w:t>
      </w:r>
      <w:r>
        <w:rPr>
          <w:color w:val="000000" w:themeColor="text1"/>
          <w:sz w:val="28"/>
          <w:szCs w:val="28"/>
        </w:rPr>
        <w:t>主要接纳处理东阿镇生活污水和</w:t>
      </w:r>
      <w:r>
        <w:rPr>
          <w:rFonts w:hint="eastAsia"/>
          <w:color w:val="000000" w:themeColor="text1"/>
          <w:sz w:val="28"/>
          <w:szCs w:val="28"/>
        </w:rPr>
        <w:t>生产</w:t>
      </w:r>
      <w:r>
        <w:rPr>
          <w:color w:val="000000" w:themeColor="text1"/>
          <w:sz w:val="28"/>
          <w:szCs w:val="28"/>
        </w:rPr>
        <w:t>废水。该厂建于2017年，占地面积8800m</w:t>
      </w:r>
      <w:r>
        <w:rPr>
          <w:color w:val="000000" w:themeColor="text1"/>
          <w:sz w:val="28"/>
          <w:szCs w:val="28"/>
          <w:vertAlign w:val="superscript"/>
        </w:rPr>
        <w:t>2</w:t>
      </w:r>
      <w:r>
        <w:rPr>
          <w:color w:val="000000" w:themeColor="text1"/>
          <w:sz w:val="28"/>
          <w:szCs w:val="28"/>
        </w:rPr>
        <w:t>，建筑面积1412m</w:t>
      </w:r>
      <w:r>
        <w:rPr>
          <w:color w:val="000000" w:themeColor="text1"/>
          <w:sz w:val="28"/>
          <w:szCs w:val="28"/>
          <w:vertAlign w:val="superscript"/>
        </w:rPr>
        <w:t>2</w:t>
      </w:r>
      <w:r>
        <w:rPr>
          <w:color w:val="000000" w:themeColor="text1"/>
          <w:sz w:val="28"/>
          <w:szCs w:val="28"/>
        </w:rPr>
        <w:t>，总设计处理规模0.6万m</w:t>
      </w:r>
      <w:r>
        <w:rPr>
          <w:rFonts w:hint="eastAsia"/>
          <w:bCs/>
          <w:color w:val="000000" w:themeColor="text1"/>
          <w:kern w:val="44"/>
          <w:sz w:val="28"/>
          <w:szCs w:val="28"/>
          <w:vertAlign w:val="superscript"/>
        </w:rPr>
        <w:t>3</w:t>
      </w:r>
      <w:r>
        <w:rPr>
          <w:color w:val="000000" w:themeColor="text1"/>
          <w:sz w:val="28"/>
          <w:szCs w:val="28"/>
        </w:rPr>
        <w:t>/d，分两期建设，一期设计处理能力均为0.3万m</w:t>
      </w:r>
      <w:r>
        <w:rPr>
          <w:color w:val="000000" w:themeColor="text1"/>
          <w:sz w:val="28"/>
          <w:szCs w:val="28"/>
          <w:vertAlign w:val="superscript"/>
        </w:rPr>
        <w:t>3</w:t>
      </w:r>
      <w:r>
        <w:rPr>
          <w:color w:val="000000" w:themeColor="text1"/>
          <w:sz w:val="28"/>
          <w:szCs w:val="28"/>
        </w:rPr>
        <w:t>/d，目前实际日处理量为0.</w:t>
      </w:r>
      <w:r>
        <w:rPr>
          <w:rFonts w:hint="eastAsia"/>
          <w:color w:val="000000" w:themeColor="text1"/>
          <w:sz w:val="28"/>
          <w:szCs w:val="28"/>
        </w:rPr>
        <w:t>18</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该厂处理</w:t>
      </w:r>
      <w:r>
        <w:rPr>
          <w:color w:val="000000" w:themeColor="text1"/>
          <w:sz w:val="28"/>
          <w:szCs w:val="28"/>
        </w:rPr>
        <w:t>工艺采用：“一级处理+厌氧池、缺氧池、HJDL池二级生化处理+微絮凝+活性砂滤池+紫外消毒”</w:t>
      </w:r>
      <w:r>
        <w:rPr>
          <w:rFonts w:hint="eastAsia"/>
          <w:color w:val="000000" w:themeColor="text1"/>
          <w:sz w:val="28"/>
          <w:szCs w:val="28"/>
        </w:rPr>
        <w:t>，</w:t>
      </w:r>
      <w:r>
        <w:rPr>
          <w:color w:val="000000" w:themeColor="text1"/>
          <w:sz w:val="28"/>
          <w:szCs w:val="28"/>
        </w:rPr>
        <w:t>出水水质达到《地表水环境质量标准》（GB3838-2002）Ⅳ类标准。</w:t>
      </w:r>
    </w:p>
    <w:p w14:paraId="4E9A7ED7">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（2）污水处理厂规划</w:t>
      </w:r>
    </w:p>
    <w:p w14:paraId="1800E642">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20</w:t>
      </w:r>
      <w:r>
        <w:rPr>
          <w:rFonts w:hint="eastAsia"/>
          <w:color w:val="000000" w:themeColor="text1"/>
          <w:sz w:val="28"/>
          <w:szCs w:val="28"/>
        </w:rPr>
        <w:t>30年，</w:t>
      </w:r>
      <w:r>
        <w:rPr>
          <w:color w:val="000000" w:themeColor="text1"/>
          <w:sz w:val="28"/>
          <w:szCs w:val="28"/>
        </w:rPr>
        <w:t>平阴水务发展有限公司</w:t>
      </w:r>
      <w:r>
        <w:rPr>
          <w:rFonts w:hint="eastAsia"/>
          <w:color w:val="000000" w:themeColor="text1"/>
          <w:sz w:val="28"/>
          <w:szCs w:val="28"/>
        </w:rPr>
        <w:t>（三厂）无扩建规划，处理规模为</w:t>
      </w:r>
      <w:r>
        <w:rPr>
          <w:color w:val="000000" w:themeColor="text1"/>
          <w:sz w:val="28"/>
          <w:szCs w:val="28"/>
        </w:rPr>
        <w:t>0</w:t>
      </w:r>
      <w:r>
        <w:rPr>
          <w:rFonts w:hint="eastAsia"/>
          <w:color w:val="000000" w:themeColor="text1"/>
          <w:sz w:val="28"/>
          <w:szCs w:val="28"/>
        </w:rPr>
        <w:t>.</w:t>
      </w:r>
      <w:r>
        <w:rPr>
          <w:color w:val="000000" w:themeColor="text1"/>
          <w:sz w:val="28"/>
          <w:szCs w:val="28"/>
        </w:rPr>
        <w:t>3</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758E37E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年，平阴县根据东阿镇的污水处理需求，对</w:t>
      </w:r>
      <w:r>
        <w:rPr>
          <w:color w:val="000000" w:themeColor="text1"/>
          <w:sz w:val="28"/>
          <w:szCs w:val="28"/>
        </w:rPr>
        <w:t>平阴水务发展有限公司</w:t>
      </w:r>
      <w:r>
        <w:rPr>
          <w:rFonts w:hint="eastAsia"/>
          <w:color w:val="000000" w:themeColor="text1"/>
          <w:sz w:val="28"/>
          <w:szCs w:val="28"/>
        </w:rPr>
        <w:t>（三厂）进行扩建，处理规模达到</w:t>
      </w:r>
      <w:r>
        <w:rPr>
          <w:color w:val="000000" w:themeColor="text1"/>
          <w:sz w:val="28"/>
          <w:szCs w:val="28"/>
        </w:rPr>
        <w:t>0.6</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6C02C4F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w:t>
      </w:r>
      <w:r>
        <w:rPr>
          <w:color w:val="000000" w:themeColor="text1"/>
          <w:sz w:val="28"/>
          <w:szCs w:val="28"/>
        </w:rPr>
        <w:t>3</w:t>
      </w:r>
      <w:r>
        <w:rPr>
          <w:rFonts w:hint="eastAsia"/>
          <w:color w:val="000000" w:themeColor="text1"/>
          <w:sz w:val="28"/>
          <w:szCs w:val="28"/>
        </w:rPr>
        <w:t>）污水系统及管线布置</w:t>
      </w:r>
    </w:p>
    <w:p w14:paraId="414C5A0E">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东阿镇南高北低，东西两侧略高，污水通过现有的雨污合流管线排入谷城路的主干管，污水处理厂设置于镇区北部，污水主干管沿220国道由西向东敷设，最终接入</w:t>
      </w:r>
      <w:r>
        <w:rPr>
          <w:color w:val="000000" w:themeColor="text1"/>
          <w:sz w:val="28"/>
          <w:szCs w:val="28"/>
        </w:rPr>
        <w:t>平阴水务发展有限公司</w:t>
      </w:r>
      <w:r>
        <w:rPr>
          <w:rFonts w:hint="eastAsia"/>
          <w:color w:val="000000" w:themeColor="text1"/>
          <w:sz w:val="28"/>
          <w:szCs w:val="28"/>
        </w:rPr>
        <w:t>（三厂）。</w:t>
      </w:r>
    </w:p>
    <w:p w14:paraId="2927A8D3">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沿阿胶路、谷城路、青年路和通往古城区的道路布置污水次干管，汇入220国道污水主干管。污水排水以次干管流向和汇流范围分为西区、中Ⅰ区、中Ⅱ区及东区共4个污水分区。</w:t>
      </w:r>
    </w:p>
    <w:p w14:paraId="4026AC85">
      <w:pPr>
        <w:autoSpaceDE w:val="0"/>
        <w:autoSpaceDN w:val="0"/>
        <w:spacing w:line="600" w:lineRule="exact"/>
        <w:ind w:firstLine="560" w:firstLineChars="200"/>
        <w:textAlignment w:val="baseline"/>
        <w:rPr>
          <w:color w:val="000000" w:themeColor="text1"/>
          <w:kern w:val="0"/>
          <w:sz w:val="28"/>
          <w:szCs w:val="28"/>
        </w:rPr>
      </w:pPr>
      <w:r>
        <w:rPr>
          <w:color w:val="000000" w:themeColor="text1"/>
          <w:kern w:val="0"/>
          <w:sz w:val="28"/>
          <w:szCs w:val="28"/>
        </w:rPr>
        <w:t>3</w:t>
      </w:r>
      <w:r>
        <w:rPr>
          <w:rFonts w:hint="eastAsia"/>
          <w:color w:val="000000" w:themeColor="text1"/>
          <w:kern w:val="0"/>
          <w:sz w:val="28"/>
          <w:szCs w:val="28"/>
        </w:rPr>
        <w:t>、</w:t>
      </w:r>
      <w:r>
        <w:rPr>
          <w:color w:val="000000" w:themeColor="text1"/>
          <w:sz w:val="28"/>
          <w:szCs w:val="28"/>
        </w:rPr>
        <w:t>平阴水务发展有限公司</w:t>
      </w:r>
      <w:r>
        <w:rPr>
          <w:rFonts w:hint="eastAsia"/>
          <w:color w:val="000000" w:themeColor="text1"/>
          <w:sz w:val="28"/>
          <w:szCs w:val="28"/>
        </w:rPr>
        <w:t>（孝直厂）</w:t>
      </w:r>
    </w:p>
    <w:p w14:paraId="3368572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w:t>
      </w:r>
      <w:r>
        <w:rPr>
          <w:color w:val="000000" w:themeColor="text1"/>
          <w:sz w:val="28"/>
          <w:szCs w:val="28"/>
        </w:rPr>
        <w:t>污水处理</w:t>
      </w:r>
      <w:r>
        <w:rPr>
          <w:rFonts w:hint="eastAsia"/>
          <w:color w:val="000000" w:themeColor="text1"/>
          <w:sz w:val="28"/>
          <w:szCs w:val="28"/>
        </w:rPr>
        <w:t>厂运行现状</w:t>
      </w:r>
    </w:p>
    <w:p w14:paraId="7F46AC7E">
      <w:pPr>
        <w:adjustRightInd w:val="0"/>
        <w:snapToGrid w:val="0"/>
        <w:spacing w:line="560" w:lineRule="exact"/>
        <w:ind w:firstLine="560" w:firstLineChars="200"/>
        <w:rPr>
          <w:color w:val="000000" w:themeColor="text1"/>
          <w:sz w:val="28"/>
          <w:szCs w:val="28"/>
        </w:rPr>
      </w:pPr>
      <w:r>
        <w:rPr>
          <w:color w:val="000000" w:themeColor="text1"/>
          <w:sz w:val="28"/>
          <w:szCs w:val="28"/>
        </w:rPr>
        <w:t>平阴水务发展有限公司</w:t>
      </w:r>
      <w:r>
        <w:rPr>
          <w:rFonts w:hint="eastAsia"/>
          <w:color w:val="000000" w:themeColor="text1"/>
          <w:sz w:val="28"/>
          <w:szCs w:val="28"/>
        </w:rPr>
        <w:t>（孝直厂）</w:t>
      </w:r>
      <w:r>
        <w:rPr>
          <w:color w:val="000000" w:themeColor="text1"/>
          <w:sz w:val="28"/>
          <w:szCs w:val="28"/>
        </w:rPr>
        <w:t>位于平阴县孝直镇玛钢路和南环路交叉口西北侧，其服务范围为孝直镇居民生活和当地企业生产污废水。该污水处理厂设计总处理规模为0.6万m</w:t>
      </w:r>
      <w:r>
        <w:rPr>
          <w:color w:val="000000" w:themeColor="text1"/>
          <w:sz w:val="28"/>
          <w:szCs w:val="28"/>
          <w:vertAlign w:val="superscript"/>
        </w:rPr>
        <w:t>3</w:t>
      </w:r>
      <w:r>
        <w:rPr>
          <w:color w:val="000000" w:themeColor="text1"/>
          <w:sz w:val="28"/>
          <w:szCs w:val="28"/>
        </w:rPr>
        <w:t>/d，分两期建设，其中一期处理规模为0.3万m</w:t>
      </w:r>
      <w:r>
        <w:rPr>
          <w:color w:val="000000" w:themeColor="text1"/>
          <w:sz w:val="28"/>
          <w:szCs w:val="28"/>
          <w:vertAlign w:val="superscript"/>
        </w:rPr>
        <w:t>3</w:t>
      </w:r>
      <w:r>
        <w:rPr>
          <w:color w:val="000000" w:themeColor="text1"/>
          <w:sz w:val="28"/>
          <w:szCs w:val="28"/>
        </w:rPr>
        <w:t>/d，二期处理规模为0.3万m</w:t>
      </w:r>
      <w:r>
        <w:rPr>
          <w:color w:val="000000" w:themeColor="text1"/>
          <w:sz w:val="28"/>
          <w:szCs w:val="28"/>
          <w:vertAlign w:val="superscript"/>
        </w:rPr>
        <w:t>3</w:t>
      </w:r>
      <w:r>
        <w:rPr>
          <w:color w:val="000000" w:themeColor="text1"/>
          <w:sz w:val="28"/>
          <w:szCs w:val="28"/>
        </w:rPr>
        <w:t>/d。该污水处理厂于2021年建成并投入运行，目前实际处理能力为0.</w:t>
      </w:r>
      <w:r>
        <w:rPr>
          <w:rFonts w:hint="eastAsia"/>
          <w:color w:val="000000" w:themeColor="text1"/>
          <w:sz w:val="28"/>
          <w:szCs w:val="28"/>
        </w:rPr>
        <w:t>17</w:t>
      </w:r>
      <w:r>
        <w:rPr>
          <w:color w:val="000000" w:themeColor="text1"/>
          <w:sz w:val="28"/>
          <w:szCs w:val="28"/>
        </w:rPr>
        <w:t>万m</w:t>
      </w:r>
      <w:r>
        <w:rPr>
          <w:color w:val="000000" w:themeColor="text1"/>
          <w:sz w:val="28"/>
          <w:szCs w:val="28"/>
          <w:vertAlign w:val="superscript"/>
        </w:rPr>
        <w:t>3</w:t>
      </w:r>
      <w:r>
        <w:rPr>
          <w:color w:val="000000" w:themeColor="text1"/>
          <w:sz w:val="28"/>
          <w:szCs w:val="28"/>
        </w:rPr>
        <w:t>/d，采用“预处理+改良A</w:t>
      </w:r>
      <w:r>
        <w:rPr>
          <w:color w:val="000000" w:themeColor="text1"/>
          <w:sz w:val="28"/>
          <w:szCs w:val="28"/>
          <w:vertAlign w:val="superscript"/>
        </w:rPr>
        <w:t>2</w:t>
      </w:r>
      <w:r>
        <w:rPr>
          <w:color w:val="000000" w:themeColor="text1"/>
          <w:sz w:val="28"/>
          <w:szCs w:val="28"/>
        </w:rPr>
        <w:t>O+深度处理”处理工艺</w:t>
      </w:r>
      <w:r>
        <w:rPr>
          <w:rFonts w:hint="eastAsia"/>
          <w:color w:val="000000" w:themeColor="text1"/>
          <w:sz w:val="28"/>
          <w:szCs w:val="28"/>
        </w:rPr>
        <w:t>，</w:t>
      </w:r>
      <w:r>
        <w:rPr>
          <w:color w:val="000000" w:themeColor="text1"/>
          <w:sz w:val="28"/>
          <w:szCs w:val="28"/>
        </w:rPr>
        <w:t>外排水执行《城镇污水处理厂污染物排放标准》（GB18918-2002）一级A标准。</w:t>
      </w:r>
    </w:p>
    <w:p w14:paraId="71C5E2B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（2）污水处理厂规划</w:t>
      </w:r>
    </w:p>
    <w:p w14:paraId="438E3416">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20</w:t>
      </w:r>
      <w:r>
        <w:rPr>
          <w:rFonts w:hint="eastAsia"/>
          <w:color w:val="000000" w:themeColor="text1"/>
          <w:sz w:val="28"/>
          <w:szCs w:val="28"/>
        </w:rPr>
        <w:t>30年，平阴县中环水务有限公司（孝直厂）无扩建规划，处理规模为</w:t>
      </w:r>
      <w:r>
        <w:rPr>
          <w:color w:val="000000" w:themeColor="text1"/>
          <w:sz w:val="28"/>
          <w:szCs w:val="28"/>
        </w:rPr>
        <w:t>0</w:t>
      </w:r>
      <w:r>
        <w:rPr>
          <w:rFonts w:hint="eastAsia"/>
          <w:color w:val="000000" w:themeColor="text1"/>
          <w:sz w:val="28"/>
          <w:szCs w:val="28"/>
        </w:rPr>
        <w:t>.</w:t>
      </w:r>
      <w:r>
        <w:rPr>
          <w:color w:val="000000" w:themeColor="text1"/>
          <w:sz w:val="28"/>
          <w:szCs w:val="28"/>
        </w:rPr>
        <w:t>3</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15DC4EAE">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年，平阴县根据孝直镇的污水处理需求，对平阴县中环水务有限公司（孝直厂）进行扩建，处理规模达到</w:t>
      </w:r>
      <w:r>
        <w:rPr>
          <w:color w:val="000000" w:themeColor="text1"/>
          <w:sz w:val="28"/>
          <w:szCs w:val="28"/>
        </w:rPr>
        <w:t>0.6</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7A746AF0">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远期规划污水处理工艺采用一级预处理+二级生物脱氮除磷+三级深度处理工艺，出水水质要求除总氮外主要指标执行《地表水环境质量标准》（GB3838-2002）IⅣ类标准，总氮执行《城镇污水处理厂污染物排放标准》（GB18918-2002）一级排放标准A标准。</w:t>
      </w:r>
    </w:p>
    <w:p w14:paraId="32AC570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w:t>
      </w:r>
      <w:r>
        <w:rPr>
          <w:color w:val="000000" w:themeColor="text1"/>
          <w:sz w:val="28"/>
          <w:szCs w:val="28"/>
        </w:rPr>
        <w:t>3</w:t>
      </w:r>
      <w:r>
        <w:rPr>
          <w:rFonts w:hint="eastAsia"/>
          <w:color w:val="000000" w:themeColor="text1"/>
          <w:sz w:val="28"/>
          <w:szCs w:val="28"/>
        </w:rPr>
        <w:t>）污水系统及管线布置</w:t>
      </w:r>
    </w:p>
    <w:p w14:paraId="1E57201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孝直镇驻地地势西高东低，北高南低，污水处理厂设置于镇区东南部。污水管道干管沿现状主干道及规划主干道由南向北敷设，接入南侧汇通大街污水主干管后最终进入规划污水处理厂；以兴盛路为界分为西侧和东侧2个污水分区。</w:t>
      </w:r>
    </w:p>
    <w:p w14:paraId="49D26E50">
      <w:pPr>
        <w:autoSpaceDE w:val="0"/>
        <w:autoSpaceDN w:val="0"/>
        <w:spacing w:line="600" w:lineRule="exact"/>
        <w:ind w:firstLine="560" w:firstLineChars="200"/>
        <w:textAlignment w:val="baseline"/>
        <w:rPr>
          <w:color w:val="000000" w:themeColor="text1"/>
          <w:kern w:val="0"/>
          <w:sz w:val="28"/>
          <w:szCs w:val="28"/>
        </w:rPr>
      </w:pPr>
      <w:r>
        <w:rPr>
          <w:color w:val="000000" w:themeColor="text1"/>
          <w:kern w:val="0"/>
          <w:sz w:val="28"/>
          <w:szCs w:val="28"/>
        </w:rPr>
        <w:t>4</w:t>
      </w:r>
      <w:r>
        <w:rPr>
          <w:rFonts w:hint="eastAsia"/>
          <w:color w:val="000000" w:themeColor="text1"/>
          <w:kern w:val="0"/>
          <w:sz w:val="28"/>
          <w:szCs w:val="28"/>
        </w:rPr>
        <w:t>、平阴县中环水务有限公司（孔村厂）</w:t>
      </w:r>
    </w:p>
    <w:p w14:paraId="032D3883">
      <w:pPr>
        <w:autoSpaceDE w:val="0"/>
        <w:autoSpaceDN w:val="0"/>
        <w:spacing w:line="600" w:lineRule="exact"/>
        <w:ind w:firstLine="560" w:firstLineChars="200"/>
        <w:textAlignment w:val="baseline"/>
        <w:rPr>
          <w:color w:val="000000" w:themeColor="text1"/>
          <w:sz w:val="28"/>
          <w:szCs w:val="28"/>
        </w:rPr>
      </w:pPr>
      <w:bookmarkStart w:id="166" w:name="_Hlk144248281"/>
      <w:r>
        <w:rPr>
          <w:rFonts w:hint="eastAsia"/>
          <w:color w:val="000000" w:themeColor="text1"/>
          <w:sz w:val="28"/>
          <w:szCs w:val="28"/>
        </w:rPr>
        <w:t>（1）</w:t>
      </w:r>
      <w:r>
        <w:rPr>
          <w:rFonts w:hint="eastAsia"/>
          <w:color w:val="000000" w:themeColor="text1"/>
          <w:kern w:val="0"/>
          <w:sz w:val="28"/>
          <w:szCs w:val="28"/>
        </w:rPr>
        <w:t>污水处理厂运行</w:t>
      </w:r>
      <w:r>
        <w:rPr>
          <w:rFonts w:hint="eastAsia"/>
          <w:color w:val="000000" w:themeColor="text1"/>
          <w:sz w:val="28"/>
          <w:szCs w:val="28"/>
        </w:rPr>
        <w:t>现状</w:t>
      </w:r>
    </w:p>
    <w:p w14:paraId="14D9FD5A">
      <w:pPr>
        <w:adjustRightInd w:val="0"/>
        <w:snapToGrid w:val="0"/>
        <w:spacing w:line="560" w:lineRule="exact"/>
        <w:ind w:firstLine="560" w:firstLineChars="200"/>
        <w:rPr>
          <w:color w:val="000000" w:themeColor="text1"/>
          <w:sz w:val="28"/>
          <w:szCs w:val="28"/>
        </w:rPr>
      </w:pPr>
      <w:r>
        <w:rPr>
          <w:rFonts w:hint="eastAsia"/>
          <w:color w:val="000000" w:themeColor="text1"/>
          <w:kern w:val="0"/>
          <w:sz w:val="28"/>
          <w:szCs w:val="28"/>
        </w:rPr>
        <w:t>平阴县中环水务有限公司（孔村厂）</w:t>
      </w:r>
      <w:r>
        <w:rPr>
          <w:color w:val="000000" w:themeColor="text1"/>
          <w:sz w:val="28"/>
          <w:szCs w:val="28"/>
        </w:rPr>
        <w:t>位于平阴县孔村镇东部，福禄河北岸，其服务范围为孔村镇居民生活和当地企业生产污废水。</w:t>
      </w:r>
      <w:r>
        <w:rPr>
          <w:rFonts w:hint="eastAsia"/>
          <w:color w:val="000000" w:themeColor="text1"/>
          <w:kern w:val="0"/>
          <w:sz w:val="28"/>
          <w:szCs w:val="28"/>
        </w:rPr>
        <w:t>平阴县中环水务有限公司</w:t>
      </w:r>
      <w:r>
        <w:rPr>
          <w:color w:val="000000" w:themeColor="text1"/>
          <w:sz w:val="28"/>
          <w:szCs w:val="28"/>
        </w:rPr>
        <w:t>设计规模为0.8万m</w:t>
      </w:r>
      <w:r>
        <w:rPr>
          <w:color w:val="000000" w:themeColor="text1"/>
          <w:sz w:val="28"/>
          <w:szCs w:val="28"/>
          <w:vertAlign w:val="superscript"/>
        </w:rPr>
        <w:t>3</w:t>
      </w:r>
      <w:r>
        <w:rPr>
          <w:color w:val="000000" w:themeColor="text1"/>
          <w:sz w:val="28"/>
          <w:szCs w:val="28"/>
        </w:rPr>
        <w:t>/d，分两期建设，其中一期处理规模为0.4万m</w:t>
      </w:r>
      <w:r>
        <w:rPr>
          <w:color w:val="000000" w:themeColor="text1"/>
          <w:sz w:val="28"/>
          <w:szCs w:val="28"/>
          <w:vertAlign w:val="superscript"/>
        </w:rPr>
        <w:t>3</w:t>
      </w:r>
      <w:r>
        <w:rPr>
          <w:color w:val="000000" w:themeColor="text1"/>
          <w:sz w:val="28"/>
          <w:szCs w:val="28"/>
        </w:rPr>
        <w:t>/d，二期处理规模为0.4万m</w:t>
      </w:r>
      <w:r>
        <w:rPr>
          <w:color w:val="000000" w:themeColor="text1"/>
          <w:sz w:val="28"/>
          <w:szCs w:val="28"/>
          <w:vertAlign w:val="superscript"/>
        </w:rPr>
        <w:t>3</w:t>
      </w:r>
      <w:r>
        <w:rPr>
          <w:color w:val="000000" w:themeColor="text1"/>
          <w:sz w:val="28"/>
          <w:szCs w:val="28"/>
        </w:rPr>
        <w:t>/d。</w:t>
      </w:r>
      <w:r>
        <w:rPr>
          <w:rFonts w:hint="eastAsia"/>
          <w:color w:val="000000" w:themeColor="text1"/>
          <w:kern w:val="0"/>
          <w:sz w:val="28"/>
          <w:szCs w:val="28"/>
        </w:rPr>
        <w:t>平阴县中环水务有限公司</w:t>
      </w:r>
      <w:r>
        <w:rPr>
          <w:color w:val="000000" w:themeColor="text1"/>
          <w:sz w:val="28"/>
          <w:szCs w:val="28"/>
        </w:rPr>
        <w:t>于2021年建成并投入运行，目前实际处理量为0.</w:t>
      </w:r>
      <w:r>
        <w:rPr>
          <w:rFonts w:hint="eastAsia"/>
          <w:color w:val="000000" w:themeColor="text1"/>
          <w:sz w:val="28"/>
          <w:szCs w:val="28"/>
        </w:rPr>
        <w:t>21</w:t>
      </w:r>
      <w:r>
        <w:rPr>
          <w:color w:val="000000" w:themeColor="text1"/>
          <w:sz w:val="28"/>
          <w:szCs w:val="28"/>
        </w:rPr>
        <w:t>万m</w:t>
      </w:r>
      <w:r>
        <w:rPr>
          <w:color w:val="000000" w:themeColor="text1"/>
          <w:sz w:val="28"/>
          <w:szCs w:val="28"/>
          <w:vertAlign w:val="superscript"/>
        </w:rPr>
        <w:t>3</w:t>
      </w:r>
      <w:r>
        <w:rPr>
          <w:color w:val="000000" w:themeColor="text1"/>
          <w:sz w:val="28"/>
          <w:szCs w:val="28"/>
        </w:rPr>
        <w:t>/d，采用“预处理+改良A</w:t>
      </w:r>
      <w:r>
        <w:rPr>
          <w:color w:val="000000" w:themeColor="text1"/>
          <w:sz w:val="28"/>
          <w:szCs w:val="28"/>
          <w:vertAlign w:val="superscript"/>
        </w:rPr>
        <w:t>2</w:t>
      </w:r>
      <w:r>
        <w:rPr>
          <w:color w:val="000000" w:themeColor="text1"/>
          <w:sz w:val="28"/>
          <w:szCs w:val="28"/>
        </w:rPr>
        <w:t>O+深度处理”处理工艺</w:t>
      </w:r>
      <w:r>
        <w:rPr>
          <w:rFonts w:hint="eastAsia"/>
          <w:color w:val="000000" w:themeColor="text1"/>
          <w:sz w:val="28"/>
          <w:szCs w:val="28"/>
        </w:rPr>
        <w:t>；</w:t>
      </w:r>
      <w:r>
        <w:rPr>
          <w:color w:val="000000" w:themeColor="text1"/>
          <w:sz w:val="28"/>
          <w:szCs w:val="28"/>
        </w:rPr>
        <w:t>外排水执行《城镇污水处理厂污染物排放标准》（GB18918-2002）一级A标准。</w:t>
      </w:r>
    </w:p>
    <w:p w14:paraId="368C676A">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（2）污水处理厂规划</w:t>
      </w:r>
    </w:p>
    <w:p w14:paraId="06A7F36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03</w:t>
      </w:r>
      <w:r>
        <w:rPr>
          <w:rFonts w:hint="eastAsia"/>
          <w:color w:val="000000" w:themeColor="text1"/>
          <w:sz w:val="28"/>
          <w:szCs w:val="28"/>
        </w:rPr>
        <w:t>0年，平阴县根据孔村镇的污水处理需求，</w:t>
      </w:r>
      <w:r>
        <w:rPr>
          <w:rFonts w:hint="eastAsia"/>
          <w:color w:val="000000" w:themeColor="text1"/>
          <w:kern w:val="0"/>
          <w:sz w:val="28"/>
          <w:szCs w:val="28"/>
        </w:rPr>
        <w:t>平阴县中环水务有限公司</w:t>
      </w:r>
      <w:r>
        <w:rPr>
          <w:rFonts w:hint="eastAsia"/>
          <w:color w:val="000000" w:themeColor="text1"/>
          <w:sz w:val="28"/>
          <w:szCs w:val="28"/>
        </w:rPr>
        <w:t>进行扩建，处理规模达到</w:t>
      </w:r>
      <w:r>
        <w:rPr>
          <w:color w:val="000000" w:themeColor="text1"/>
          <w:sz w:val="28"/>
          <w:szCs w:val="28"/>
        </w:rPr>
        <w:t>0.8</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4368239A">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20</w:t>
      </w:r>
      <w:r>
        <w:rPr>
          <w:rFonts w:hint="eastAsia"/>
          <w:color w:val="000000" w:themeColor="text1"/>
          <w:sz w:val="28"/>
          <w:szCs w:val="28"/>
        </w:rPr>
        <w:t>35年，</w:t>
      </w:r>
      <w:r>
        <w:rPr>
          <w:rFonts w:hint="eastAsia"/>
          <w:color w:val="000000" w:themeColor="text1"/>
          <w:kern w:val="0"/>
          <w:sz w:val="28"/>
          <w:szCs w:val="28"/>
        </w:rPr>
        <w:t>平阴县中环水务有限公司</w:t>
      </w:r>
      <w:r>
        <w:rPr>
          <w:rFonts w:hint="eastAsia"/>
          <w:color w:val="000000" w:themeColor="text1"/>
          <w:sz w:val="28"/>
          <w:szCs w:val="28"/>
        </w:rPr>
        <w:t>无扩建规划，处理规模为</w:t>
      </w:r>
      <w:r>
        <w:rPr>
          <w:color w:val="000000" w:themeColor="text1"/>
          <w:sz w:val="28"/>
          <w:szCs w:val="28"/>
        </w:rPr>
        <w:t>0</w:t>
      </w:r>
      <w:r>
        <w:rPr>
          <w:rFonts w:hint="eastAsia"/>
          <w:color w:val="000000" w:themeColor="text1"/>
          <w:sz w:val="28"/>
          <w:szCs w:val="28"/>
        </w:rPr>
        <w:t>.8万m</w:t>
      </w:r>
      <w:r>
        <w:rPr>
          <w:rFonts w:hint="eastAsia"/>
          <w:color w:val="000000" w:themeColor="text1"/>
          <w:sz w:val="28"/>
          <w:szCs w:val="28"/>
          <w:vertAlign w:val="superscript"/>
        </w:rPr>
        <w:t>3</w:t>
      </w:r>
      <w:r>
        <w:rPr>
          <w:rFonts w:hint="eastAsia"/>
          <w:color w:val="000000" w:themeColor="text1"/>
          <w:sz w:val="28"/>
          <w:szCs w:val="28"/>
        </w:rPr>
        <w:t>/d。</w:t>
      </w:r>
    </w:p>
    <w:p w14:paraId="79B1D319">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w:t>
      </w:r>
      <w:r>
        <w:rPr>
          <w:color w:val="000000" w:themeColor="text1"/>
          <w:sz w:val="28"/>
          <w:szCs w:val="28"/>
        </w:rPr>
        <w:t>3</w:t>
      </w:r>
      <w:r>
        <w:rPr>
          <w:rFonts w:hint="eastAsia"/>
          <w:color w:val="000000" w:themeColor="text1"/>
          <w:sz w:val="28"/>
          <w:szCs w:val="28"/>
        </w:rPr>
        <w:t>）污水系统及管线布置</w:t>
      </w:r>
    </w:p>
    <w:p w14:paraId="3BF99239">
      <w:pPr>
        <w:adjustRightInd w:val="0"/>
        <w:snapToGrid w:val="0"/>
        <w:spacing w:line="560" w:lineRule="exact"/>
        <w:ind w:firstLine="560" w:firstLineChars="200"/>
        <w:rPr>
          <w:color w:val="000000" w:themeColor="text1"/>
          <w:sz w:val="28"/>
          <w:szCs w:val="28"/>
        </w:rPr>
      </w:pPr>
      <w:r>
        <w:rPr>
          <w:rFonts w:hint="eastAsia"/>
          <w:color w:val="000000" w:themeColor="text1"/>
          <w:sz w:val="28"/>
          <w:szCs w:val="28"/>
        </w:rPr>
        <w:t>孔村镇驻地从地势和平面分布来看，整个镇区地势较为平坦，整体地势呈西北高东南低，地块北部呈中间低三面高的地貌。</w:t>
      </w:r>
      <w:r>
        <w:rPr>
          <w:rFonts w:hint="eastAsia"/>
          <w:color w:val="000000" w:themeColor="text1"/>
          <w:kern w:val="0"/>
          <w:sz w:val="28"/>
          <w:szCs w:val="28"/>
        </w:rPr>
        <w:t>平阴县中环水务有限公司</w:t>
      </w:r>
      <w:r>
        <w:rPr>
          <w:rFonts w:hint="eastAsia"/>
          <w:color w:val="000000" w:themeColor="text1"/>
          <w:sz w:val="28"/>
          <w:szCs w:val="28"/>
        </w:rPr>
        <w:t>设置于镇区东部，污水管道主干管由西向东敷设，最终接入规划污水处理厂。沿G105国道、福禄河、财源路和工业东路污水次干管，汇入府前街东段截污主干管，污水主干管沿着安居街～府前街布置。污水排水以次干管流向和汇流范围分北Ⅰ区、北Ⅱ区、北Ⅲ区、南区共4个污水分区。</w:t>
      </w:r>
    </w:p>
    <w:bookmarkEnd w:id="166"/>
    <w:p w14:paraId="09BE1ECF">
      <w:pPr>
        <w:autoSpaceDE w:val="0"/>
        <w:autoSpaceDN w:val="0"/>
        <w:spacing w:line="600" w:lineRule="exact"/>
        <w:ind w:firstLine="560" w:firstLineChars="200"/>
        <w:textAlignment w:val="baseline"/>
        <w:rPr>
          <w:color w:val="000000" w:themeColor="text1"/>
          <w:kern w:val="0"/>
          <w:sz w:val="28"/>
          <w:szCs w:val="28"/>
        </w:rPr>
      </w:pPr>
      <w:r>
        <w:rPr>
          <w:color w:val="000000" w:themeColor="text1"/>
          <w:kern w:val="0"/>
          <w:sz w:val="28"/>
          <w:szCs w:val="28"/>
        </w:rPr>
        <w:t>5</w:t>
      </w:r>
      <w:r>
        <w:rPr>
          <w:rFonts w:hint="eastAsia"/>
          <w:color w:val="000000" w:themeColor="text1"/>
          <w:kern w:val="0"/>
          <w:sz w:val="28"/>
          <w:szCs w:val="28"/>
        </w:rPr>
        <w:t>、玫瑰镇</w:t>
      </w:r>
      <w:r>
        <w:rPr>
          <w:rFonts w:hint="eastAsia"/>
          <w:color w:val="000000" w:themeColor="text1"/>
          <w:sz w:val="28"/>
          <w:szCs w:val="28"/>
        </w:rPr>
        <w:t>污水处理</w:t>
      </w:r>
      <w:r>
        <w:rPr>
          <w:rFonts w:hint="eastAsia"/>
          <w:color w:val="000000" w:themeColor="text1"/>
          <w:kern w:val="0"/>
          <w:sz w:val="28"/>
          <w:szCs w:val="28"/>
        </w:rPr>
        <w:t>厂</w:t>
      </w:r>
    </w:p>
    <w:p w14:paraId="62FD26B1">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kern w:val="0"/>
          <w:sz w:val="28"/>
          <w:szCs w:val="28"/>
        </w:rPr>
        <w:t>玫瑰镇目前没有污水处理厂。</w:t>
      </w:r>
      <w:r>
        <w:rPr>
          <w:rFonts w:hint="eastAsia"/>
          <w:color w:val="000000" w:themeColor="text1"/>
          <w:sz w:val="28"/>
          <w:szCs w:val="28"/>
        </w:rPr>
        <w:t>规划建设玫瑰镇污水处理厂，其位于镇区西部，湖北路西延长线，占地面积1.4公顷。</w:t>
      </w:r>
      <w:r>
        <w:rPr>
          <w:color w:val="000000" w:themeColor="text1"/>
          <w:sz w:val="28"/>
          <w:szCs w:val="28"/>
        </w:rPr>
        <w:t>该污水处理厂设计规模为0.7万m</w:t>
      </w:r>
      <w:r>
        <w:rPr>
          <w:color w:val="000000" w:themeColor="text1"/>
          <w:sz w:val="28"/>
          <w:szCs w:val="28"/>
          <w:vertAlign w:val="superscript"/>
        </w:rPr>
        <w:t>3</w:t>
      </w:r>
      <w:r>
        <w:rPr>
          <w:color w:val="000000" w:themeColor="text1"/>
          <w:sz w:val="28"/>
          <w:szCs w:val="28"/>
        </w:rPr>
        <w:t>/d，分两期建设，其中一期处理规模为0.1万m</w:t>
      </w:r>
      <w:r>
        <w:rPr>
          <w:color w:val="000000" w:themeColor="text1"/>
          <w:sz w:val="28"/>
          <w:szCs w:val="28"/>
          <w:vertAlign w:val="superscript"/>
        </w:rPr>
        <w:t>3</w:t>
      </w:r>
      <w:r>
        <w:rPr>
          <w:color w:val="000000" w:themeColor="text1"/>
          <w:sz w:val="28"/>
          <w:szCs w:val="28"/>
        </w:rPr>
        <w:t>/d，二期处理规模为0.6万m</w:t>
      </w:r>
      <w:r>
        <w:rPr>
          <w:color w:val="000000" w:themeColor="text1"/>
          <w:sz w:val="28"/>
          <w:szCs w:val="28"/>
          <w:vertAlign w:val="superscript"/>
        </w:rPr>
        <w:t>3</w:t>
      </w:r>
      <w:r>
        <w:rPr>
          <w:color w:val="000000" w:themeColor="text1"/>
          <w:sz w:val="28"/>
          <w:szCs w:val="28"/>
        </w:rPr>
        <w:t>/d。</w:t>
      </w:r>
    </w:p>
    <w:p w14:paraId="298F17FC">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污水处理工艺采用一级预处理+二级生物脱氮除磷+三级深度处理工艺。处理水质要求除总氮外主要指标执行《地表水环境质量标准》（GB3838-2002）Ⅳ类标准，总氮执行《城镇污水处理厂污染物排放标准》（GB18918-2002）一级排放标准A标准。</w:t>
      </w:r>
    </w:p>
    <w:p w14:paraId="630F8DB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（1）污水处理厂规划</w:t>
      </w:r>
    </w:p>
    <w:p w14:paraId="66BBD215">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20</w:t>
      </w:r>
      <w:r>
        <w:rPr>
          <w:rFonts w:hint="eastAsia"/>
          <w:color w:val="000000" w:themeColor="text1"/>
          <w:sz w:val="28"/>
          <w:szCs w:val="28"/>
        </w:rPr>
        <w:t>30年，玫瑰</w:t>
      </w:r>
      <w:r>
        <w:rPr>
          <w:color w:val="000000" w:themeColor="text1"/>
          <w:sz w:val="28"/>
          <w:szCs w:val="28"/>
        </w:rPr>
        <w:t>镇污水处理厂</w:t>
      </w:r>
      <w:r>
        <w:rPr>
          <w:rFonts w:hint="eastAsia"/>
          <w:color w:val="000000" w:themeColor="text1"/>
          <w:sz w:val="28"/>
          <w:szCs w:val="28"/>
        </w:rPr>
        <w:t>规划建设，处理规模为</w:t>
      </w:r>
      <w:r>
        <w:rPr>
          <w:color w:val="000000" w:themeColor="text1"/>
          <w:sz w:val="28"/>
          <w:szCs w:val="28"/>
        </w:rPr>
        <w:t>0</w:t>
      </w:r>
      <w:r>
        <w:rPr>
          <w:rFonts w:hint="eastAsia"/>
          <w:color w:val="000000" w:themeColor="text1"/>
          <w:sz w:val="28"/>
          <w:szCs w:val="28"/>
        </w:rPr>
        <w:t>.</w:t>
      </w:r>
      <w:r>
        <w:rPr>
          <w:color w:val="000000" w:themeColor="text1"/>
          <w:sz w:val="28"/>
          <w:szCs w:val="28"/>
        </w:rPr>
        <w:t>1</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4E776976">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年，平阴县根据玫瑰</w:t>
      </w:r>
      <w:r>
        <w:rPr>
          <w:color w:val="000000" w:themeColor="text1"/>
          <w:sz w:val="28"/>
          <w:szCs w:val="28"/>
        </w:rPr>
        <w:t>镇</w:t>
      </w:r>
      <w:r>
        <w:rPr>
          <w:rFonts w:hint="eastAsia"/>
          <w:color w:val="000000" w:themeColor="text1"/>
          <w:sz w:val="28"/>
          <w:szCs w:val="28"/>
        </w:rPr>
        <w:t>的污水处理需求，对玫瑰</w:t>
      </w:r>
      <w:r>
        <w:rPr>
          <w:color w:val="000000" w:themeColor="text1"/>
          <w:sz w:val="28"/>
          <w:szCs w:val="28"/>
        </w:rPr>
        <w:t>镇</w:t>
      </w:r>
      <w:r>
        <w:rPr>
          <w:rFonts w:hint="eastAsia"/>
          <w:color w:val="000000" w:themeColor="text1"/>
          <w:sz w:val="28"/>
          <w:szCs w:val="28"/>
        </w:rPr>
        <w:t>污水处理厂进行扩建，处理规模达到</w:t>
      </w:r>
      <w:r>
        <w:rPr>
          <w:color w:val="000000" w:themeColor="text1"/>
          <w:sz w:val="28"/>
          <w:szCs w:val="28"/>
        </w:rPr>
        <w:t>0.7</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5615BB0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（2）污水系统及管线布置</w:t>
      </w:r>
    </w:p>
    <w:p w14:paraId="5E4CC9A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玫瑰镇镇驻地东高西低。中间位置张庄水库及其支流为低点，其北侧工业园及南侧居住区的地势均坡向此处。污水主干管沿支流南侧湖北路由东向西敷设，接入污水处理厂。以张庄水库支流为界分西北、东北及南区共3个污水分区。</w:t>
      </w:r>
    </w:p>
    <w:p w14:paraId="169822F9">
      <w:pPr>
        <w:autoSpaceDE w:val="0"/>
        <w:autoSpaceDN w:val="0"/>
        <w:spacing w:line="600" w:lineRule="exact"/>
        <w:ind w:firstLine="560" w:firstLineChars="200"/>
        <w:textAlignment w:val="baseline"/>
        <w:rPr>
          <w:color w:val="000000" w:themeColor="text1"/>
          <w:kern w:val="0"/>
          <w:sz w:val="28"/>
          <w:szCs w:val="28"/>
        </w:rPr>
      </w:pPr>
      <w:r>
        <w:rPr>
          <w:color w:val="000000" w:themeColor="text1"/>
          <w:kern w:val="0"/>
          <w:sz w:val="28"/>
          <w:szCs w:val="28"/>
        </w:rPr>
        <w:t>6</w:t>
      </w:r>
      <w:r>
        <w:rPr>
          <w:rFonts w:hint="eastAsia"/>
          <w:color w:val="000000" w:themeColor="text1"/>
          <w:kern w:val="0"/>
          <w:sz w:val="28"/>
          <w:szCs w:val="28"/>
        </w:rPr>
        <w:t>、洪范池镇</w:t>
      </w:r>
      <w:r>
        <w:rPr>
          <w:rFonts w:hint="eastAsia"/>
          <w:color w:val="000000" w:themeColor="text1"/>
          <w:sz w:val="28"/>
          <w:szCs w:val="28"/>
        </w:rPr>
        <w:t>污水处理</w:t>
      </w:r>
      <w:r>
        <w:rPr>
          <w:rFonts w:hint="eastAsia"/>
          <w:color w:val="000000" w:themeColor="text1"/>
          <w:kern w:val="0"/>
          <w:sz w:val="28"/>
          <w:szCs w:val="28"/>
        </w:rPr>
        <w:t>厂</w:t>
      </w:r>
    </w:p>
    <w:p w14:paraId="49A7A306">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kern w:val="0"/>
          <w:sz w:val="28"/>
          <w:szCs w:val="28"/>
        </w:rPr>
        <w:t>洪范池镇目前没有污水处理厂。</w:t>
      </w:r>
      <w:r>
        <w:rPr>
          <w:rFonts w:hint="eastAsia"/>
          <w:color w:val="000000" w:themeColor="text1"/>
          <w:sz w:val="28"/>
          <w:szCs w:val="28"/>
        </w:rPr>
        <w:t>规划建设</w:t>
      </w:r>
      <w:r>
        <w:rPr>
          <w:rFonts w:hint="eastAsia"/>
          <w:color w:val="000000" w:themeColor="text1"/>
          <w:kern w:val="0"/>
          <w:sz w:val="28"/>
          <w:szCs w:val="28"/>
        </w:rPr>
        <w:t>洪范池镇</w:t>
      </w:r>
      <w:r>
        <w:rPr>
          <w:rFonts w:hint="eastAsia"/>
          <w:color w:val="000000" w:themeColor="text1"/>
          <w:sz w:val="28"/>
          <w:szCs w:val="28"/>
        </w:rPr>
        <w:t>污水处理厂，其位于汇泉路北段，镇区北约260m处，占地面积0.5hm</w:t>
      </w:r>
      <w:r>
        <w:rPr>
          <w:color w:val="000000" w:themeColor="text1"/>
          <w:sz w:val="28"/>
          <w:szCs w:val="28"/>
          <w:vertAlign w:val="superscript"/>
        </w:rPr>
        <w:t>2</w:t>
      </w:r>
      <w:r>
        <w:rPr>
          <w:rFonts w:hint="eastAsia"/>
          <w:color w:val="000000" w:themeColor="text1"/>
          <w:sz w:val="28"/>
          <w:szCs w:val="28"/>
        </w:rPr>
        <w:t>。</w:t>
      </w:r>
      <w:r>
        <w:rPr>
          <w:color w:val="000000" w:themeColor="text1"/>
          <w:sz w:val="28"/>
          <w:szCs w:val="28"/>
        </w:rPr>
        <w:t>该污水处理厂设计规模为0.2万m</w:t>
      </w:r>
      <w:r>
        <w:rPr>
          <w:color w:val="000000" w:themeColor="text1"/>
          <w:sz w:val="28"/>
          <w:szCs w:val="28"/>
          <w:vertAlign w:val="superscript"/>
        </w:rPr>
        <w:t>3</w:t>
      </w:r>
      <w:r>
        <w:rPr>
          <w:color w:val="000000" w:themeColor="text1"/>
          <w:sz w:val="28"/>
          <w:szCs w:val="28"/>
        </w:rPr>
        <w:t>/d。</w:t>
      </w:r>
    </w:p>
    <w:p w14:paraId="61FBD95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污水处理工艺采用一级预处理+二级生物脱氮除磷+三级深度处理工艺。处理水质要求除总氮外主要指标执行《地表水环境质量标准》（GB3838-2002）Ⅳ类标准，总氮执行《城镇污水处理厂污染物排放标准》（GB18918-2002）一级排放标准A标准。</w:t>
      </w:r>
    </w:p>
    <w:p w14:paraId="18AD729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（1）污水处理厂规划</w:t>
      </w:r>
    </w:p>
    <w:p w14:paraId="1BAF072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03</w:t>
      </w:r>
      <w:r>
        <w:rPr>
          <w:rFonts w:hint="eastAsia"/>
          <w:color w:val="000000" w:themeColor="text1"/>
          <w:sz w:val="28"/>
          <w:szCs w:val="28"/>
        </w:rPr>
        <w:t>0年，平阴县根据</w:t>
      </w:r>
      <w:r>
        <w:rPr>
          <w:rFonts w:hint="eastAsia"/>
          <w:color w:val="000000" w:themeColor="text1"/>
          <w:kern w:val="0"/>
          <w:sz w:val="28"/>
          <w:szCs w:val="28"/>
        </w:rPr>
        <w:t>洪范池镇</w:t>
      </w:r>
      <w:r>
        <w:rPr>
          <w:rFonts w:hint="eastAsia"/>
          <w:color w:val="000000" w:themeColor="text1"/>
          <w:sz w:val="28"/>
          <w:szCs w:val="28"/>
        </w:rPr>
        <w:t>的污水处理需求，对</w:t>
      </w:r>
      <w:r>
        <w:rPr>
          <w:rFonts w:hint="eastAsia"/>
          <w:color w:val="000000" w:themeColor="text1"/>
          <w:kern w:val="0"/>
          <w:sz w:val="28"/>
          <w:szCs w:val="28"/>
        </w:rPr>
        <w:t>洪范池镇</w:t>
      </w:r>
      <w:r>
        <w:rPr>
          <w:rFonts w:hint="eastAsia"/>
          <w:color w:val="000000" w:themeColor="text1"/>
          <w:sz w:val="28"/>
          <w:szCs w:val="28"/>
        </w:rPr>
        <w:t>污水处理厂进行规划建设，处理规模达到</w:t>
      </w:r>
      <w:r>
        <w:rPr>
          <w:color w:val="000000" w:themeColor="text1"/>
          <w:sz w:val="28"/>
          <w:szCs w:val="28"/>
        </w:rPr>
        <w:t>0.2</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/d。</w:t>
      </w:r>
    </w:p>
    <w:p w14:paraId="4A96AB63">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20</w:t>
      </w:r>
      <w:r>
        <w:rPr>
          <w:rFonts w:hint="eastAsia"/>
          <w:color w:val="000000" w:themeColor="text1"/>
          <w:sz w:val="28"/>
          <w:szCs w:val="28"/>
        </w:rPr>
        <w:t>35年，</w:t>
      </w:r>
      <w:r>
        <w:rPr>
          <w:rFonts w:hint="eastAsia"/>
          <w:color w:val="000000" w:themeColor="text1"/>
          <w:kern w:val="0"/>
          <w:sz w:val="28"/>
          <w:szCs w:val="28"/>
        </w:rPr>
        <w:t>洪范池镇</w:t>
      </w:r>
      <w:r>
        <w:rPr>
          <w:color w:val="000000" w:themeColor="text1"/>
          <w:sz w:val="28"/>
          <w:szCs w:val="28"/>
        </w:rPr>
        <w:t>污水处理厂</w:t>
      </w:r>
      <w:r>
        <w:rPr>
          <w:rFonts w:hint="eastAsia"/>
          <w:color w:val="000000" w:themeColor="text1"/>
          <w:sz w:val="28"/>
          <w:szCs w:val="28"/>
        </w:rPr>
        <w:t>无扩建计划，处理规模为</w:t>
      </w:r>
      <w:r>
        <w:rPr>
          <w:color w:val="000000" w:themeColor="text1"/>
          <w:sz w:val="28"/>
          <w:szCs w:val="28"/>
        </w:rPr>
        <w:t>0</w:t>
      </w:r>
      <w:r>
        <w:rPr>
          <w:rFonts w:hint="eastAsia"/>
          <w:color w:val="000000" w:themeColor="text1"/>
          <w:sz w:val="28"/>
          <w:szCs w:val="28"/>
        </w:rPr>
        <w:t>.2万m</w:t>
      </w:r>
      <w:r>
        <w:rPr>
          <w:rFonts w:hint="eastAsia"/>
          <w:color w:val="000000" w:themeColor="text1"/>
          <w:sz w:val="28"/>
          <w:szCs w:val="28"/>
          <w:vertAlign w:val="superscript"/>
        </w:rPr>
        <w:t>3</w:t>
      </w:r>
      <w:r>
        <w:rPr>
          <w:rFonts w:hint="eastAsia"/>
          <w:color w:val="000000" w:themeColor="text1"/>
          <w:sz w:val="28"/>
          <w:szCs w:val="28"/>
        </w:rPr>
        <w:t>/d。</w:t>
      </w:r>
    </w:p>
    <w:p w14:paraId="24B2C3B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（2）污水系统及管线布置</w:t>
      </w:r>
    </w:p>
    <w:p w14:paraId="651E112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洪范池镇南高北低，浪溪河由南向北穿镇而过，东西两侧均坡向浪溪河。污水主干管沿浪溪河东侧镇主干道汇泉路由南向北敷设，接入污水处理厂，以浪溪河及其支流为界分东南及西北2个污水分区。</w:t>
      </w:r>
    </w:p>
    <w:p w14:paraId="7644793D">
      <w:pPr>
        <w:autoSpaceDE w:val="0"/>
        <w:autoSpaceDN w:val="0"/>
        <w:adjustRightInd w:val="0"/>
        <w:snapToGrid w:val="0"/>
        <w:spacing w:line="600" w:lineRule="exact"/>
        <w:textAlignment w:val="bottom"/>
        <w:outlineLvl w:val="2"/>
        <w:rPr>
          <w:b/>
          <w:color w:val="000000" w:themeColor="text1"/>
          <w:sz w:val="28"/>
          <w:szCs w:val="28"/>
        </w:rPr>
      </w:pPr>
      <w:bookmarkStart w:id="167" w:name="_Toc143780505"/>
      <w:bookmarkStart w:id="168" w:name="_Toc144243734"/>
      <w:r>
        <w:rPr>
          <w:b/>
          <w:color w:val="000000" w:themeColor="text1"/>
          <w:sz w:val="28"/>
          <w:szCs w:val="28"/>
        </w:rPr>
        <w:t>5.</w:t>
      </w:r>
      <w:r>
        <w:rPr>
          <w:rFonts w:hint="eastAsia"/>
          <w:b/>
          <w:color w:val="000000" w:themeColor="text1"/>
          <w:sz w:val="28"/>
          <w:szCs w:val="28"/>
        </w:rPr>
        <w:t>2</w:t>
      </w:r>
      <w:r>
        <w:rPr>
          <w:b/>
          <w:color w:val="000000" w:themeColor="text1"/>
          <w:sz w:val="28"/>
          <w:szCs w:val="28"/>
        </w:rPr>
        <w:t xml:space="preserve">.3  </w:t>
      </w:r>
      <w:r>
        <w:rPr>
          <w:rFonts w:hint="eastAsia"/>
          <w:b/>
          <w:color w:val="000000" w:themeColor="text1"/>
          <w:sz w:val="28"/>
          <w:szCs w:val="28"/>
        </w:rPr>
        <w:t>规划年污水处理规模</w:t>
      </w:r>
      <w:bookmarkEnd w:id="167"/>
      <w:bookmarkEnd w:id="168"/>
    </w:p>
    <w:p w14:paraId="6949B8F4">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根据</w:t>
      </w:r>
      <w:r>
        <w:rPr>
          <w:rFonts w:hint="eastAsia"/>
          <w:color w:val="000000" w:themeColor="text1"/>
          <w:kern w:val="0"/>
          <w:sz w:val="28"/>
          <w:szCs w:val="28"/>
          <w:lang w:val="zh-CN"/>
        </w:rPr>
        <w:t>《平阴县城乡污水处理统筹规划（2</w:t>
      </w:r>
      <w:r>
        <w:rPr>
          <w:color w:val="000000" w:themeColor="text1"/>
          <w:kern w:val="0"/>
          <w:sz w:val="28"/>
          <w:szCs w:val="28"/>
          <w:lang w:val="zh-CN"/>
        </w:rPr>
        <w:t>017</w:t>
      </w:r>
      <w:r>
        <w:rPr>
          <w:rFonts w:hint="eastAsia"/>
          <w:color w:val="000000" w:themeColor="text1"/>
          <w:kern w:val="0"/>
          <w:sz w:val="28"/>
          <w:szCs w:val="28"/>
          <w:lang w:val="zh-CN"/>
        </w:rPr>
        <w:t>—</w:t>
      </w:r>
      <w:r>
        <w:rPr>
          <w:color w:val="000000" w:themeColor="text1"/>
          <w:kern w:val="0"/>
          <w:sz w:val="28"/>
          <w:szCs w:val="28"/>
          <w:lang w:val="zh-CN"/>
        </w:rPr>
        <w:t>2035</w:t>
      </w:r>
      <w:r>
        <w:rPr>
          <w:rFonts w:hint="eastAsia"/>
          <w:color w:val="000000" w:themeColor="text1"/>
          <w:kern w:val="0"/>
          <w:sz w:val="28"/>
          <w:szCs w:val="28"/>
          <w:lang w:val="zh-CN"/>
        </w:rPr>
        <w:t>年）》和平阴县水务局提供资料统计可知，平阴县现状污水处理规模为6</w:t>
      </w:r>
      <w:r>
        <w:rPr>
          <w:color w:val="000000" w:themeColor="text1"/>
          <w:kern w:val="0"/>
          <w:sz w:val="28"/>
          <w:szCs w:val="28"/>
          <w:lang w:val="zh-CN"/>
        </w:rPr>
        <w:t>.0</w:t>
      </w:r>
      <w:r>
        <w:rPr>
          <w:color w:val="000000" w:themeColor="text1"/>
          <w:sz w:val="28"/>
          <w:szCs w:val="28"/>
        </w:rPr>
        <w:t>万m</w:t>
      </w:r>
      <w:r>
        <w:rPr>
          <w:rFonts w:hint="eastAsia"/>
          <w:color w:val="000000" w:themeColor="text1"/>
          <w:sz w:val="28"/>
          <w:szCs w:val="28"/>
          <w:vertAlign w:val="superscript"/>
        </w:rPr>
        <w:t>3</w:t>
      </w:r>
      <w:r>
        <w:rPr>
          <w:color w:val="000000" w:themeColor="text1"/>
          <w:sz w:val="28"/>
          <w:szCs w:val="28"/>
        </w:rPr>
        <w:t>/d</w:t>
      </w:r>
      <w:r>
        <w:rPr>
          <w:rFonts w:hint="eastAsia"/>
          <w:color w:val="000000" w:themeColor="text1"/>
          <w:sz w:val="28"/>
          <w:szCs w:val="28"/>
        </w:rPr>
        <w:t>；2</w:t>
      </w:r>
      <w:r>
        <w:rPr>
          <w:color w:val="000000" w:themeColor="text1"/>
          <w:sz w:val="28"/>
          <w:szCs w:val="28"/>
        </w:rPr>
        <w:t>0</w:t>
      </w:r>
      <w:r>
        <w:rPr>
          <w:rFonts w:hint="eastAsia"/>
          <w:color w:val="000000" w:themeColor="text1"/>
          <w:sz w:val="28"/>
          <w:szCs w:val="28"/>
        </w:rPr>
        <w:t>30年平阴县污水处理厂的</w:t>
      </w:r>
      <w:r>
        <w:rPr>
          <w:color w:val="000000" w:themeColor="text1"/>
          <w:sz w:val="28"/>
          <w:szCs w:val="28"/>
        </w:rPr>
        <w:t>设计日处理规模</w:t>
      </w:r>
      <w:r>
        <w:rPr>
          <w:rFonts w:hint="eastAsia"/>
          <w:color w:val="000000" w:themeColor="text1"/>
          <w:sz w:val="28"/>
          <w:szCs w:val="28"/>
        </w:rPr>
        <w:t>为10.7</w:t>
      </w:r>
      <w:r>
        <w:rPr>
          <w:color w:val="000000" w:themeColor="text1"/>
          <w:sz w:val="28"/>
          <w:szCs w:val="28"/>
        </w:rPr>
        <w:t>万m</w:t>
      </w:r>
      <w:r>
        <w:rPr>
          <w:rFonts w:hint="eastAsia"/>
          <w:color w:val="000000" w:themeColor="text1"/>
          <w:sz w:val="28"/>
          <w:szCs w:val="28"/>
          <w:vertAlign w:val="superscript"/>
        </w:rPr>
        <w:t>3</w:t>
      </w:r>
      <w:r>
        <w:rPr>
          <w:color w:val="000000" w:themeColor="text1"/>
          <w:sz w:val="28"/>
          <w:szCs w:val="28"/>
        </w:rPr>
        <w:t>/d</w:t>
      </w: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年平阴县污水处理厂的</w:t>
      </w:r>
      <w:r>
        <w:rPr>
          <w:color w:val="000000" w:themeColor="text1"/>
          <w:sz w:val="28"/>
          <w:szCs w:val="28"/>
        </w:rPr>
        <w:t>设计日处理规模</w:t>
      </w:r>
      <w:r>
        <w:rPr>
          <w:rFonts w:hint="eastAsia"/>
          <w:color w:val="000000" w:themeColor="text1"/>
          <w:sz w:val="28"/>
          <w:szCs w:val="28"/>
        </w:rPr>
        <w:t>将达到1</w:t>
      </w:r>
      <w:r>
        <w:rPr>
          <w:color w:val="000000" w:themeColor="text1"/>
          <w:sz w:val="28"/>
          <w:szCs w:val="28"/>
        </w:rPr>
        <w:t>3.</w:t>
      </w:r>
      <w:r>
        <w:rPr>
          <w:rFonts w:hint="eastAsia"/>
          <w:color w:val="000000" w:themeColor="text1"/>
          <w:sz w:val="28"/>
          <w:szCs w:val="28"/>
        </w:rPr>
        <w:t>5</w:t>
      </w:r>
      <w:r>
        <w:rPr>
          <w:color w:val="000000" w:themeColor="text1"/>
          <w:sz w:val="28"/>
          <w:szCs w:val="28"/>
        </w:rPr>
        <w:t>万m</w:t>
      </w:r>
      <w:r>
        <w:rPr>
          <w:rFonts w:hint="eastAsia"/>
          <w:color w:val="000000" w:themeColor="text1"/>
          <w:sz w:val="28"/>
          <w:szCs w:val="28"/>
          <w:vertAlign w:val="superscript"/>
        </w:rPr>
        <w:t>3</w:t>
      </w:r>
      <w:r>
        <w:rPr>
          <w:color w:val="000000" w:themeColor="text1"/>
          <w:sz w:val="28"/>
          <w:szCs w:val="28"/>
        </w:rPr>
        <w:t>/d</w:t>
      </w:r>
      <w:r>
        <w:rPr>
          <w:rFonts w:hint="eastAsia"/>
          <w:color w:val="000000" w:themeColor="text1"/>
          <w:sz w:val="28"/>
          <w:szCs w:val="28"/>
        </w:rPr>
        <w:t>，具体详见表</w:t>
      </w:r>
      <w:r>
        <w:rPr>
          <w:color w:val="000000" w:themeColor="text1"/>
          <w:sz w:val="28"/>
          <w:szCs w:val="28"/>
        </w:rPr>
        <w:t>5.</w:t>
      </w:r>
      <w:r>
        <w:rPr>
          <w:rFonts w:hint="eastAsia"/>
          <w:color w:val="000000" w:themeColor="text1"/>
          <w:sz w:val="28"/>
          <w:szCs w:val="28"/>
        </w:rPr>
        <w:t>2</w:t>
      </w:r>
      <w:r>
        <w:rPr>
          <w:color w:val="000000" w:themeColor="text1"/>
          <w:sz w:val="28"/>
          <w:szCs w:val="28"/>
        </w:rPr>
        <w:t>-3</w:t>
      </w:r>
      <w:r>
        <w:rPr>
          <w:rFonts w:hint="eastAsia"/>
          <w:color w:val="000000" w:themeColor="text1"/>
          <w:sz w:val="28"/>
          <w:szCs w:val="28"/>
        </w:rPr>
        <w:t>。</w:t>
      </w:r>
    </w:p>
    <w:p w14:paraId="68A9FAEE">
      <w:pPr>
        <w:keepNext/>
        <w:autoSpaceDE w:val="0"/>
        <w:autoSpaceDN w:val="0"/>
        <w:spacing w:line="600" w:lineRule="exact"/>
        <w:jc w:val="right"/>
        <w:textAlignment w:val="baseline"/>
        <w:rPr>
          <w:b/>
          <w:bCs/>
          <w:color w:val="000000" w:themeColor="text1"/>
          <w:sz w:val="24"/>
        </w:rPr>
      </w:pPr>
      <w:r>
        <w:rPr>
          <w:rFonts w:hint="eastAsia"/>
          <w:b/>
          <w:bCs/>
          <w:color w:val="000000" w:themeColor="text1"/>
          <w:sz w:val="24"/>
        </w:rPr>
        <w:t>表</w:t>
      </w:r>
      <w:r>
        <w:rPr>
          <w:b/>
          <w:bCs/>
          <w:color w:val="000000" w:themeColor="text1"/>
          <w:sz w:val="24"/>
        </w:rPr>
        <w:t>5.</w:t>
      </w:r>
      <w:r>
        <w:rPr>
          <w:rFonts w:hint="eastAsia"/>
          <w:b/>
          <w:bCs/>
          <w:color w:val="000000" w:themeColor="text1"/>
          <w:sz w:val="24"/>
        </w:rPr>
        <w:t>2</w:t>
      </w:r>
      <w:r>
        <w:rPr>
          <w:b/>
          <w:bCs/>
          <w:color w:val="000000" w:themeColor="text1"/>
          <w:sz w:val="24"/>
        </w:rPr>
        <w:t xml:space="preserve">-3  </w:t>
      </w:r>
      <w:r>
        <w:rPr>
          <w:rFonts w:hint="eastAsia"/>
          <w:b/>
          <w:bCs/>
          <w:color w:val="000000" w:themeColor="text1"/>
          <w:sz w:val="24"/>
        </w:rPr>
        <w:t xml:space="preserve">平阴县污水处理厂现状及规划年处理规模统计表 </w:t>
      </w:r>
      <w:r>
        <w:rPr>
          <w:b/>
          <w:bCs/>
          <w:color w:val="000000" w:themeColor="text1"/>
          <w:sz w:val="24"/>
        </w:rPr>
        <w:t xml:space="preserve">     </w:t>
      </w:r>
      <w:r>
        <w:rPr>
          <w:rFonts w:hint="eastAsia"/>
          <w:b/>
          <w:bCs/>
          <w:color w:val="000000" w:themeColor="text1"/>
          <w:sz w:val="24"/>
        </w:rPr>
        <w:t>单位：万m</w:t>
      </w:r>
      <w:r>
        <w:rPr>
          <w:b/>
          <w:bCs/>
          <w:color w:val="000000" w:themeColor="text1"/>
          <w:sz w:val="24"/>
          <w:vertAlign w:val="superscript"/>
        </w:rPr>
        <w:t>3</w:t>
      </w:r>
      <w:r>
        <w:rPr>
          <w:b/>
          <w:bCs/>
          <w:color w:val="000000" w:themeColor="text1"/>
          <w:sz w:val="24"/>
        </w:rPr>
        <w:t>/d</w:t>
      </w:r>
    </w:p>
    <w:tbl>
      <w:tblPr>
        <w:tblStyle w:val="46"/>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134"/>
        <w:gridCol w:w="2977"/>
        <w:gridCol w:w="992"/>
        <w:gridCol w:w="1276"/>
        <w:gridCol w:w="1326"/>
      </w:tblGrid>
      <w:tr w14:paraId="507FF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vMerge w:val="restart"/>
            <w:noWrap/>
            <w:vAlign w:val="center"/>
          </w:tcPr>
          <w:p w14:paraId="692DF8D9">
            <w:pPr>
              <w:widowControl/>
              <w:jc w:val="center"/>
              <w:rPr>
                <w:color w:val="000000" w:themeColor="text1"/>
                <w:kern w:val="0"/>
                <w:sz w:val="22"/>
                <w:szCs w:val="22"/>
              </w:rPr>
            </w:pPr>
            <w:r>
              <w:rPr>
                <w:color w:val="000000" w:themeColor="text1"/>
                <w:kern w:val="0"/>
                <w:sz w:val="22"/>
                <w:szCs w:val="22"/>
              </w:rPr>
              <w:t>序号</w:t>
            </w:r>
          </w:p>
        </w:tc>
        <w:tc>
          <w:tcPr>
            <w:tcW w:w="1134" w:type="dxa"/>
            <w:vMerge w:val="restart"/>
            <w:noWrap/>
            <w:vAlign w:val="center"/>
          </w:tcPr>
          <w:p w14:paraId="23B08210">
            <w:pPr>
              <w:widowControl/>
              <w:jc w:val="center"/>
              <w:rPr>
                <w:color w:val="000000" w:themeColor="text1"/>
                <w:kern w:val="0"/>
                <w:sz w:val="22"/>
                <w:szCs w:val="22"/>
              </w:rPr>
            </w:pPr>
            <w:r>
              <w:rPr>
                <w:color w:val="000000" w:themeColor="text1"/>
                <w:kern w:val="0"/>
                <w:sz w:val="22"/>
                <w:szCs w:val="22"/>
              </w:rPr>
              <w:t>分区</w:t>
            </w:r>
          </w:p>
        </w:tc>
        <w:tc>
          <w:tcPr>
            <w:tcW w:w="2977" w:type="dxa"/>
            <w:vMerge w:val="restart"/>
            <w:noWrap/>
            <w:vAlign w:val="center"/>
          </w:tcPr>
          <w:p w14:paraId="457A6280">
            <w:pPr>
              <w:widowControl/>
              <w:jc w:val="center"/>
              <w:rPr>
                <w:color w:val="000000" w:themeColor="text1"/>
                <w:kern w:val="0"/>
                <w:sz w:val="22"/>
                <w:szCs w:val="22"/>
              </w:rPr>
            </w:pPr>
            <w:r>
              <w:rPr>
                <w:color w:val="000000" w:themeColor="text1"/>
                <w:kern w:val="0"/>
                <w:sz w:val="22"/>
                <w:szCs w:val="22"/>
              </w:rPr>
              <w:t>污水处理厂名称</w:t>
            </w:r>
          </w:p>
        </w:tc>
        <w:tc>
          <w:tcPr>
            <w:tcW w:w="3594" w:type="dxa"/>
            <w:gridSpan w:val="3"/>
            <w:noWrap/>
            <w:vAlign w:val="center"/>
          </w:tcPr>
          <w:p w14:paraId="7E244535">
            <w:pPr>
              <w:widowControl/>
              <w:jc w:val="center"/>
              <w:rPr>
                <w:color w:val="000000" w:themeColor="text1"/>
                <w:kern w:val="0"/>
                <w:sz w:val="22"/>
                <w:szCs w:val="22"/>
              </w:rPr>
            </w:pPr>
            <w:r>
              <w:rPr>
                <w:rFonts w:hint="eastAsia"/>
                <w:color w:val="000000" w:themeColor="text1"/>
                <w:kern w:val="0"/>
                <w:sz w:val="22"/>
                <w:szCs w:val="22"/>
              </w:rPr>
              <w:t>污水</w:t>
            </w:r>
            <w:r>
              <w:rPr>
                <w:color w:val="000000" w:themeColor="text1"/>
                <w:kern w:val="0"/>
                <w:sz w:val="22"/>
                <w:szCs w:val="22"/>
              </w:rPr>
              <w:t>处理规模</w:t>
            </w:r>
          </w:p>
        </w:tc>
      </w:tr>
      <w:tr w14:paraId="03C74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vMerge w:val="continue"/>
            <w:noWrap/>
            <w:vAlign w:val="center"/>
          </w:tcPr>
          <w:p w14:paraId="3AFAC96B">
            <w:pPr>
              <w:widowControl/>
              <w:jc w:val="center"/>
              <w:rPr>
                <w:color w:val="000000" w:themeColor="text1"/>
                <w:kern w:val="0"/>
                <w:sz w:val="22"/>
                <w:szCs w:val="22"/>
              </w:rPr>
            </w:pPr>
          </w:p>
        </w:tc>
        <w:tc>
          <w:tcPr>
            <w:tcW w:w="1134" w:type="dxa"/>
            <w:vMerge w:val="continue"/>
            <w:noWrap/>
            <w:vAlign w:val="center"/>
          </w:tcPr>
          <w:p w14:paraId="420DE7C9">
            <w:pPr>
              <w:widowControl/>
              <w:jc w:val="center"/>
              <w:rPr>
                <w:color w:val="000000" w:themeColor="text1"/>
                <w:kern w:val="0"/>
                <w:sz w:val="22"/>
                <w:szCs w:val="22"/>
              </w:rPr>
            </w:pPr>
          </w:p>
        </w:tc>
        <w:tc>
          <w:tcPr>
            <w:tcW w:w="2977" w:type="dxa"/>
            <w:vMerge w:val="continue"/>
            <w:noWrap/>
            <w:vAlign w:val="center"/>
          </w:tcPr>
          <w:p w14:paraId="2A81E2A9">
            <w:pPr>
              <w:widowControl/>
              <w:jc w:val="center"/>
              <w:rPr>
                <w:color w:val="000000" w:themeColor="text1"/>
                <w:kern w:val="0"/>
                <w:sz w:val="22"/>
                <w:szCs w:val="22"/>
              </w:rPr>
            </w:pPr>
          </w:p>
        </w:tc>
        <w:tc>
          <w:tcPr>
            <w:tcW w:w="992" w:type="dxa"/>
            <w:noWrap/>
            <w:vAlign w:val="center"/>
          </w:tcPr>
          <w:p w14:paraId="74EEBDE8">
            <w:pPr>
              <w:widowControl/>
              <w:jc w:val="center"/>
              <w:rPr>
                <w:color w:val="000000" w:themeColor="text1"/>
                <w:kern w:val="0"/>
                <w:sz w:val="22"/>
                <w:szCs w:val="22"/>
              </w:rPr>
            </w:pPr>
            <w:r>
              <w:rPr>
                <w:color w:val="000000" w:themeColor="text1"/>
                <w:kern w:val="0"/>
                <w:sz w:val="22"/>
                <w:szCs w:val="22"/>
              </w:rPr>
              <w:t>202</w:t>
            </w:r>
            <w:r>
              <w:rPr>
                <w:rFonts w:hint="eastAsia"/>
                <w:color w:val="000000" w:themeColor="text1"/>
                <w:kern w:val="0"/>
                <w:sz w:val="22"/>
                <w:szCs w:val="22"/>
              </w:rPr>
              <w:t>3</w:t>
            </w:r>
            <w:r>
              <w:rPr>
                <w:color w:val="000000" w:themeColor="text1"/>
                <w:kern w:val="0"/>
                <w:sz w:val="22"/>
                <w:szCs w:val="22"/>
              </w:rPr>
              <w:t>年</w:t>
            </w:r>
          </w:p>
        </w:tc>
        <w:tc>
          <w:tcPr>
            <w:tcW w:w="1276" w:type="dxa"/>
            <w:vAlign w:val="center"/>
          </w:tcPr>
          <w:p w14:paraId="05F864F2">
            <w:pPr>
              <w:widowControl/>
              <w:jc w:val="center"/>
              <w:rPr>
                <w:color w:val="000000" w:themeColor="text1"/>
                <w:kern w:val="0"/>
                <w:sz w:val="22"/>
                <w:szCs w:val="22"/>
              </w:rPr>
            </w:pPr>
            <w:r>
              <w:rPr>
                <w:color w:val="000000" w:themeColor="text1"/>
                <w:kern w:val="0"/>
                <w:sz w:val="22"/>
                <w:szCs w:val="22"/>
              </w:rPr>
              <w:t>20</w:t>
            </w:r>
            <w:r>
              <w:rPr>
                <w:rFonts w:hint="eastAsia"/>
                <w:color w:val="000000" w:themeColor="text1"/>
                <w:kern w:val="0"/>
                <w:sz w:val="22"/>
                <w:szCs w:val="22"/>
              </w:rPr>
              <w:t>30</w:t>
            </w:r>
            <w:r>
              <w:rPr>
                <w:color w:val="000000" w:themeColor="text1"/>
                <w:kern w:val="0"/>
                <w:sz w:val="22"/>
                <w:szCs w:val="22"/>
              </w:rPr>
              <w:t>年</w:t>
            </w:r>
          </w:p>
        </w:tc>
        <w:tc>
          <w:tcPr>
            <w:tcW w:w="1326" w:type="dxa"/>
            <w:vAlign w:val="center"/>
          </w:tcPr>
          <w:p w14:paraId="53E142A9">
            <w:pPr>
              <w:widowControl/>
              <w:jc w:val="center"/>
              <w:rPr>
                <w:color w:val="000000" w:themeColor="text1"/>
                <w:kern w:val="0"/>
                <w:sz w:val="22"/>
                <w:szCs w:val="22"/>
              </w:rPr>
            </w:pPr>
            <w:r>
              <w:rPr>
                <w:color w:val="000000" w:themeColor="text1"/>
                <w:kern w:val="0"/>
                <w:sz w:val="22"/>
                <w:szCs w:val="22"/>
              </w:rPr>
              <w:t>2035年</w:t>
            </w:r>
          </w:p>
        </w:tc>
      </w:tr>
      <w:tr w14:paraId="04766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579AEEE4">
            <w:pPr>
              <w:widowControl/>
              <w:jc w:val="center"/>
              <w:rPr>
                <w:color w:val="000000" w:themeColor="text1"/>
                <w:kern w:val="0"/>
                <w:sz w:val="22"/>
                <w:szCs w:val="22"/>
              </w:rPr>
            </w:pPr>
            <w:r>
              <w:rPr>
                <w:color w:val="000000" w:themeColor="text1"/>
                <w:kern w:val="0"/>
                <w:sz w:val="22"/>
                <w:szCs w:val="22"/>
              </w:rPr>
              <w:t>1</w:t>
            </w:r>
          </w:p>
        </w:tc>
        <w:tc>
          <w:tcPr>
            <w:tcW w:w="1134" w:type="dxa"/>
            <w:vMerge w:val="restart"/>
            <w:noWrap/>
            <w:vAlign w:val="center"/>
          </w:tcPr>
          <w:p w14:paraId="660AB237">
            <w:pPr>
              <w:widowControl/>
              <w:jc w:val="center"/>
              <w:rPr>
                <w:color w:val="000000" w:themeColor="text1"/>
                <w:kern w:val="0"/>
                <w:sz w:val="22"/>
                <w:szCs w:val="22"/>
              </w:rPr>
            </w:pPr>
            <w:r>
              <w:rPr>
                <w:color w:val="000000" w:themeColor="text1"/>
                <w:kern w:val="0"/>
                <w:sz w:val="22"/>
                <w:szCs w:val="22"/>
              </w:rPr>
              <w:t>中心</w:t>
            </w:r>
          </w:p>
          <w:p w14:paraId="6DCB8621">
            <w:pPr>
              <w:widowControl/>
              <w:jc w:val="center"/>
              <w:rPr>
                <w:color w:val="000000" w:themeColor="text1"/>
                <w:kern w:val="0"/>
                <w:sz w:val="22"/>
                <w:szCs w:val="22"/>
              </w:rPr>
            </w:pPr>
            <w:r>
              <w:rPr>
                <w:color w:val="000000" w:themeColor="text1"/>
                <w:kern w:val="0"/>
                <w:sz w:val="22"/>
                <w:szCs w:val="22"/>
              </w:rPr>
              <w:t>城区</w:t>
            </w:r>
          </w:p>
        </w:tc>
        <w:tc>
          <w:tcPr>
            <w:tcW w:w="2977" w:type="dxa"/>
            <w:noWrap/>
            <w:vAlign w:val="center"/>
          </w:tcPr>
          <w:p w14:paraId="33E59002">
            <w:pPr>
              <w:widowControl/>
              <w:jc w:val="center"/>
              <w:rPr>
                <w:color w:val="000000" w:themeColor="text1"/>
                <w:kern w:val="0"/>
                <w:sz w:val="22"/>
                <w:szCs w:val="22"/>
              </w:rPr>
            </w:pPr>
            <w:r>
              <w:rPr>
                <w:color w:val="000000" w:themeColor="text1"/>
                <w:kern w:val="0"/>
                <w:sz w:val="22"/>
                <w:szCs w:val="22"/>
              </w:rPr>
              <w:t>平阴水务发展有限公司（一厂）</w:t>
            </w:r>
          </w:p>
        </w:tc>
        <w:tc>
          <w:tcPr>
            <w:tcW w:w="992" w:type="dxa"/>
            <w:noWrap/>
            <w:vAlign w:val="center"/>
          </w:tcPr>
          <w:p w14:paraId="08D2657C">
            <w:pPr>
              <w:widowControl/>
              <w:jc w:val="center"/>
              <w:rPr>
                <w:color w:val="000000" w:themeColor="text1"/>
                <w:kern w:val="0"/>
                <w:sz w:val="22"/>
                <w:szCs w:val="22"/>
              </w:rPr>
            </w:pPr>
            <w:r>
              <w:rPr>
                <w:color w:val="000000" w:themeColor="text1"/>
                <w:kern w:val="0"/>
                <w:sz w:val="22"/>
                <w:szCs w:val="22"/>
              </w:rPr>
              <w:t>4</w:t>
            </w:r>
          </w:p>
        </w:tc>
        <w:tc>
          <w:tcPr>
            <w:tcW w:w="1276" w:type="dxa"/>
            <w:noWrap/>
            <w:vAlign w:val="center"/>
          </w:tcPr>
          <w:p w14:paraId="0A8C07D6">
            <w:pPr>
              <w:widowControl/>
              <w:jc w:val="center"/>
              <w:rPr>
                <w:color w:val="000000" w:themeColor="text1"/>
                <w:kern w:val="0"/>
                <w:sz w:val="22"/>
                <w:szCs w:val="22"/>
              </w:rPr>
            </w:pPr>
            <w:r>
              <w:rPr>
                <w:color w:val="000000" w:themeColor="text1"/>
                <w:kern w:val="0"/>
                <w:sz w:val="22"/>
                <w:szCs w:val="22"/>
              </w:rPr>
              <w:t>4</w:t>
            </w:r>
          </w:p>
        </w:tc>
        <w:tc>
          <w:tcPr>
            <w:tcW w:w="1326" w:type="dxa"/>
            <w:noWrap/>
            <w:vAlign w:val="center"/>
          </w:tcPr>
          <w:p w14:paraId="391562A7">
            <w:pPr>
              <w:widowControl/>
              <w:jc w:val="center"/>
              <w:rPr>
                <w:color w:val="000000" w:themeColor="text1"/>
                <w:kern w:val="0"/>
                <w:sz w:val="22"/>
                <w:szCs w:val="22"/>
              </w:rPr>
            </w:pPr>
            <w:r>
              <w:rPr>
                <w:color w:val="000000" w:themeColor="text1"/>
                <w:kern w:val="0"/>
                <w:sz w:val="22"/>
                <w:szCs w:val="22"/>
              </w:rPr>
              <w:t>4</w:t>
            </w:r>
          </w:p>
        </w:tc>
      </w:tr>
      <w:tr w14:paraId="64DE4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4D3BA1F2">
            <w:pPr>
              <w:widowControl/>
              <w:jc w:val="center"/>
              <w:rPr>
                <w:color w:val="000000" w:themeColor="text1"/>
                <w:kern w:val="0"/>
                <w:sz w:val="22"/>
                <w:szCs w:val="22"/>
              </w:rPr>
            </w:pPr>
            <w:r>
              <w:rPr>
                <w:color w:val="000000" w:themeColor="text1"/>
                <w:kern w:val="0"/>
                <w:sz w:val="22"/>
                <w:szCs w:val="22"/>
              </w:rPr>
              <w:t>2</w:t>
            </w:r>
          </w:p>
        </w:tc>
        <w:tc>
          <w:tcPr>
            <w:tcW w:w="1134" w:type="dxa"/>
            <w:vMerge w:val="continue"/>
            <w:vAlign w:val="center"/>
          </w:tcPr>
          <w:p w14:paraId="03C09E94">
            <w:pPr>
              <w:widowControl/>
              <w:jc w:val="center"/>
              <w:rPr>
                <w:color w:val="000000" w:themeColor="text1"/>
                <w:kern w:val="0"/>
                <w:sz w:val="22"/>
                <w:szCs w:val="22"/>
              </w:rPr>
            </w:pPr>
          </w:p>
        </w:tc>
        <w:tc>
          <w:tcPr>
            <w:tcW w:w="2977" w:type="dxa"/>
            <w:noWrap/>
            <w:vAlign w:val="center"/>
          </w:tcPr>
          <w:p w14:paraId="0F904931">
            <w:pPr>
              <w:widowControl/>
              <w:jc w:val="center"/>
              <w:rPr>
                <w:color w:val="000000" w:themeColor="text1"/>
                <w:kern w:val="0"/>
                <w:sz w:val="22"/>
                <w:szCs w:val="22"/>
              </w:rPr>
            </w:pPr>
            <w:r>
              <w:rPr>
                <w:rFonts w:hint="eastAsia"/>
                <w:color w:val="000000" w:themeColor="text1"/>
                <w:kern w:val="0"/>
                <w:sz w:val="22"/>
                <w:szCs w:val="22"/>
              </w:rPr>
              <w:t>锦水河西支综合治理工程</w:t>
            </w:r>
          </w:p>
        </w:tc>
        <w:tc>
          <w:tcPr>
            <w:tcW w:w="992" w:type="dxa"/>
            <w:noWrap/>
            <w:vAlign w:val="center"/>
          </w:tcPr>
          <w:p w14:paraId="2D54A3D6">
            <w:pPr>
              <w:widowControl/>
              <w:jc w:val="center"/>
              <w:rPr>
                <w:color w:val="000000" w:themeColor="text1"/>
                <w:kern w:val="0"/>
                <w:sz w:val="22"/>
                <w:szCs w:val="22"/>
              </w:rPr>
            </w:pPr>
            <w:r>
              <w:rPr>
                <w:color w:val="000000" w:themeColor="text1"/>
                <w:kern w:val="0"/>
                <w:sz w:val="22"/>
                <w:szCs w:val="22"/>
              </w:rPr>
              <w:t>-</w:t>
            </w:r>
          </w:p>
        </w:tc>
        <w:tc>
          <w:tcPr>
            <w:tcW w:w="1276" w:type="dxa"/>
            <w:noWrap/>
            <w:vAlign w:val="center"/>
          </w:tcPr>
          <w:p w14:paraId="231E03B6">
            <w:pPr>
              <w:widowControl/>
              <w:jc w:val="center"/>
              <w:rPr>
                <w:color w:val="000000" w:themeColor="text1"/>
                <w:kern w:val="0"/>
                <w:sz w:val="22"/>
                <w:szCs w:val="22"/>
              </w:rPr>
            </w:pPr>
            <w:r>
              <w:rPr>
                <w:rFonts w:hint="eastAsia"/>
                <w:color w:val="000000" w:themeColor="text1"/>
                <w:kern w:val="0"/>
                <w:sz w:val="22"/>
                <w:szCs w:val="22"/>
              </w:rPr>
              <w:t>4.0</w:t>
            </w:r>
          </w:p>
        </w:tc>
        <w:tc>
          <w:tcPr>
            <w:tcW w:w="1326" w:type="dxa"/>
            <w:noWrap/>
            <w:vAlign w:val="center"/>
          </w:tcPr>
          <w:p w14:paraId="51813515">
            <w:pPr>
              <w:widowControl/>
              <w:jc w:val="center"/>
              <w:rPr>
                <w:color w:val="000000" w:themeColor="text1"/>
                <w:kern w:val="0"/>
                <w:sz w:val="22"/>
                <w:szCs w:val="22"/>
              </w:rPr>
            </w:pPr>
            <w:r>
              <w:rPr>
                <w:rFonts w:hint="eastAsia"/>
                <w:color w:val="000000" w:themeColor="text1"/>
                <w:kern w:val="0"/>
                <w:sz w:val="22"/>
                <w:szCs w:val="22"/>
              </w:rPr>
              <w:t>4.0</w:t>
            </w:r>
          </w:p>
        </w:tc>
      </w:tr>
      <w:tr w14:paraId="1BC79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3EC63CF9">
            <w:pPr>
              <w:widowControl/>
              <w:jc w:val="center"/>
              <w:rPr>
                <w:color w:val="000000" w:themeColor="text1"/>
                <w:kern w:val="0"/>
                <w:sz w:val="22"/>
                <w:szCs w:val="22"/>
              </w:rPr>
            </w:pPr>
            <w:r>
              <w:rPr>
                <w:color w:val="000000" w:themeColor="text1"/>
                <w:kern w:val="0"/>
                <w:sz w:val="22"/>
                <w:szCs w:val="22"/>
              </w:rPr>
              <w:t>3</w:t>
            </w:r>
          </w:p>
        </w:tc>
        <w:tc>
          <w:tcPr>
            <w:tcW w:w="1134" w:type="dxa"/>
            <w:vMerge w:val="continue"/>
            <w:vAlign w:val="center"/>
          </w:tcPr>
          <w:p w14:paraId="561DE151">
            <w:pPr>
              <w:widowControl/>
              <w:jc w:val="center"/>
              <w:rPr>
                <w:color w:val="000000" w:themeColor="text1"/>
                <w:kern w:val="0"/>
                <w:sz w:val="22"/>
                <w:szCs w:val="22"/>
              </w:rPr>
            </w:pPr>
          </w:p>
        </w:tc>
        <w:tc>
          <w:tcPr>
            <w:tcW w:w="2977" w:type="dxa"/>
            <w:noWrap/>
            <w:vAlign w:val="center"/>
          </w:tcPr>
          <w:p w14:paraId="5359B77E">
            <w:pPr>
              <w:widowControl/>
              <w:jc w:val="center"/>
              <w:rPr>
                <w:color w:val="000000" w:themeColor="text1"/>
                <w:kern w:val="0"/>
                <w:sz w:val="22"/>
                <w:szCs w:val="22"/>
              </w:rPr>
            </w:pPr>
            <w:r>
              <w:rPr>
                <w:color w:val="000000" w:themeColor="text1"/>
                <w:kern w:val="0"/>
                <w:sz w:val="22"/>
                <w:szCs w:val="22"/>
              </w:rPr>
              <w:t>锦东新区污水处理</w:t>
            </w:r>
            <w:r>
              <w:rPr>
                <w:rFonts w:hint="eastAsia"/>
                <w:color w:val="000000" w:themeColor="text1"/>
                <w:kern w:val="0"/>
                <w:sz w:val="22"/>
                <w:szCs w:val="22"/>
              </w:rPr>
              <w:t>厂</w:t>
            </w:r>
          </w:p>
        </w:tc>
        <w:tc>
          <w:tcPr>
            <w:tcW w:w="992" w:type="dxa"/>
            <w:noWrap/>
            <w:vAlign w:val="center"/>
          </w:tcPr>
          <w:p w14:paraId="33E13929">
            <w:pPr>
              <w:widowControl/>
              <w:jc w:val="center"/>
              <w:rPr>
                <w:color w:val="000000" w:themeColor="text1"/>
                <w:kern w:val="0"/>
                <w:sz w:val="22"/>
                <w:szCs w:val="22"/>
              </w:rPr>
            </w:pPr>
            <w:r>
              <w:rPr>
                <w:color w:val="000000" w:themeColor="text1"/>
                <w:kern w:val="0"/>
                <w:sz w:val="22"/>
                <w:szCs w:val="22"/>
              </w:rPr>
              <w:t>-</w:t>
            </w:r>
          </w:p>
        </w:tc>
        <w:tc>
          <w:tcPr>
            <w:tcW w:w="1276" w:type="dxa"/>
            <w:noWrap/>
            <w:vAlign w:val="center"/>
          </w:tcPr>
          <w:p w14:paraId="625AB24F">
            <w:pPr>
              <w:widowControl/>
              <w:jc w:val="center"/>
              <w:rPr>
                <w:color w:val="000000" w:themeColor="text1"/>
                <w:kern w:val="0"/>
                <w:sz w:val="22"/>
                <w:szCs w:val="22"/>
              </w:rPr>
            </w:pPr>
            <w:r>
              <w:rPr>
                <w:color w:val="000000" w:themeColor="text1"/>
                <w:kern w:val="0"/>
                <w:sz w:val="22"/>
                <w:szCs w:val="22"/>
              </w:rPr>
              <w:t>-</w:t>
            </w:r>
          </w:p>
        </w:tc>
        <w:tc>
          <w:tcPr>
            <w:tcW w:w="1326" w:type="dxa"/>
            <w:noWrap/>
            <w:vAlign w:val="center"/>
          </w:tcPr>
          <w:p w14:paraId="4C77676D">
            <w:pPr>
              <w:widowControl/>
              <w:jc w:val="center"/>
              <w:rPr>
                <w:color w:val="000000" w:themeColor="text1"/>
                <w:kern w:val="0"/>
                <w:sz w:val="22"/>
                <w:szCs w:val="22"/>
              </w:rPr>
            </w:pPr>
            <w:r>
              <w:rPr>
                <w:color w:val="000000" w:themeColor="text1"/>
                <w:kern w:val="0"/>
                <w:sz w:val="22"/>
                <w:szCs w:val="22"/>
              </w:rPr>
              <w:t>0.6</w:t>
            </w:r>
          </w:p>
        </w:tc>
      </w:tr>
      <w:tr w14:paraId="47E38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53A7AA6B">
            <w:pPr>
              <w:widowControl/>
              <w:jc w:val="center"/>
              <w:rPr>
                <w:color w:val="000000" w:themeColor="text1"/>
                <w:kern w:val="0"/>
                <w:sz w:val="22"/>
                <w:szCs w:val="22"/>
              </w:rPr>
            </w:pPr>
            <w:r>
              <w:rPr>
                <w:color w:val="000000" w:themeColor="text1"/>
                <w:kern w:val="0"/>
                <w:sz w:val="22"/>
                <w:szCs w:val="22"/>
              </w:rPr>
              <w:t>4</w:t>
            </w:r>
          </w:p>
        </w:tc>
        <w:tc>
          <w:tcPr>
            <w:tcW w:w="1134" w:type="dxa"/>
            <w:vMerge w:val="continue"/>
            <w:vAlign w:val="center"/>
          </w:tcPr>
          <w:p w14:paraId="6241B32B">
            <w:pPr>
              <w:widowControl/>
              <w:jc w:val="center"/>
              <w:rPr>
                <w:color w:val="000000" w:themeColor="text1"/>
                <w:kern w:val="0"/>
                <w:sz w:val="22"/>
                <w:szCs w:val="22"/>
              </w:rPr>
            </w:pPr>
          </w:p>
        </w:tc>
        <w:tc>
          <w:tcPr>
            <w:tcW w:w="2977" w:type="dxa"/>
            <w:noWrap/>
            <w:vAlign w:val="center"/>
          </w:tcPr>
          <w:p w14:paraId="0D8372D5">
            <w:pPr>
              <w:widowControl/>
              <w:jc w:val="center"/>
              <w:rPr>
                <w:color w:val="000000" w:themeColor="text1"/>
                <w:kern w:val="0"/>
                <w:sz w:val="22"/>
                <w:szCs w:val="22"/>
              </w:rPr>
            </w:pPr>
            <w:r>
              <w:rPr>
                <w:color w:val="000000" w:themeColor="text1"/>
                <w:kern w:val="0"/>
                <w:sz w:val="22"/>
                <w:szCs w:val="22"/>
              </w:rPr>
              <w:t>小计</w:t>
            </w:r>
          </w:p>
        </w:tc>
        <w:tc>
          <w:tcPr>
            <w:tcW w:w="992" w:type="dxa"/>
            <w:noWrap/>
            <w:vAlign w:val="center"/>
          </w:tcPr>
          <w:p w14:paraId="06D912AD">
            <w:pPr>
              <w:widowControl/>
              <w:jc w:val="center"/>
              <w:rPr>
                <w:color w:val="000000" w:themeColor="text1"/>
                <w:kern w:val="0"/>
                <w:sz w:val="22"/>
                <w:szCs w:val="22"/>
              </w:rPr>
            </w:pPr>
            <w:r>
              <w:rPr>
                <w:color w:val="000000" w:themeColor="text1"/>
                <w:kern w:val="0"/>
                <w:sz w:val="22"/>
                <w:szCs w:val="22"/>
              </w:rPr>
              <w:t>4</w:t>
            </w:r>
          </w:p>
        </w:tc>
        <w:tc>
          <w:tcPr>
            <w:tcW w:w="1276" w:type="dxa"/>
            <w:noWrap/>
            <w:vAlign w:val="center"/>
          </w:tcPr>
          <w:p w14:paraId="50AE1A4A">
            <w:pPr>
              <w:widowControl/>
              <w:jc w:val="center"/>
              <w:rPr>
                <w:color w:val="000000" w:themeColor="text1"/>
                <w:kern w:val="0"/>
                <w:sz w:val="22"/>
                <w:szCs w:val="22"/>
              </w:rPr>
            </w:pPr>
            <w:r>
              <w:rPr>
                <w:rFonts w:hint="eastAsia"/>
                <w:color w:val="000000" w:themeColor="text1"/>
                <w:kern w:val="0"/>
                <w:sz w:val="22"/>
                <w:szCs w:val="22"/>
              </w:rPr>
              <w:t>8.0</w:t>
            </w:r>
          </w:p>
        </w:tc>
        <w:tc>
          <w:tcPr>
            <w:tcW w:w="1326" w:type="dxa"/>
            <w:noWrap/>
            <w:vAlign w:val="center"/>
          </w:tcPr>
          <w:p w14:paraId="42335F80">
            <w:pPr>
              <w:widowControl/>
              <w:jc w:val="center"/>
              <w:rPr>
                <w:color w:val="000000" w:themeColor="text1"/>
                <w:kern w:val="0"/>
                <w:sz w:val="22"/>
                <w:szCs w:val="22"/>
              </w:rPr>
            </w:pPr>
            <w:r>
              <w:rPr>
                <w:color w:val="000000" w:themeColor="text1"/>
                <w:kern w:val="0"/>
                <w:sz w:val="22"/>
                <w:szCs w:val="22"/>
              </w:rPr>
              <w:t>8.</w:t>
            </w:r>
            <w:r>
              <w:rPr>
                <w:rFonts w:hint="eastAsia"/>
                <w:color w:val="000000" w:themeColor="text1"/>
                <w:kern w:val="0"/>
                <w:sz w:val="22"/>
                <w:szCs w:val="22"/>
              </w:rPr>
              <w:t>6</w:t>
            </w:r>
          </w:p>
        </w:tc>
      </w:tr>
      <w:tr w14:paraId="13FF3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7F42DBD3">
            <w:pPr>
              <w:widowControl/>
              <w:jc w:val="center"/>
              <w:rPr>
                <w:color w:val="000000" w:themeColor="text1"/>
                <w:kern w:val="0"/>
                <w:sz w:val="22"/>
                <w:szCs w:val="22"/>
              </w:rPr>
            </w:pPr>
            <w:r>
              <w:rPr>
                <w:color w:val="000000" w:themeColor="text1"/>
                <w:kern w:val="0"/>
                <w:sz w:val="22"/>
                <w:szCs w:val="22"/>
              </w:rPr>
              <w:t>5</w:t>
            </w:r>
          </w:p>
        </w:tc>
        <w:tc>
          <w:tcPr>
            <w:tcW w:w="1134" w:type="dxa"/>
            <w:noWrap/>
            <w:vAlign w:val="center"/>
          </w:tcPr>
          <w:p w14:paraId="42F8387F">
            <w:pPr>
              <w:widowControl/>
              <w:jc w:val="center"/>
              <w:rPr>
                <w:color w:val="000000" w:themeColor="text1"/>
                <w:kern w:val="0"/>
                <w:sz w:val="22"/>
                <w:szCs w:val="22"/>
              </w:rPr>
            </w:pPr>
            <w:r>
              <w:rPr>
                <w:color w:val="000000" w:themeColor="text1"/>
                <w:kern w:val="0"/>
                <w:sz w:val="22"/>
                <w:szCs w:val="22"/>
              </w:rPr>
              <w:t>安城镇</w:t>
            </w:r>
          </w:p>
        </w:tc>
        <w:tc>
          <w:tcPr>
            <w:tcW w:w="2977" w:type="dxa"/>
            <w:noWrap/>
            <w:vAlign w:val="center"/>
          </w:tcPr>
          <w:p w14:paraId="479C29F1">
            <w:pPr>
              <w:widowControl/>
              <w:jc w:val="center"/>
              <w:rPr>
                <w:color w:val="000000" w:themeColor="text1"/>
                <w:kern w:val="0"/>
                <w:sz w:val="22"/>
                <w:szCs w:val="22"/>
              </w:rPr>
            </w:pPr>
            <w:r>
              <w:rPr>
                <w:color w:val="000000" w:themeColor="text1"/>
                <w:kern w:val="0"/>
                <w:sz w:val="22"/>
                <w:szCs w:val="22"/>
              </w:rPr>
              <w:t>平阴水务发展有限公司（二厂）</w:t>
            </w:r>
          </w:p>
        </w:tc>
        <w:tc>
          <w:tcPr>
            <w:tcW w:w="992" w:type="dxa"/>
            <w:noWrap/>
            <w:vAlign w:val="center"/>
          </w:tcPr>
          <w:p w14:paraId="4D01D92B">
            <w:pPr>
              <w:widowControl/>
              <w:jc w:val="center"/>
              <w:rPr>
                <w:color w:val="000000" w:themeColor="text1"/>
                <w:kern w:val="0"/>
                <w:sz w:val="22"/>
                <w:szCs w:val="22"/>
              </w:rPr>
            </w:pPr>
            <w:r>
              <w:rPr>
                <w:color w:val="000000" w:themeColor="text1"/>
                <w:kern w:val="0"/>
                <w:sz w:val="22"/>
                <w:szCs w:val="22"/>
              </w:rPr>
              <w:t>1</w:t>
            </w:r>
          </w:p>
        </w:tc>
        <w:tc>
          <w:tcPr>
            <w:tcW w:w="1276" w:type="dxa"/>
            <w:noWrap/>
            <w:vAlign w:val="center"/>
          </w:tcPr>
          <w:p w14:paraId="5AF51F8F">
            <w:pPr>
              <w:widowControl/>
              <w:jc w:val="center"/>
              <w:rPr>
                <w:color w:val="000000" w:themeColor="text1"/>
                <w:kern w:val="0"/>
                <w:sz w:val="22"/>
                <w:szCs w:val="22"/>
              </w:rPr>
            </w:pPr>
            <w:r>
              <w:rPr>
                <w:rFonts w:hint="eastAsia"/>
                <w:color w:val="000000" w:themeColor="text1"/>
                <w:kern w:val="0"/>
                <w:sz w:val="22"/>
                <w:szCs w:val="22"/>
              </w:rPr>
              <w:t>1</w:t>
            </w:r>
          </w:p>
        </w:tc>
        <w:tc>
          <w:tcPr>
            <w:tcW w:w="1326" w:type="dxa"/>
            <w:noWrap/>
            <w:vAlign w:val="center"/>
          </w:tcPr>
          <w:p w14:paraId="08C8A218">
            <w:pPr>
              <w:widowControl/>
              <w:jc w:val="center"/>
              <w:rPr>
                <w:color w:val="000000" w:themeColor="text1"/>
                <w:kern w:val="0"/>
                <w:sz w:val="22"/>
                <w:szCs w:val="22"/>
              </w:rPr>
            </w:pPr>
            <w:r>
              <w:rPr>
                <w:color w:val="000000" w:themeColor="text1"/>
                <w:kern w:val="0"/>
                <w:sz w:val="22"/>
                <w:szCs w:val="22"/>
              </w:rPr>
              <w:t>2</w:t>
            </w:r>
          </w:p>
        </w:tc>
      </w:tr>
      <w:tr w14:paraId="7859A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40014B79">
            <w:pPr>
              <w:widowControl/>
              <w:jc w:val="center"/>
              <w:rPr>
                <w:color w:val="000000" w:themeColor="text1"/>
                <w:kern w:val="0"/>
                <w:sz w:val="22"/>
                <w:szCs w:val="22"/>
              </w:rPr>
            </w:pPr>
            <w:r>
              <w:rPr>
                <w:color w:val="000000" w:themeColor="text1"/>
                <w:kern w:val="0"/>
                <w:sz w:val="22"/>
                <w:szCs w:val="22"/>
              </w:rPr>
              <w:t>6</w:t>
            </w:r>
          </w:p>
        </w:tc>
        <w:tc>
          <w:tcPr>
            <w:tcW w:w="1134" w:type="dxa"/>
            <w:noWrap/>
            <w:vAlign w:val="center"/>
          </w:tcPr>
          <w:p w14:paraId="0CB9309C">
            <w:pPr>
              <w:widowControl/>
              <w:jc w:val="center"/>
              <w:rPr>
                <w:color w:val="000000" w:themeColor="text1"/>
                <w:kern w:val="0"/>
                <w:sz w:val="22"/>
                <w:szCs w:val="22"/>
              </w:rPr>
            </w:pPr>
            <w:r>
              <w:rPr>
                <w:color w:val="000000" w:themeColor="text1"/>
                <w:kern w:val="0"/>
                <w:sz w:val="22"/>
                <w:szCs w:val="22"/>
              </w:rPr>
              <w:t>东阿镇</w:t>
            </w:r>
          </w:p>
        </w:tc>
        <w:tc>
          <w:tcPr>
            <w:tcW w:w="2977" w:type="dxa"/>
            <w:noWrap/>
            <w:vAlign w:val="center"/>
          </w:tcPr>
          <w:p w14:paraId="378A875F">
            <w:pPr>
              <w:widowControl/>
              <w:jc w:val="center"/>
              <w:rPr>
                <w:color w:val="000000" w:themeColor="text1"/>
                <w:kern w:val="0"/>
                <w:sz w:val="22"/>
                <w:szCs w:val="22"/>
              </w:rPr>
            </w:pPr>
            <w:r>
              <w:rPr>
                <w:color w:val="000000" w:themeColor="text1"/>
                <w:kern w:val="0"/>
                <w:sz w:val="22"/>
                <w:szCs w:val="22"/>
              </w:rPr>
              <w:t>平阴水务发展有限公司（三厂）</w:t>
            </w:r>
          </w:p>
        </w:tc>
        <w:tc>
          <w:tcPr>
            <w:tcW w:w="992" w:type="dxa"/>
            <w:noWrap/>
            <w:vAlign w:val="center"/>
          </w:tcPr>
          <w:p w14:paraId="587811EA">
            <w:pPr>
              <w:widowControl/>
              <w:jc w:val="center"/>
              <w:rPr>
                <w:color w:val="000000" w:themeColor="text1"/>
                <w:kern w:val="0"/>
                <w:sz w:val="22"/>
                <w:szCs w:val="22"/>
              </w:rPr>
            </w:pPr>
            <w:r>
              <w:rPr>
                <w:color w:val="000000" w:themeColor="text1"/>
                <w:kern w:val="0"/>
                <w:sz w:val="22"/>
                <w:szCs w:val="22"/>
              </w:rPr>
              <w:t>0.3</w:t>
            </w:r>
          </w:p>
        </w:tc>
        <w:tc>
          <w:tcPr>
            <w:tcW w:w="1276" w:type="dxa"/>
            <w:noWrap/>
            <w:vAlign w:val="center"/>
          </w:tcPr>
          <w:p w14:paraId="11542603">
            <w:pPr>
              <w:widowControl/>
              <w:jc w:val="center"/>
              <w:rPr>
                <w:color w:val="000000" w:themeColor="text1"/>
                <w:kern w:val="0"/>
                <w:sz w:val="22"/>
                <w:szCs w:val="22"/>
              </w:rPr>
            </w:pPr>
            <w:r>
              <w:rPr>
                <w:color w:val="000000" w:themeColor="text1"/>
                <w:kern w:val="0"/>
                <w:sz w:val="22"/>
                <w:szCs w:val="22"/>
              </w:rPr>
              <w:t>0.3</w:t>
            </w:r>
          </w:p>
        </w:tc>
        <w:tc>
          <w:tcPr>
            <w:tcW w:w="1326" w:type="dxa"/>
            <w:noWrap/>
            <w:vAlign w:val="center"/>
          </w:tcPr>
          <w:p w14:paraId="6442F90F">
            <w:pPr>
              <w:widowControl/>
              <w:jc w:val="center"/>
              <w:rPr>
                <w:color w:val="000000" w:themeColor="text1"/>
                <w:kern w:val="0"/>
                <w:sz w:val="22"/>
                <w:szCs w:val="22"/>
              </w:rPr>
            </w:pPr>
            <w:r>
              <w:rPr>
                <w:color w:val="000000" w:themeColor="text1"/>
                <w:kern w:val="0"/>
                <w:sz w:val="22"/>
                <w:szCs w:val="22"/>
              </w:rPr>
              <w:t>0.6</w:t>
            </w:r>
          </w:p>
        </w:tc>
      </w:tr>
      <w:tr w14:paraId="7C5C7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22A5712A">
            <w:pPr>
              <w:widowControl/>
              <w:jc w:val="center"/>
              <w:rPr>
                <w:color w:val="000000" w:themeColor="text1"/>
                <w:kern w:val="0"/>
                <w:sz w:val="22"/>
                <w:szCs w:val="22"/>
              </w:rPr>
            </w:pPr>
            <w:r>
              <w:rPr>
                <w:color w:val="000000" w:themeColor="text1"/>
                <w:kern w:val="0"/>
                <w:sz w:val="22"/>
                <w:szCs w:val="22"/>
              </w:rPr>
              <w:t>7</w:t>
            </w:r>
          </w:p>
        </w:tc>
        <w:tc>
          <w:tcPr>
            <w:tcW w:w="1134" w:type="dxa"/>
            <w:noWrap/>
            <w:vAlign w:val="center"/>
          </w:tcPr>
          <w:p w14:paraId="3FF316AC">
            <w:pPr>
              <w:widowControl/>
              <w:jc w:val="center"/>
              <w:rPr>
                <w:color w:val="000000" w:themeColor="text1"/>
                <w:kern w:val="0"/>
                <w:sz w:val="22"/>
                <w:szCs w:val="22"/>
              </w:rPr>
            </w:pPr>
            <w:r>
              <w:rPr>
                <w:color w:val="000000" w:themeColor="text1"/>
                <w:kern w:val="0"/>
                <w:sz w:val="22"/>
                <w:szCs w:val="22"/>
              </w:rPr>
              <w:t>孔村镇</w:t>
            </w:r>
          </w:p>
        </w:tc>
        <w:tc>
          <w:tcPr>
            <w:tcW w:w="2977" w:type="dxa"/>
            <w:noWrap/>
            <w:vAlign w:val="center"/>
          </w:tcPr>
          <w:p w14:paraId="6BB9AA16">
            <w:pPr>
              <w:widowControl/>
              <w:jc w:val="center"/>
              <w:rPr>
                <w:color w:val="000000" w:themeColor="text1"/>
                <w:kern w:val="0"/>
                <w:sz w:val="22"/>
                <w:szCs w:val="22"/>
              </w:rPr>
            </w:pPr>
            <w:r>
              <w:rPr>
                <w:rFonts w:hint="eastAsia"/>
                <w:color w:val="000000" w:themeColor="text1"/>
                <w:kern w:val="0"/>
                <w:sz w:val="22"/>
                <w:szCs w:val="22"/>
              </w:rPr>
              <w:t>平阴县中环水务有限公司（孔村厂）</w:t>
            </w:r>
          </w:p>
        </w:tc>
        <w:tc>
          <w:tcPr>
            <w:tcW w:w="992" w:type="dxa"/>
            <w:noWrap/>
            <w:vAlign w:val="center"/>
          </w:tcPr>
          <w:p w14:paraId="4CBEF385">
            <w:pPr>
              <w:widowControl/>
              <w:jc w:val="center"/>
              <w:rPr>
                <w:color w:val="000000" w:themeColor="text1"/>
                <w:kern w:val="0"/>
                <w:sz w:val="22"/>
                <w:szCs w:val="22"/>
              </w:rPr>
            </w:pPr>
            <w:r>
              <w:rPr>
                <w:color w:val="000000" w:themeColor="text1"/>
                <w:kern w:val="0"/>
                <w:sz w:val="22"/>
                <w:szCs w:val="22"/>
              </w:rPr>
              <w:t>0.4</w:t>
            </w:r>
          </w:p>
        </w:tc>
        <w:tc>
          <w:tcPr>
            <w:tcW w:w="1276" w:type="dxa"/>
            <w:noWrap/>
            <w:vAlign w:val="center"/>
          </w:tcPr>
          <w:p w14:paraId="549113F3">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8</w:t>
            </w:r>
          </w:p>
        </w:tc>
        <w:tc>
          <w:tcPr>
            <w:tcW w:w="1326" w:type="dxa"/>
            <w:noWrap/>
            <w:vAlign w:val="center"/>
          </w:tcPr>
          <w:p w14:paraId="5CB73AED">
            <w:pPr>
              <w:widowControl/>
              <w:jc w:val="center"/>
              <w:rPr>
                <w:color w:val="000000" w:themeColor="text1"/>
                <w:kern w:val="0"/>
                <w:sz w:val="22"/>
                <w:szCs w:val="22"/>
              </w:rPr>
            </w:pPr>
            <w:r>
              <w:rPr>
                <w:color w:val="000000" w:themeColor="text1"/>
                <w:kern w:val="0"/>
                <w:sz w:val="22"/>
                <w:szCs w:val="22"/>
              </w:rPr>
              <w:t>0.8</w:t>
            </w:r>
          </w:p>
        </w:tc>
      </w:tr>
      <w:tr w14:paraId="7221C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04" w:type="dxa"/>
            <w:noWrap/>
            <w:vAlign w:val="center"/>
          </w:tcPr>
          <w:p w14:paraId="01E5D45D">
            <w:pPr>
              <w:widowControl/>
              <w:jc w:val="center"/>
              <w:rPr>
                <w:color w:val="000000" w:themeColor="text1"/>
                <w:kern w:val="0"/>
                <w:sz w:val="22"/>
                <w:szCs w:val="22"/>
              </w:rPr>
            </w:pPr>
            <w:r>
              <w:rPr>
                <w:color w:val="000000" w:themeColor="text1"/>
                <w:kern w:val="0"/>
                <w:sz w:val="22"/>
                <w:szCs w:val="22"/>
              </w:rPr>
              <w:t>8</w:t>
            </w:r>
          </w:p>
        </w:tc>
        <w:tc>
          <w:tcPr>
            <w:tcW w:w="1134" w:type="dxa"/>
            <w:noWrap/>
            <w:vAlign w:val="center"/>
          </w:tcPr>
          <w:p w14:paraId="69109DF8">
            <w:pPr>
              <w:widowControl/>
              <w:jc w:val="center"/>
              <w:rPr>
                <w:color w:val="000000" w:themeColor="text1"/>
                <w:kern w:val="0"/>
                <w:sz w:val="22"/>
                <w:szCs w:val="22"/>
              </w:rPr>
            </w:pPr>
            <w:r>
              <w:rPr>
                <w:color w:val="000000" w:themeColor="text1"/>
                <w:kern w:val="0"/>
                <w:sz w:val="22"/>
                <w:szCs w:val="22"/>
              </w:rPr>
              <w:t>孝直镇</w:t>
            </w:r>
          </w:p>
        </w:tc>
        <w:tc>
          <w:tcPr>
            <w:tcW w:w="2977" w:type="dxa"/>
            <w:noWrap/>
            <w:vAlign w:val="center"/>
          </w:tcPr>
          <w:p w14:paraId="3D89170D">
            <w:pPr>
              <w:widowControl/>
              <w:jc w:val="center"/>
              <w:rPr>
                <w:color w:val="000000" w:themeColor="text1"/>
                <w:kern w:val="0"/>
                <w:sz w:val="22"/>
                <w:szCs w:val="22"/>
              </w:rPr>
            </w:pPr>
            <w:r>
              <w:rPr>
                <w:rFonts w:hint="eastAsia"/>
                <w:color w:val="000000" w:themeColor="text1"/>
                <w:kern w:val="0"/>
                <w:sz w:val="22"/>
                <w:szCs w:val="22"/>
              </w:rPr>
              <w:t>平阴县中环水务有限公司（孝直厂）</w:t>
            </w:r>
          </w:p>
        </w:tc>
        <w:tc>
          <w:tcPr>
            <w:tcW w:w="992" w:type="dxa"/>
            <w:noWrap/>
            <w:vAlign w:val="center"/>
          </w:tcPr>
          <w:p w14:paraId="4F46240A">
            <w:pPr>
              <w:widowControl/>
              <w:jc w:val="center"/>
              <w:rPr>
                <w:color w:val="000000" w:themeColor="text1"/>
                <w:kern w:val="0"/>
                <w:sz w:val="22"/>
                <w:szCs w:val="22"/>
              </w:rPr>
            </w:pPr>
            <w:r>
              <w:rPr>
                <w:color w:val="000000" w:themeColor="text1"/>
                <w:kern w:val="0"/>
                <w:sz w:val="22"/>
                <w:szCs w:val="22"/>
              </w:rPr>
              <w:t>0.3</w:t>
            </w:r>
          </w:p>
        </w:tc>
        <w:tc>
          <w:tcPr>
            <w:tcW w:w="1276" w:type="dxa"/>
            <w:noWrap/>
            <w:vAlign w:val="center"/>
          </w:tcPr>
          <w:p w14:paraId="50E17710">
            <w:pPr>
              <w:widowControl/>
              <w:jc w:val="center"/>
              <w:rPr>
                <w:color w:val="000000" w:themeColor="text1"/>
                <w:kern w:val="0"/>
                <w:sz w:val="22"/>
                <w:szCs w:val="22"/>
              </w:rPr>
            </w:pPr>
            <w:r>
              <w:rPr>
                <w:color w:val="000000" w:themeColor="text1"/>
                <w:kern w:val="0"/>
                <w:sz w:val="22"/>
                <w:szCs w:val="22"/>
              </w:rPr>
              <w:t>0.3</w:t>
            </w:r>
          </w:p>
        </w:tc>
        <w:tc>
          <w:tcPr>
            <w:tcW w:w="1326" w:type="dxa"/>
            <w:noWrap/>
            <w:vAlign w:val="center"/>
          </w:tcPr>
          <w:p w14:paraId="74A17C13">
            <w:pPr>
              <w:widowControl/>
              <w:jc w:val="center"/>
              <w:rPr>
                <w:color w:val="000000" w:themeColor="text1"/>
                <w:kern w:val="0"/>
                <w:sz w:val="22"/>
                <w:szCs w:val="22"/>
              </w:rPr>
            </w:pPr>
            <w:r>
              <w:rPr>
                <w:color w:val="000000" w:themeColor="text1"/>
                <w:kern w:val="0"/>
                <w:sz w:val="22"/>
                <w:szCs w:val="22"/>
              </w:rPr>
              <w:t>0.6</w:t>
            </w:r>
          </w:p>
        </w:tc>
      </w:tr>
      <w:tr w14:paraId="7684F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14FE00FF">
            <w:pPr>
              <w:widowControl/>
              <w:jc w:val="center"/>
              <w:rPr>
                <w:color w:val="000000" w:themeColor="text1"/>
                <w:kern w:val="0"/>
                <w:sz w:val="22"/>
                <w:szCs w:val="22"/>
              </w:rPr>
            </w:pPr>
            <w:r>
              <w:rPr>
                <w:color w:val="000000" w:themeColor="text1"/>
                <w:kern w:val="0"/>
                <w:sz w:val="22"/>
                <w:szCs w:val="22"/>
              </w:rPr>
              <w:t>9</w:t>
            </w:r>
          </w:p>
        </w:tc>
        <w:tc>
          <w:tcPr>
            <w:tcW w:w="1134" w:type="dxa"/>
            <w:noWrap/>
            <w:vAlign w:val="center"/>
          </w:tcPr>
          <w:p w14:paraId="6F78ECA8">
            <w:pPr>
              <w:widowControl/>
              <w:jc w:val="center"/>
              <w:rPr>
                <w:color w:val="000000" w:themeColor="text1"/>
                <w:kern w:val="0"/>
                <w:sz w:val="22"/>
                <w:szCs w:val="22"/>
              </w:rPr>
            </w:pPr>
            <w:r>
              <w:rPr>
                <w:color w:val="000000" w:themeColor="text1"/>
                <w:kern w:val="0"/>
                <w:sz w:val="22"/>
                <w:szCs w:val="22"/>
              </w:rPr>
              <w:t>玫瑰镇</w:t>
            </w:r>
          </w:p>
        </w:tc>
        <w:tc>
          <w:tcPr>
            <w:tcW w:w="2977" w:type="dxa"/>
            <w:noWrap/>
            <w:vAlign w:val="center"/>
          </w:tcPr>
          <w:p w14:paraId="0D1BE7D0">
            <w:pPr>
              <w:widowControl/>
              <w:jc w:val="center"/>
              <w:rPr>
                <w:color w:val="000000" w:themeColor="text1"/>
                <w:kern w:val="0"/>
                <w:sz w:val="22"/>
                <w:szCs w:val="22"/>
              </w:rPr>
            </w:pPr>
            <w:r>
              <w:rPr>
                <w:color w:val="000000" w:themeColor="text1"/>
                <w:kern w:val="0"/>
                <w:sz w:val="22"/>
                <w:szCs w:val="22"/>
              </w:rPr>
              <w:t>玫瑰镇污水处理厂</w:t>
            </w:r>
          </w:p>
        </w:tc>
        <w:tc>
          <w:tcPr>
            <w:tcW w:w="992" w:type="dxa"/>
            <w:noWrap/>
            <w:vAlign w:val="center"/>
          </w:tcPr>
          <w:p w14:paraId="0298D6EE">
            <w:pPr>
              <w:widowControl/>
              <w:jc w:val="center"/>
              <w:rPr>
                <w:color w:val="000000" w:themeColor="text1"/>
                <w:kern w:val="0"/>
                <w:sz w:val="22"/>
                <w:szCs w:val="22"/>
              </w:rPr>
            </w:pPr>
            <w:r>
              <w:rPr>
                <w:rFonts w:hint="eastAsia"/>
                <w:color w:val="000000" w:themeColor="text1"/>
                <w:kern w:val="0"/>
                <w:sz w:val="22"/>
                <w:szCs w:val="22"/>
              </w:rPr>
              <w:t>-</w:t>
            </w:r>
          </w:p>
        </w:tc>
        <w:tc>
          <w:tcPr>
            <w:tcW w:w="1276" w:type="dxa"/>
            <w:noWrap/>
            <w:vAlign w:val="center"/>
          </w:tcPr>
          <w:p w14:paraId="3C7A1D10">
            <w:pPr>
              <w:widowControl/>
              <w:jc w:val="center"/>
              <w:rPr>
                <w:color w:val="000000" w:themeColor="text1"/>
                <w:kern w:val="0"/>
                <w:sz w:val="22"/>
                <w:szCs w:val="22"/>
              </w:rPr>
            </w:pPr>
            <w:r>
              <w:rPr>
                <w:color w:val="000000" w:themeColor="text1"/>
                <w:kern w:val="0"/>
                <w:sz w:val="22"/>
                <w:szCs w:val="22"/>
              </w:rPr>
              <w:t>0.1</w:t>
            </w:r>
          </w:p>
        </w:tc>
        <w:tc>
          <w:tcPr>
            <w:tcW w:w="1326" w:type="dxa"/>
            <w:noWrap/>
            <w:vAlign w:val="center"/>
          </w:tcPr>
          <w:p w14:paraId="33B9B5EC">
            <w:pPr>
              <w:widowControl/>
              <w:jc w:val="center"/>
              <w:rPr>
                <w:color w:val="000000" w:themeColor="text1"/>
                <w:kern w:val="0"/>
                <w:sz w:val="22"/>
                <w:szCs w:val="22"/>
              </w:rPr>
            </w:pPr>
            <w:r>
              <w:rPr>
                <w:color w:val="000000" w:themeColor="text1"/>
                <w:kern w:val="0"/>
                <w:sz w:val="22"/>
                <w:szCs w:val="22"/>
              </w:rPr>
              <w:t>0.7</w:t>
            </w:r>
          </w:p>
        </w:tc>
      </w:tr>
      <w:tr w14:paraId="7C1E5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04" w:type="dxa"/>
            <w:noWrap/>
            <w:vAlign w:val="center"/>
          </w:tcPr>
          <w:p w14:paraId="661E72A0">
            <w:pPr>
              <w:widowControl/>
              <w:jc w:val="center"/>
              <w:rPr>
                <w:color w:val="000000" w:themeColor="text1"/>
                <w:kern w:val="0"/>
                <w:sz w:val="22"/>
                <w:szCs w:val="22"/>
              </w:rPr>
            </w:pPr>
            <w:r>
              <w:rPr>
                <w:color w:val="000000" w:themeColor="text1"/>
                <w:kern w:val="0"/>
                <w:sz w:val="22"/>
                <w:szCs w:val="22"/>
              </w:rPr>
              <w:t>10</w:t>
            </w:r>
          </w:p>
        </w:tc>
        <w:tc>
          <w:tcPr>
            <w:tcW w:w="1134" w:type="dxa"/>
            <w:noWrap/>
            <w:vAlign w:val="center"/>
          </w:tcPr>
          <w:p w14:paraId="792EDDC4">
            <w:pPr>
              <w:widowControl/>
              <w:jc w:val="center"/>
              <w:rPr>
                <w:color w:val="000000" w:themeColor="text1"/>
                <w:kern w:val="0"/>
                <w:sz w:val="22"/>
                <w:szCs w:val="22"/>
              </w:rPr>
            </w:pPr>
            <w:r>
              <w:rPr>
                <w:color w:val="000000" w:themeColor="text1"/>
                <w:kern w:val="0"/>
                <w:sz w:val="22"/>
                <w:szCs w:val="22"/>
              </w:rPr>
              <w:t>洪范</w:t>
            </w:r>
          </w:p>
          <w:p w14:paraId="392048C1">
            <w:pPr>
              <w:widowControl/>
              <w:jc w:val="center"/>
              <w:rPr>
                <w:color w:val="000000" w:themeColor="text1"/>
                <w:kern w:val="0"/>
                <w:sz w:val="22"/>
                <w:szCs w:val="22"/>
              </w:rPr>
            </w:pPr>
            <w:r>
              <w:rPr>
                <w:color w:val="000000" w:themeColor="text1"/>
                <w:kern w:val="0"/>
                <w:sz w:val="22"/>
                <w:szCs w:val="22"/>
              </w:rPr>
              <w:t>池镇</w:t>
            </w:r>
          </w:p>
        </w:tc>
        <w:tc>
          <w:tcPr>
            <w:tcW w:w="2977" w:type="dxa"/>
            <w:noWrap/>
            <w:vAlign w:val="center"/>
          </w:tcPr>
          <w:p w14:paraId="2693EBC8">
            <w:pPr>
              <w:widowControl/>
              <w:jc w:val="center"/>
              <w:rPr>
                <w:color w:val="000000" w:themeColor="text1"/>
                <w:kern w:val="0"/>
                <w:sz w:val="22"/>
                <w:szCs w:val="22"/>
              </w:rPr>
            </w:pPr>
            <w:r>
              <w:rPr>
                <w:color w:val="000000" w:themeColor="text1"/>
                <w:kern w:val="0"/>
                <w:sz w:val="22"/>
                <w:szCs w:val="22"/>
              </w:rPr>
              <w:t>洪范池镇污水处理厂</w:t>
            </w:r>
          </w:p>
        </w:tc>
        <w:tc>
          <w:tcPr>
            <w:tcW w:w="992" w:type="dxa"/>
            <w:noWrap/>
            <w:vAlign w:val="center"/>
          </w:tcPr>
          <w:p w14:paraId="13C91F11">
            <w:pPr>
              <w:widowControl/>
              <w:jc w:val="center"/>
              <w:rPr>
                <w:color w:val="000000" w:themeColor="text1"/>
                <w:kern w:val="0"/>
                <w:sz w:val="22"/>
                <w:szCs w:val="22"/>
              </w:rPr>
            </w:pPr>
            <w:r>
              <w:rPr>
                <w:rFonts w:hint="eastAsia"/>
                <w:color w:val="000000" w:themeColor="text1"/>
                <w:kern w:val="0"/>
                <w:sz w:val="22"/>
                <w:szCs w:val="22"/>
              </w:rPr>
              <w:t>-</w:t>
            </w:r>
          </w:p>
        </w:tc>
        <w:tc>
          <w:tcPr>
            <w:tcW w:w="1276" w:type="dxa"/>
            <w:noWrap/>
            <w:vAlign w:val="center"/>
          </w:tcPr>
          <w:p w14:paraId="25B986A0">
            <w:pPr>
              <w:widowControl/>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2</w:t>
            </w:r>
          </w:p>
        </w:tc>
        <w:tc>
          <w:tcPr>
            <w:tcW w:w="1326" w:type="dxa"/>
            <w:noWrap/>
            <w:vAlign w:val="center"/>
          </w:tcPr>
          <w:p w14:paraId="596E6B7C">
            <w:pPr>
              <w:widowControl/>
              <w:jc w:val="center"/>
              <w:rPr>
                <w:color w:val="000000" w:themeColor="text1"/>
                <w:kern w:val="0"/>
                <w:sz w:val="22"/>
                <w:szCs w:val="22"/>
              </w:rPr>
            </w:pPr>
            <w:r>
              <w:rPr>
                <w:color w:val="000000" w:themeColor="text1"/>
                <w:kern w:val="0"/>
                <w:sz w:val="22"/>
                <w:szCs w:val="22"/>
              </w:rPr>
              <w:t>0.2</w:t>
            </w:r>
          </w:p>
        </w:tc>
      </w:tr>
      <w:tr w14:paraId="3DA0A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dxa"/>
            <w:noWrap/>
            <w:vAlign w:val="center"/>
          </w:tcPr>
          <w:p w14:paraId="3350DB9C">
            <w:pPr>
              <w:widowControl/>
              <w:jc w:val="center"/>
              <w:rPr>
                <w:color w:val="000000" w:themeColor="text1"/>
                <w:kern w:val="0"/>
                <w:sz w:val="22"/>
                <w:szCs w:val="22"/>
              </w:rPr>
            </w:pPr>
            <w:r>
              <w:rPr>
                <w:color w:val="000000" w:themeColor="text1"/>
                <w:kern w:val="0"/>
                <w:sz w:val="22"/>
                <w:szCs w:val="22"/>
              </w:rPr>
              <w:t>11</w:t>
            </w:r>
          </w:p>
        </w:tc>
        <w:tc>
          <w:tcPr>
            <w:tcW w:w="4111" w:type="dxa"/>
            <w:gridSpan w:val="2"/>
            <w:noWrap/>
            <w:vAlign w:val="center"/>
          </w:tcPr>
          <w:p w14:paraId="37BD4786">
            <w:pPr>
              <w:widowControl/>
              <w:jc w:val="center"/>
              <w:rPr>
                <w:color w:val="000000" w:themeColor="text1"/>
                <w:kern w:val="0"/>
                <w:sz w:val="22"/>
                <w:szCs w:val="22"/>
              </w:rPr>
            </w:pPr>
            <w:r>
              <w:rPr>
                <w:color w:val="000000" w:themeColor="text1"/>
                <w:kern w:val="0"/>
                <w:sz w:val="22"/>
                <w:szCs w:val="22"/>
              </w:rPr>
              <w:t>合计</w:t>
            </w:r>
          </w:p>
        </w:tc>
        <w:tc>
          <w:tcPr>
            <w:tcW w:w="992" w:type="dxa"/>
            <w:noWrap/>
            <w:vAlign w:val="center"/>
          </w:tcPr>
          <w:p w14:paraId="736DACA1">
            <w:pPr>
              <w:widowControl/>
              <w:jc w:val="center"/>
              <w:rPr>
                <w:color w:val="000000" w:themeColor="text1"/>
                <w:kern w:val="0"/>
                <w:sz w:val="22"/>
                <w:szCs w:val="22"/>
              </w:rPr>
            </w:pPr>
            <w:r>
              <w:rPr>
                <w:color w:val="000000" w:themeColor="text1"/>
                <w:kern w:val="0"/>
                <w:sz w:val="22"/>
                <w:szCs w:val="22"/>
              </w:rPr>
              <w:t>6</w:t>
            </w:r>
          </w:p>
        </w:tc>
        <w:tc>
          <w:tcPr>
            <w:tcW w:w="1276" w:type="dxa"/>
            <w:noWrap/>
            <w:vAlign w:val="center"/>
          </w:tcPr>
          <w:p w14:paraId="51848B3B">
            <w:pPr>
              <w:widowControl/>
              <w:jc w:val="center"/>
              <w:rPr>
                <w:color w:val="000000" w:themeColor="text1"/>
                <w:kern w:val="0"/>
                <w:sz w:val="22"/>
                <w:szCs w:val="22"/>
              </w:rPr>
            </w:pPr>
            <w:r>
              <w:rPr>
                <w:rFonts w:hint="eastAsia"/>
                <w:color w:val="000000" w:themeColor="text1"/>
                <w:kern w:val="0"/>
                <w:sz w:val="22"/>
                <w:szCs w:val="22"/>
              </w:rPr>
              <w:t>10</w:t>
            </w:r>
            <w:r>
              <w:rPr>
                <w:color w:val="000000" w:themeColor="text1"/>
                <w:kern w:val="0"/>
                <w:sz w:val="22"/>
                <w:szCs w:val="22"/>
              </w:rPr>
              <w:t>.</w:t>
            </w:r>
            <w:r>
              <w:rPr>
                <w:rFonts w:hint="eastAsia"/>
                <w:color w:val="000000" w:themeColor="text1"/>
                <w:kern w:val="0"/>
                <w:sz w:val="22"/>
                <w:szCs w:val="22"/>
              </w:rPr>
              <w:t>7</w:t>
            </w:r>
          </w:p>
        </w:tc>
        <w:tc>
          <w:tcPr>
            <w:tcW w:w="1326" w:type="dxa"/>
            <w:noWrap/>
            <w:vAlign w:val="center"/>
          </w:tcPr>
          <w:p w14:paraId="64DE4241">
            <w:pPr>
              <w:widowControl/>
              <w:jc w:val="center"/>
              <w:rPr>
                <w:color w:val="000000" w:themeColor="text1"/>
                <w:kern w:val="0"/>
                <w:sz w:val="22"/>
                <w:szCs w:val="22"/>
              </w:rPr>
            </w:pPr>
            <w:r>
              <w:rPr>
                <w:color w:val="000000" w:themeColor="text1"/>
                <w:kern w:val="0"/>
                <w:sz w:val="22"/>
                <w:szCs w:val="22"/>
              </w:rPr>
              <w:t>13</w:t>
            </w:r>
            <w:r>
              <w:rPr>
                <w:rFonts w:hint="eastAsia"/>
                <w:color w:val="000000" w:themeColor="text1"/>
                <w:kern w:val="0"/>
                <w:sz w:val="22"/>
                <w:szCs w:val="22"/>
              </w:rPr>
              <w:t>.5</w:t>
            </w:r>
          </w:p>
        </w:tc>
      </w:tr>
    </w:tbl>
    <w:p w14:paraId="68D9D5D6">
      <w:pPr>
        <w:snapToGrid w:val="0"/>
        <w:spacing w:before="120" w:beforeLines="50" w:after="120" w:afterLines="50" w:line="600" w:lineRule="exact"/>
        <w:outlineLvl w:val="1"/>
        <w:rPr>
          <w:b/>
          <w:color w:val="000000" w:themeColor="text1"/>
          <w:sz w:val="30"/>
          <w:szCs w:val="30"/>
        </w:rPr>
      </w:pPr>
      <w:bookmarkStart w:id="169" w:name="_Toc181472939"/>
      <w:bookmarkStart w:id="170" w:name="_Toc144243735"/>
      <w:r>
        <w:rPr>
          <w:b/>
          <w:color w:val="000000" w:themeColor="text1"/>
          <w:sz w:val="30"/>
          <w:szCs w:val="30"/>
        </w:rPr>
        <w:t>5.</w:t>
      </w:r>
      <w:r>
        <w:rPr>
          <w:rFonts w:hint="eastAsia"/>
          <w:b/>
          <w:color w:val="000000" w:themeColor="text1"/>
          <w:sz w:val="30"/>
          <w:szCs w:val="30"/>
        </w:rPr>
        <w:t>3</w:t>
      </w:r>
      <w:r>
        <w:rPr>
          <w:b/>
          <w:color w:val="000000" w:themeColor="text1"/>
          <w:sz w:val="30"/>
          <w:szCs w:val="30"/>
        </w:rPr>
        <w:t xml:space="preserve"> </w:t>
      </w:r>
      <w:r>
        <w:rPr>
          <w:rFonts w:hint="eastAsia"/>
          <w:b/>
          <w:color w:val="000000" w:themeColor="text1"/>
          <w:sz w:val="30"/>
          <w:szCs w:val="30"/>
        </w:rPr>
        <w:t>再生水可利用量预测</w:t>
      </w:r>
      <w:bookmarkEnd w:id="169"/>
      <w:bookmarkEnd w:id="170"/>
    </w:p>
    <w:p w14:paraId="341A73C8">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根据《城镇再生水利用规范编制指南》（SL 760-2018）要求，再生水可利用量预测应根据污水排放量、污水处理能力、污水处理厂建设规划、污水处理量进行分析测算，提出再生水可利用量的空间分布。</w:t>
      </w:r>
    </w:p>
    <w:p w14:paraId="07ED6CCE">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规划年平阴县各分区的再生水可利用量参照污水处理厂建设规划，按照规划年各分区的污水处理量和污水处理厂处理规模确定，即规划年污水量小于污水处理厂的处理规模则再生水可利用量按照规划年污水量计算；规划年污水量大于污水处理厂的处理规模则再生水可利用量按照规划年污水处理厂处理规模的计算。再生水厂以污水处理厂出水为水源，再生水可利用量不宜超过污水处理规模的80%。因此，结合平阴县污水收集及处理情况确定平阴县近期规划年再生水可利用量按污水处理规模的75%计，远期规划年按80%计。</w:t>
      </w:r>
    </w:p>
    <w:p w14:paraId="06246FF0">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根据平阴县住房和城乡建设局提供资料可知，平阴县为缓解中心城区污废水处理需求，已铺设污水管网，负责</w:t>
      </w:r>
      <w:r>
        <w:rPr>
          <w:rFonts w:hint="eastAsia"/>
          <w:color w:val="000000" w:themeColor="text1"/>
          <w:sz w:val="28"/>
          <w:szCs w:val="28"/>
        </w:rPr>
        <w:t>向</w:t>
      </w:r>
      <w:r>
        <w:rPr>
          <w:rFonts w:hint="eastAsia"/>
          <w:color w:val="000000" w:themeColor="text1"/>
          <w:kern w:val="0"/>
          <w:sz w:val="28"/>
          <w:szCs w:val="28"/>
          <w:lang w:val="zh-CN"/>
        </w:rPr>
        <w:t>安城镇的</w:t>
      </w:r>
      <w:r>
        <w:rPr>
          <w:rFonts w:hint="eastAsia"/>
          <w:color w:val="000000" w:themeColor="text1"/>
          <w:sz w:val="28"/>
          <w:szCs w:val="28"/>
        </w:rPr>
        <w:t>平阴水务发展有限公司（二厂）调水处理，具体调入水量与中心城区污废水量而定。</w:t>
      </w:r>
    </w:p>
    <w:p w14:paraId="14764904">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kern w:val="0"/>
          <w:sz w:val="28"/>
          <w:szCs w:val="28"/>
          <w:lang w:val="zh-CN"/>
        </w:rPr>
        <w:t>经计算可知，平阴县2</w:t>
      </w:r>
      <w:r>
        <w:rPr>
          <w:color w:val="000000" w:themeColor="text1"/>
          <w:kern w:val="0"/>
          <w:sz w:val="28"/>
          <w:szCs w:val="28"/>
          <w:lang w:val="zh-CN"/>
        </w:rPr>
        <w:t>0</w:t>
      </w:r>
      <w:r>
        <w:rPr>
          <w:rFonts w:hint="eastAsia"/>
          <w:color w:val="000000" w:themeColor="text1"/>
          <w:kern w:val="0"/>
          <w:sz w:val="28"/>
          <w:szCs w:val="28"/>
          <w:lang w:val="zh-CN"/>
        </w:rPr>
        <w:t>30年再生水可利用量为</w:t>
      </w:r>
      <w:r>
        <w:rPr>
          <w:color w:val="000000" w:themeColor="text1"/>
          <w:kern w:val="0"/>
          <w:sz w:val="28"/>
          <w:szCs w:val="28"/>
          <w:lang w:val="zh-CN"/>
        </w:rPr>
        <w:t>1</w:t>
      </w:r>
      <w:r>
        <w:rPr>
          <w:rFonts w:hint="eastAsia"/>
          <w:color w:val="000000" w:themeColor="text1"/>
          <w:kern w:val="0"/>
          <w:sz w:val="28"/>
          <w:szCs w:val="28"/>
          <w:lang w:val="zh-CN"/>
        </w:rPr>
        <w:t>586.5</w:t>
      </w:r>
      <w:r>
        <w:rPr>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，2</w:t>
      </w:r>
      <w:r>
        <w:rPr>
          <w:color w:val="000000" w:themeColor="text1"/>
          <w:sz w:val="28"/>
          <w:szCs w:val="28"/>
        </w:rPr>
        <w:t>035</w:t>
      </w:r>
      <w:r>
        <w:rPr>
          <w:rFonts w:hint="eastAsia"/>
          <w:color w:val="000000" w:themeColor="text1"/>
          <w:sz w:val="28"/>
          <w:szCs w:val="28"/>
        </w:rPr>
        <w:t>年再生水可利用量为2179.4</w:t>
      </w:r>
      <w:r>
        <w:rPr>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，具体详见表5.3。</w:t>
      </w:r>
    </w:p>
    <w:p w14:paraId="38BFE353">
      <w:pPr>
        <w:autoSpaceDE w:val="0"/>
        <w:autoSpaceDN w:val="0"/>
        <w:spacing w:line="600" w:lineRule="exact"/>
        <w:jc w:val="right"/>
        <w:textAlignment w:val="baseline"/>
        <w:rPr>
          <w:b/>
          <w:bCs/>
          <w:color w:val="000000" w:themeColor="text1"/>
          <w:sz w:val="24"/>
          <w:vertAlign w:val="superscript"/>
        </w:rPr>
      </w:pPr>
      <w:r>
        <w:rPr>
          <w:rFonts w:hint="eastAsia"/>
          <w:b/>
          <w:bCs/>
          <w:color w:val="000000" w:themeColor="text1"/>
          <w:sz w:val="24"/>
        </w:rPr>
        <w:t xml:space="preserve">表5.3  平阴县各区镇规划年再生水可利用量统计表 </w:t>
      </w:r>
      <w:r>
        <w:rPr>
          <w:b/>
          <w:bCs/>
          <w:color w:val="000000" w:themeColor="text1"/>
          <w:sz w:val="24"/>
        </w:rPr>
        <w:t xml:space="preserve">           </w:t>
      </w:r>
      <w:r>
        <w:rPr>
          <w:rFonts w:hint="eastAsia"/>
          <w:b/>
          <w:bCs/>
          <w:color w:val="000000" w:themeColor="text1"/>
          <w:sz w:val="24"/>
        </w:rPr>
        <w:t>单位：万m</w:t>
      </w:r>
      <w:r>
        <w:rPr>
          <w:b/>
          <w:bCs/>
          <w:color w:val="000000" w:themeColor="text1"/>
          <w:sz w:val="24"/>
          <w:vertAlign w:val="superscript"/>
        </w:rPr>
        <w:t>3</w:t>
      </w:r>
    </w:p>
    <w:tbl>
      <w:tblPr>
        <w:tblStyle w:val="46"/>
        <w:tblW w:w="8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993"/>
        <w:gridCol w:w="992"/>
        <w:gridCol w:w="1071"/>
        <w:gridCol w:w="960"/>
        <w:gridCol w:w="960"/>
        <w:gridCol w:w="960"/>
        <w:gridCol w:w="960"/>
        <w:gridCol w:w="960"/>
      </w:tblGrid>
      <w:tr w14:paraId="3AA2F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restart"/>
            <w:vAlign w:val="center"/>
          </w:tcPr>
          <w:p w14:paraId="02CF89D0">
            <w:pPr>
              <w:widowControl/>
              <w:jc w:val="center"/>
              <w:rPr>
                <w:color w:val="000000"/>
                <w:kern w:val="0"/>
                <w:sz w:val="22"/>
                <w:szCs w:val="22"/>
              </w:rPr>
            </w:pPr>
            <w:r>
              <w:rPr>
                <w:color w:val="000000"/>
                <w:kern w:val="0"/>
                <w:sz w:val="22"/>
                <w:szCs w:val="22"/>
              </w:rPr>
              <w:t>区域</w:t>
            </w:r>
          </w:p>
        </w:tc>
        <w:tc>
          <w:tcPr>
            <w:tcW w:w="1985" w:type="dxa"/>
            <w:gridSpan w:val="2"/>
            <w:noWrap/>
            <w:vAlign w:val="center"/>
          </w:tcPr>
          <w:p w14:paraId="6EE6A2C3">
            <w:pPr>
              <w:widowControl/>
              <w:jc w:val="center"/>
              <w:rPr>
                <w:color w:val="000000"/>
                <w:kern w:val="0"/>
                <w:sz w:val="22"/>
                <w:szCs w:val="22"/>
              </w:rPr>
            </w:pPr>
            <w:r>
              <w:rPr>
                <w:rFonts w:hint="eastAsia"/>
                <w:color w:val="000000"/>
                <w:kern w:val="0"/>
                <w:sz w:val="22"/>
                <w:szCs w:val="22"/>
              </w:rPr>
              <w:t>预测</w:t>
            </w:r>
            <w:r>
              <w:rPr>
                <w:color w:val="000000"/>
                <w:kern w:val="0"/>
                <w:sz w:val="22"/>
                <w:szCs w:val="22"/>
              </w:rPr>
              <w:t>污水量</w:t>
            </w:r>
          </w:p>
        </w:tc>
        <w:tc>
          <w:tcPr>
            <w:tcW w:w="2031" w:type="dxa"/>
            <w:gridSpan w:val="2"/>
            <w:noWrap/>
            <w:vAlign w:val="center"/>
          </w:tcPr>
          <w:p w14:paraId="20FF0782">
            <w:pPr>
              <w:widowControl/>
              <w:jc w:val="center"/>
              <w:rPr>
                <w:color w:val="000000"/>
                <w:kern w:val="0"/>
                <w:sz w:val="22"/>
                <w:szCs w:val="22"/>
              </w:rPr>
            </w:pPr>
            <w:r>
              <w:rPr>
                <w:color w:val="000000"/>
                <w:kern w:val="0"/>
                <w:sz w:val="22"/>
                <w:szCs w:val="22"/>
              </w:rPr>
              <w:t>污水处理规模</w:t>
            </w:r>
          </w:p>
        </w:tc>
        <w:tc>
          <w:tcPr>
            <w:tcW w:w="1920" w:type="dxa"/>
            <w:gridSpan w:val="2"/>
            <w:noWrap/>
            <w:vAlign w:val="center"/>
          </w:tcPr>
          <w:p w14:paraId="72CFC996">
            <w:pPr>
              <w:widowControl/>
              <w:jc w:val="center"/>
              <w:rPr>
                <w:color w:val="000000"/>
                <w:kern w:val="0"/>
                <w:sz w:val="22"/>
                <w:szCs w:val="22"/>
              </w:rPr>
            </w:pPr>
            <w:r>
              <w:rPr>
                <w:color w:val="000000"/>
                <w:kern w:val="0"/>
                <w:sz w:val="22"/>
                <w:szCs w:val="22"/>
              </w:rPr>
              <w:t>规划年实际</w:t>
            </w:r>
            <w:r>
              <w:rPr>
                <w:rFonts w:hint="eastAsia"/>
                <w:color w:val="000000"/>
                <w:kern w:val="0"/>
                <w:sz w:val="22"/>
                <w:szCs w:val="22"/>
              </w:rPr>
              <w:t>可处理</w:t>
            </w:r>
            <w:r>
              <w:rPr>
                <w:color w:val="000000"/>
                <w:kern w:val="0"/>
                <w:sz w:val="22"/>
                <w:szCs w:val="22"/>
              </w:rPr>
              <w:t>污水量</w:t>
            </w:r>
          </w:p>
        </w:tc>
        <w:tc>
          <w:tcPr>
            <w:tcW w:w="1920" w:type="dxa"/>
            <w:gridSpan w:val="2"/>
            <w:noWrap/>
            <w:vAlign w:val="center"/>
          </w:tcPr>
          <w:p w14:paraId="287564A6">
            <w:pPr>
              <w:widowControl/>
              <w:jc w:val="center"/>
              <w:rPr>
                <w:color w:val="000000"/>
                <w:kern w:val="0"/>
                <w:sz w:val="22"/>
                <w:szCs w:val="22"/>
              </w:rPr>
            </w:pPr>
            <w:r>
              <w:rPr>
                <w:color w:val="000000"/>
                <w:kern w:val="0"/>
                <w:sz w:val="22"/>
                <w:szCs w:val="22"/>
              </w:rPr>
              <w:t>再生水可利用量</w:t>
            </w:r>
          </w:p>
        </w:tc>
      </w:tr>
      <w:tr w14:paraId="48AE2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continue"/>
            <w:vAlign w:val="center"/>
          </w:tcPr>
          <w:p w14:paraId="17E4A6D9">
            <w:pPr>
              <w:widowControl/>
              <w:jc w:val="left"/>
              <w:rPr>
                <w:color w:val="000000"/>
                <w:kern w:val="0"/>
                <w:sz w:val="22"/>
                <w:szCs w:val="22"/>
              </w:rPr>
            </w:pPr>
          </w:p>
        </w:tc>
        <w:tc>
          <w:tcPr>
            <w:tcW w:w="993" w:type="dxa"/>
            <w:vAlign w:val="center"/>
          </w:tcPr>
          <w:p w14:paraId="39E184A9">
            <w:pPr>
              <w:widowControl/>
              <w:jc w:val="center"/>
              <w:rPr>
                <w:color w:val="000000"/>
                <w:kern w:val="0"/>
                <w:sz w:val="22"/>
                <w:szCs w:val="22"/>
              </w:rPr>
            </w:pPr>
            <w:r>
              <w:rPr>
                <w:color w:val="000000"/>
                <w:kern w:val="0"/>
                <w:sz w:val="22"/>
                <w:szCs w:val="22"/>
              </w:rPr>
              <w:t>2030年</w:t>
            </w:r>
          </w:p>
        </w:tc>
        <w:tc>
          <w:tcPr>
            <w:tcW w:w="992" w:type="dxa"/>
            <w:vAlign w:val="center"/>
          </w:tcPr>
          <w:p w14:paraId="1BAB1938">
            <w:pPr>
              <w:widowControl/>
              <w:jc w:val="center"/>
              <w:rPr>
                <w:color w:val="000000"/>
                <w:kern w:val="0"/>
                <w:sz w:val="22"/>
                <w:szCs w:val="22"/>
              </w:rPr>
            </w:pPr>
            <w:r>
              <w:rPr>
                <w:color w:val="000000"/>
                <w:kern w:val="0"/>
                <w:sz w:val="22"/>
                <w:szCs w:val="22"/>
              </w:rPr>
              <w:t>2035年</w:t>
            </w:r>
          </w:p>
        </w:tc>
        <w:tc>
          <w:tcPr>
            <w:tcW w:w="1071" w:type="dxa"/>
            <w:vAlign w:val="center"/>
          </w:tcPr>
          <w:p w14:paraId="0DF33A4F">
            <w:pPr>
              <w:widowControl/>
              <w:jc w:val="center"/>
              <w:rPr>
                <w:color w:val="000000"/>
                <w:kern w:val="0"/>
                <w:sz w:val="22"/>
                <w:szCs w:val="22"/>
              </w:rPr>
            </w:pPr>
            <w:r>
              <w:rPr>
                <w:color w:val="000000"/>
                <w:kern w:val="0"/>
                <w:sz w:val="22"/>
                <w:szCs w:val="22"/>
              </w:rPr>
              <w:t>2030年</w:t>
            </w:r>
          </w:p>
        </w:tc>
        <w:tc>
          <w:tcPr>
            <w:tcW w:w="960" w:type="dxa"/>
            <w:vAlign w:val="center"/>
          </w:tcPr>
          <w:p w14:paraId="4710AEAF">
            <w:pPr>
              <w:widowControl/>
              <w:jc w:val="center"/>
              <w:rPr>
                <w:color w:val="000000"/>
                <w:kern w:val="0"/>
                <w:sz w:val="22"/>
                <w:szCs w:val="22"/>
              </w:rPr>
            </w:pPr>
            <w:r>
              <w:rPr>
                <w:color w:val="000000"/>
                <w:kern w:val="0"/>
                <w:sz w:val="22"/>
                <w:szCs w:val="22"/>
              </w:rPr>
              <w:t>2035年</w:t>
            </w:r>
          </w:p>
        </w:tc>
        <w:tc>
          <w:tcPr>
            <w:tcW w:w="960" w:type="dxa"/>
            <w:vAlign w:val="center"/>
          </w:tcPr>
          <w:p w14:paraId="660A3C13">
            <w:pPr>
              <w:widowControl/>
              <w:jc w:val="center"/>
              <w:rPr>
                <w:color w:val="000000"/>
                <w:kern w:val="0"/>
                <w:sz w:val="22"/>
                <w:szCs w:val="22"/>
              </w:rPr>
            </w:pPr>
            <w:r>
              <w:rPr>
                <w:color w:val="000000"/>
                <w:kern w:val="0"/>
                <w:sz w:val="22"/>
                <w:szCs w:val="22"/>
              </w:rPr>
              <w:t>2030年</w:t>
            </w:r>
          </w:p>
        </w:tc>
        <w:tc>
          <w:tcPr>
            <w:tcW w:w="960" w:type="dxa"/>
            <w:vAlign w:val="center"/>
          </w:tcPr>
          <w:p w14:paraId="31AF9033">
            <w:pPr>
              <w:widowControl/>
              <w:jc w:val="center"/>
              <w:rPr>
                <w:color w:val="000000"/>
                <w:kern w:val="0"/>
                <w:sz w:val="22"/>
                <w:szCs w:val="22"/>
              </w:rPr>
            </w:pPr>
            <w:r>
              <w:rPr>
                <w:color w:val="000000"/>
                <w:kern w:val="0"/>
                <w:sz w:val="22"/>
                <w:szCs w:val="22"/>
              </w:rPr>
              <w:t>2035年</w:t>
            </w:r>
          </w:p>
        </w:tc>
        <w:tc>
          <w:tcPr>
            <w:tcW w:w="960" w:type="dxa"/>
            <w:vAlign w:val="center"/>
          </w:tcPr>
          <w:p w14:paraId="373BD290">
            <w:pPr>
              <w:widowControl/>
              <w:jc w:val="center"/>
              <w:rPr>
                <w:color w:val="000000"/>
                <w:kern w:val="0"/>
                <w:sz w:val="22"/>
                <w:szCs w:val="22"/>
              </w:rPr>
            </w:pPr>
            <w:r>
              <w:rPr>
                <w:color w:val="000000"/>
                <w:kern w:val="0"/>
                <w:sz w:val="22"/>
                <w:szCs w:val="22"/>
              </w:rPr>
              <w:t>2030年</w:t>
            </w:r>
          </w:p>
        </w:tc>
        <w:tc>
          <w:tcPr>
            <w:tcW w:w="960" w:type="dxa"/>
            <w:vAlign w:val="center"/>
          </w:tcPr>
          <w:p w14:paraId="0D09B695">
            <w:pPr>
              <w:widowControl/>
              <w:jc w:val="center"/>
              <w:rPr>
                <w:color w:val="000000"/>
                <w:kern w:val="0"/>
                <w:sz w:val="22"/>
                <w:szCs w:val="22"/>
              </w:rPr>
            </w:pPr>
            <w:r>
              <w:rPr>
                <w:color w:val="000000"/>
                <w:kern w:val="0"/>
                <w:sz w:val="22"/>
                <w:szCs w:val="22"/>
              </w:rPr>
              <w:t>2035年</w:t>
            </w:r>
          </w:p>
        </w:tc>
      </w:tr>
      <w:tr w14:paraId="79484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5BBD3ECA">
            <w:pPr>
              <w:widowControl/>
              <w:jc w:val="center"/>
              <w:rPr>
                <w:color w:val="000000"/>
                <w:kern w:val="0"/>
                <w:sz w:val="22"/>
                <w:szCs w:val="22"/>
              </w:rPr>
            </w:pPr>
            <w:r>
              <w:rPr>
                <w:color w:val="000000"/>
                <w:kern w:val="0"/>
                <w:sz w:val="22"/>
                <w:szCs w:val="22"/>
              </w:rPr>
              <w:t>中心城区</w:t>
            </w:r>
          </w:p>
        </w:tc>
        <w:tc>
          <w:tcPr>
            <w:tcW w:w="993" w:type="dxa"/>
            <w:vAlign w:val="center"/>
          </w:tcPr>
          <w:p w14:paraId="061EB81C">
            <w:pPr>
              <w:widowControl/>
              <w:jc w:val="center"/>
              <w:rPr>
                <w:color w:val="000000"/>
                <w:kern w:val="0"/>
                <w:sz w:val="22"/>
                <w:szCs w:val="22"/>
              </w:rPr>
            </w:pPr>
            <w:r>
              <w:rPr>
                <w:rFonts w:eastAsia="等线"/>
                <w:color w:val="000000"/>
                <w:sz w:val="22"/>
                <w:szCs w:val="22"/>
              </w:rPr>
              <w:t>1597.7</w:t>
            </w:r>
          </w:p>
        </w:tc>
        <w:tc>
          <w:tcPr>
            <w:tcW w:w="992" w:type="dxa"/>
            <w:vAlign w:val="center"/>
          </w:tcPr>
          <w:p w14:paraId="6389ACC9">
            <w:pPr>
              <w:widowControl/>
              <w:jc w:val="center"/>
              <w:rPr>
                <w:color w:val="000000"/>
                <w:kern w:val="0"/>
                <w:sz w:val="22"/>
                <w:szCs w:val="22"/>
              </w:rPr>
            </w:pPr>
            <w:r>
              <w:rPr>
                <w:rFonts w:eastAsia="等线"/>
                <w:color w:val="000000"/>
                <w:sz w:val="22"/>
                <w:szCs w:val="22"/>
              </w:rPr>
              <w:t>1785.1</w:t>
            </w:r>
          </w:p>
        </w:tc>
        <w:tc>
          <w:tcPr>
            <w:tcW w:w="1071" w:type="dxa"/>
            <w:vAlign w:val="center"/>
          </w:tcPr>
          <w:p w14:paraId="33B69813">
            <w:pPr>
              <w:widowControl/>
              <w:jc w:val="center"/>
              <w:rPr>
                <w:color w:val="000000"/>
                <w:kern w:val="0"/>
                <w:sz w:val="22"/>
                <w:szCs w:val="22"/>
              </w:rPr>
            </w:pPr>
            <w:r>
              <w:rPr>
                <w:rFonts w:eastAsia="等线"/>
                <w:color w:val="000000"/>
                <w:sz w:val="22"/>
                <w:szCs w:val="22"/>
              </w:rPr>
              <w:t>2920</w:t>
            </w:r>
          </w:p>
        </w:tc>
        <w:tc>
          <w:tcPr>
            <w:tcW w:w="960" w:type="dxa"/>
            <w:vAlign w:val="center"/>
          </w:tcPr>
          <w:p w14:paraId="7EF4F0CF">
            <w:pPr>
              <w:widowControl/>
              <w:jc w:val="center"/>
              <w:rPr>
                <w:color w:val="000000"/>
                <w:kern w:val="0"/>
                <w:sz w:val="22"/>
                <w:szCs w:val="22"/>
              </w:rPr>
            </w:pPr>
            <w:r>
              <w:rPr>
                <w:rFonts w:eastAsia="等线"/>
                <w:color w:val="000000"/>
                <w:sz w:val="22"/>
                <w:szCs w:val="22"/>
              </w:rPr>
              <w:t>3139</w:t>
            </w:r>
          </w:p>
        </w:tc>
        <w:tc>
          <w:tcPr>
            <w:tcW w:w="960" w:type="dxa"/>
            <w:vAlign w:val="center"/>
          </w:tcPr>
          <w:p w14:paraId="15C72239">
            <w:pPr>
              <w:widowControl/>
              <w:jc w:val="center"/>
              <w:rPr>
                <w:color w:val="000000"/>
                <w:kern w:val="0"/>
                <w:sz w:val="22"/>
                <w:szCs w:val="22"/>
              </w:rPr>
            </w:pPr>
            <w:r>
              <w:rPr>
                <w:rFonts w:eastAsia="等线"/>
                <w:color w:val="000000"/>
                <w:sz w:val="22"/>
                <w:szCs w:val="22"/>
              </w:rPr>
              <w:t>1597.7</w:t>
            </w:r>
          </w:p>
        </w:tc>
        <w:tc>
          <w:tcPr>
            <w:tcW w:w="960" w:type="dxa"/>
            <w:vAlign w:val="center"/>
          </w:tcPr>
          <w:p w14:paraId="1378A346">
            <w:pPr>
              <w:widowControl/>
              <w:jc w:val="center"/>
              <w:rPr>
                <w:color w:val="000000"/>
                <w:kern w:val="0"/>
                <w:sz w:val="22"/>
                <w:szCs w:val="22"/>
              </w:rPr>
            </w:pPr>
            <w:r>
              <w:rPr>
                <w:rFonts w:eastAsia="等线"/>
                <w:color w:val="000000"/>
                <w:sz w:val="22"/>
                <w:szCs w:val="22"/>
              </w:rPr>
              <w:t>1785.1</w:t>
            </w:r>
          </w:p>
        </w:tc>
        <w:tc>
          <w:tcPr>
            <w:tcW w:w="960" w:type="dxa"/>
            <w:vAlign w:val="center"/>
          </w:tcPr>
          <w:p w14:paraId="161C819C">
            <w:pPr>
              <w:widowControl/>
              <w:jc w:val="center"/>
              <w:rPr>
                <w:color w:val="000000"/>
                <w:kern w:val="0"/>
                <w:sz w:val="22"/>
                <w:szCs w:val="22"/>
              </w:rPr>
            </w:pPr>
            <w:r>
              <w:rPr>
                <w:rFonts w:eastAsia="等线"/>
                <w:color w:val="000000"/>
                <w:sz w:val="22"/>
                <w:szCs w:val="22"/>
              </w:rPr>
              <w:t>1198.3</w:t>
            </w:r>
          </w:p>
        </w:tc>
        <w:tc>
          <w:tcPr>
            <w:tcW w:w="960" w:type="dxa"/>
            <w:vAlign w:val="center"/>
          </w:tcPr>
          <w:p w14:paraId="5EA4F498">
            <w:pPr>
              <w:widowControl/>
              <w:jc w:val="center"/>
              <w:rPr>
                <w:color w:val="000000"/>
                <w:kern w:val="0"/>
                <w:sz w:val="22"/>
                <w:szCs w:val="22"/>
              </w:rPr>
            </w:pPr>
            <w:r>
              <w:rPr>
                <w:rFonts w:eastAsia="等线"/>
                <w:color w:val="000000"/>
                <w:sz w:val="22"/>
                <w:szCs w:val="22"/>
              </w:rPr>
              <w:t>1428.1</w:t>
            </w:r>
          </w:p>
        </w:tc>
      </w:tr>
      <w:tr w14:paraId="34BE2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655FF8AE">
            <w:pPr>
              <w:widowControl/>
              <w:jc w:val="center"/>
              <w:rPr>
                <w:color w:val="000000"/>
                <w:kern w:val="0"/>
                <w:sz w:val="22"/>
                <w:szCs w:val="22"/>
              </w:rPr>
            </w:pPr>
            <w:r>
              <w:rPr>
                <w:color w:val="000000"/>
                <w:kern w:val="0"/>
                <w:sz w:val="22"/>
                <w:szCs w:val="22"/>
              </w:rPr>
              <w:t>安城镇</w:t>
            </w:r>
          </w:p>
        </w:tc>
        <w:tc>
          <w:tcPr>
            <w:tcW w:w="993" w:type="dxa"/>
            <w:vAlign w:val="center"/>
          </w:tcPr>
          <w:p w14:paraId="2DD40ABF">
            <w:pPr>
              <w:widowControl/>
              <w:jc w:val="center"/>
              <w:rPr>
                <w:color w:val="000000"/>
                <w:kern w:val="0"/>
                <w:sz w:val="22"/>
                <w:szCs w:val="22"/>
              </w:rPr>
            </w:pPr>
            <w:r>
              <w:rPr>
                <w:rFonts w:eastAsia="等线"/>
                <w:color w:val="000000"/>
                <w:sz w:val="22"/>
                <w:szCs w:val="22"/>
              </w:rPr>
              <w:t>206.3</w:t>
            </w:r>
          </w:p>
        </w:tc>
        <w:tc>
          <w:tcPr>
            <w:tcW w:w="992" w:type="dxa"/>
            <w:vAlign w:val="center"/>
          </w:tcPr>
          <w:p w14:paraId="3AAD0B91">
            <w:pPr>
              <w:widowControl/>
              <w:jc w:val="center"/>
              <w:rPr>
                <w:color w:val="000000"/>
                <w:kern w:val="0"/>
                <w:sz w:val="22"/>
                <w:szCs w:val="22"/>
              </w:rPr>
            </w:pPr>
            <w:r>
              <w:rPr>
                <w:rFonts w:eastAsia="等线"/>
                <w:color w:val="000000"/>
                <w:sz w:val="22"/>
                <w:szCs w:val="22"/>
              </w:rPr>
              <w:t>451.9</w:t>
            </w:r>
          </w:p>
        </w:tc>
        <w:tc>
          <w:tcPr>
            <w:tcW w:w="1071" w:type="dxa"/>
            <w:vAlign w:val="center"/>
          </w:tcPr>
          <w:p w14:paraId="1BA18CC6">
            <w:pPr>
              <w:widowControl/>
              <w:jc w:val="center"/>
              <w:rPr>
                <w:color w:val="000000"/>
                <w:kern w:val="0"/>
                <w:sz w:val="22"/>
                <w:szCs w:val="22"/>
              </w:rPr>
            </w:pPr>
            <w:r>
              <w:rPr>
                <w:rFonts w:eastAsia="等线"/>
                <w:color w:val="000000"/>
                <w:sz w:val="22"/>
                <w:szCs w:val="22"/>
              </w:rPr>
              <w:t>365</w:t>
            </w:r>
          </w:p>
        </w:tc>
        <w:tc>
          <w:tcPr>
            <w:tcW w:w="960" w:type="dxa"/>
            <w:vAlign w:val="center"/>
          </w:tcPr>
          <w:p w14:paraId="1FA24C44">
            <w:pPr>
              <w:widowControl/>
              <w:jc w:val="center"/>
              <w:rPr>
                <w:color w:val="000000"/>
                <w:kern w:val="0"/>
                <w:sz w:val="22"/>
                <w:szCs w:val="22"/>
              </w:rPr>
            </w:pPr>
            <w:r>
              <w:rPr>
                <w:rFonts w:eastAsia="等线"/>
                <w:color w:val="000000"/>
                <w:sz w:val="22"/>
                <w:szCs w:val="22"/>
              </w:rPr>
              <w:t>730</w:t>
            </w:r>
          </w:p>
        </w:tc>
        <w:tc>
          <w:tcPr>
            <w:tcW w:w="960" w:type="dxa"/>
            <w:vAlign w:val="center"/>
          </w:tcPr>
          <w:p w14:paraId="3054995B">
            <w:pPr>
              <w:widowControl/>
              <w:jc w:val="center"/>
              <w:rPr>
                <w:color w:val="000000"/>
                <w:kern w:val="0"/>
                <w:sz w:val="22"/>
                <w:szCs w:val="22"/>
              </w:rPr>
            </w:pPr>
            <w:r>
              <w:rPr>
                <w:rFonts w:eastAsia="等线"/>
                <w:color w:val="000000"/>
                <w:sz w:val="22"/>
                <w:szCs w:val="22"/>
              </w:rPr>
              <w:t>206.3</w:t>
            </w:r>
          </w:p>
        </w:tc>
        <w:tc>
          <w:tcPr>
            <w:tcW w:w="960" w:type="dxa"/>
            <w:vAlign w:val="center"/>
          </w:tcPr>
          <w:p w14:paraId="388C0AEE">
            <w:pPr>
              <w:widowControl/>
              <w:jc w:val="center"/>
              <w:rPr>
                <w:color w:val="000000"/>
                <w:kern w:val="0"/>
                <w:sz w:val="22"/>
                <w:szCs w:val="22"/>
              </w:rPr>
            </w:pPr>
            <w:r>
              <w:rPr>
                <w:rFonts w:eastAsia="等线"/>
                <w:color w:val="000000"/>
                <w:sz w:val="22"/>
                <w:szCs w:val="22"/>
              </w:rPr>
              <w:t>451.9</w:t>
            </w:r>
          </w:p>
        </w:tc>
        <w:tc>
          <w:tcPr>
            <w:tcW w:w="960" w:type="dxa"/>
            <w:vAlign w:val="center"/>
          </w:tcPr>
          <w:p w14:paraId="6F8C2240">
            <w:pPr>
              <w:widowControl/>
              <w:jc w:val="center"/>
              <w:rPr>
                <w:color w:val="000000"/>
                <w:kern w:val="0"/>
                <w:sz w:val="22"/>
                <w:szCs w:val="22"/>
              </w:rPr>
            </w:pPr>
            <w:r>
              <w:rPr>
                <w:rFonts w:eastAsia="等线"/>
                <w:color w:val="000000"/>
                <w:sz w:val="22"/>
                <w:szCs w:val="22"/>
              </w:rPr>
              <w:t>154.7</w:t>
            </w:r>
          </w:p>
        </w:tc>
        <w:tc>
          <w:tcPr>
            <w:tcW w:w="960" w:type="dxa"/>
            <w:vAlign w:val="center"/>
          </w:tcPr>
          <w:p w14:paraId="6E0AF0A0">
            <w:pPr>
              <w:widowControl/>
              <w:jc w:val="center"/>
              <w:rPr>
                <w:color w:val="000000"/>
                <w:kern w:val="0"/>
                <w:sz w:val="22"/>
                <w:szCs w:val="22"/>
              </w:rPr>
            </w:pPr>
            <w:r>
              <w:rPr>
                <w:rFonts w:eastAsia="等线"/>
                <w:color w:val="000000"/>
                <w:sz w:val="22"/>
                <w:szCs w:val="22"/>
              </w:rPr>
              <w:t>361.5</w:t>
            </w:r>
          </w:p>
        </w:tc>
      </w:tr>
      <w:tr w14:paraId="5F01F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7D34383A">
            <w:pPr>
              <w:widowControl/>
              <w:jc w:val="center"/>
              <w:rPr>
                <w:color w:val="000000"/>
                <w:kern w:val="0"/>
                <w:sz w:val="22"/>
                <w:szCs w:val="22"/>
              </w:rPr>
            </w:pPr>
            <w:r>
              <w:rPr>
                <w:color w:val="000000"/>
                <w:kern w:val="0"/>
                <w:sz w:val="22"/>
                <w:szCs w:val="22"/>
              </w:rPr>
              <w:t>东阿镇</w:t>
            </w:r>
          </w:p>
        </w:tc>
        <w:tc>
          <w:tcPr>
            <w:tcW w:w="993" w:type="dxa"/>
            <w:vAlign w:val="center"/>
          </w:tcPr>
          <w:p w14:paraId="575E0081">
            <w:pPr>
              <w:widowControl/>
              <w:jc w:val="center"/>
              <w:rPr>
                <w:color w:val="000000"/>
                <w:kern w:val="0"/>
                <w:sz w:val="22"/>
                <w:szCs w:val="22"/>
              </w:rPr>
            </w:pPr>
            <w:r>
              <w:rPr>
                <w:rFonts w:eastAsia="等线"/>
                <w:color w:val="000000"/>
                <w:sz w:val="22"/>
                <w:szCs w:val="22"/>
              </w:rPr>
              <w:t>71.2</w:t>
            </w:r>
          </w:p>
        </w:tc>
        <w:tc>
          <w:tcPr>
            <w:tcW w:w="992" w:type="dxa"/>
            <w:vAlign w:val="center"/>
          </w:tcPr>
          <w:p w14:paraId="4C464362">
            <w:pPr>
              <w:widowControl/>
              <w:jc w:val="center"/>
              <w:rPr>
                <w:color w:val="000000"/>
                <w:kern w:val="0"/>
                <w:sz w:val="22"/>
                <w:szCs w:val="22"/>
              </w:rPr>
            </w:pPr>
            <w:r>
              <w:rPr>
                <w:rFonts w:eastAsia="等线"/>
                <w:color w:val="000000"/>
                <w:sz w:val="22"/>
                <w:szCs w:val="22"/>
              </w:rPr>
              <w:t>116.3</w:t>
            </w:r>
          </w:p>
        </w:tc>
        <w:tc>
          <w:tcPr>
            <w:tcW w:w="1071" w:type="dxa"/>
            <w:vAlign w:val="center"/>
          </w:tcPr>
          <w:p w14:paraId="3E93DD5E">
            <w:pPr>
              <w:widowControl/>
              <w:jc w:val="center"/>
              <w:rPr>
                <w:color w:val="000000"/>
                <w:kern w:val="0"/>
                <w:sz w:val="22"/>
                <w:szCs w:val="22"/>
              </w:rPr>
            </w:pPr>
            <w:r>
              <w:rPr>
                <w:rFonts w:eastAsia="等线"/>
                <w:color w:val="000000"/>
                <w:sz w:val="22"/>
                <w:szCs w:val="22"/>
              </w:rPr>
              <w:t>109.5</w:t>
            </w:r>
          </w:p>
        </w:tc>
        <w:tc>
          <w:tcPr>
            <w:tcW w:w="960" w:type="dxa"/>
            <w:vAlign w:val="center"/>
          </w:tcPr>
          <w:p w14:paraId="49A04606">
            <w:pPr>
              <w:widowControl/>
              <w:jc w:val="center"/>
              <w:rPr>
                <w:color w:val="000000"/>
                <w:kern w:val="0"/>
                <w:sz w:val="22"/>
                <w:szCs w:val="22"/>
              </w:rPr>
            </w:pPr>
            <w:r>
              <w:rPr>
                <w:rFonts w:eastAsia="等线"/>
                <w:color w:val="000000"/>
                <w:sz w:val="22"/>
                <w:szCs w:val="22"/>
              </w:rPr>
              <w:t>219</w:t>
            </w:r>
          </w:p>
        </w:tc>
        <w:tc>
          <w:tcPr>
            <w:tcW w:w="960" w:type="dxa"/>
            <w:vAlign w:val="center"/>
          </w:tcPr>
          <w:p w14:paraId="24AB3D15">
            <w:pPr>
              <w:widowControl/>
              <w:jc w:val="center"/>
              <w:rPr>
                <w:color w:val="000000"/>
                <w:kern w:val="0"/>
                <w:sz w:val="22"/>
                <w:szCs w:val="22"/>
              </w:rPr>
            </w:pPr>
            <w:r>
              <w:rPr>
                <w:rFonts w:eastAsia="等线"/>
                <w:color w:val="000000"/>
                <w:sz w:val="22"/>
                <w:szCs w:val="22"/>
              </w:rPr>
              <w:t>71.2</w:t>
            </w:r>
          </w:p>
        </w:tc>
        <w:tc>
          <w:tcPr>
            <w:tcW w:w="960" w:type="dxa"/>
            <w:vAlign w:val="center"/>
          </w:tcPr>
          <w:p w14:paraId="58530D7E">
            <w:pPr>
              <w:widowControl/>
              <w:jc w:val="center"/>
              <w:rPr>
                <w:color w:val="000000"/>
                <w:kern w:val="0"/>
                <w:sz w:val="22"/>
                <w:szCs w:val="22"/>
              </w:rPr>
            </w:pPr>
            <w:r>
              <w:rPr>
                <w:rFonts w:eastAsia="等线"/>
                <w:color w:val="000000"/>
                <w:sz w:val="22"/>
                <w:szCs w:val="22"/>
              </w:rPr>
              <w:t>116.3</w:t>
            </w:r>
          </w:p>
        </w:tc>
        <w:tc>
          <w:tcPr>
            <w:tcW w:w="960" w:type="dxa"/>
            <w:vAlign w:val="center"/>
          </w:tcPr>
          <w:p w14:paraId="053983D4">
            <w:pPr>
              <w:widowControl/>
              <w:jc w:val="center"/>
              <w:rPr>
                <w:color w:val="000000"/>
                <w:kern w:val="0"/>
                <w:sz w:val="22"/>
                <w:szCs w:val="22"/>
              </w:rPr>
            </w:pPr>
            <w:r>
              <w:rPr>
                <w:rFonts w:eastAsia="等线"/>
                <w:color w:val="000000"/>
                <w:sz w:val="22"/>
                <w:szCs w:val="22"/>
              </w:rPr>
              <w:t>53.4</w:t>
            </w:r>
          </w:p>
        </w:tc>
        <w:tc>
          <w:tcPr>
            <w:tcW w:w="960" w:type="dxa"/>
            <w:vAlign w:val="center"/>
          </w:tcPr>
          <w:p w14:paraId="0A830275">
            <w:pPr>
              <w:widowControl/>
              <w:jc w:val="center"/>
              <w:rPr>
                <w:color w:val="000000"/>
                <w:kern w:val="0"/>
                <w:sz w:val="22"/>
                <w:szCs w:val="22"/>
              </w:rPr>
            </w:pPr>
            <w:r>
              <w:rPr>
                <w:rFonts w:eastAsia="等线"/>
                <w:color w:val="000000"/>
                <w:sz w:val="22"/>
                <w:szCs w:val="22"/>
              </w:rPr>
              <w:t>93</w:t>
            </w:r>
          </w:p>
        </w:tc>
      </w:tr>
      <w:tr w14:paraId="6F366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6A51C3D3">
            <w:pPr>
              <w:widowControl/>
              <w:jc w:val="center"/>
              <w:rPr>
                <w:color w:val="000000"/>
                <w:kern w:val="0"/>
                <w:sz w:val="22"/>
                <w:szCs w:val="22"/>
              </w:rPr>
            </w:pPr>
            <w:r>
              <w:rPr>
                <w:color w:val="000000"/>
                <w:kern w:val="0"/>
                <w:sz w:val="22"/>
                <w:szCs w:val="22"/>
              </w:rPr>
              <w:t>孔村镇</w:t>
            </w:r>
          </w:p>
        </w:tc>
        <w:tc>
          <w:tcPr>
            <w:tcW w:w="993" w:type="dxa"/>
            <w:vAlign w:val="center"/>
          </w:tcPr>
          <w:p w14:paraId="5DD275C7">
            <w:pPr>
              <w:widowControl/>
              <w:jc w:val="center"/>
              <w:rPr>
                <w:color w:val="000000"/>
                <w:kern w:val="0"/>
                <w:sz w:val="22"/>
                <w:szCs w:val="22"/>
              </w:rPr>
            </w:pPr>
            <w:r>
              <w:rPr>
                <w:rFonts w:eastAsia="等线"/>
                <w:color w:val="000000"/>
                <w:sz w:val="22"/>
                <w:szCs w:val="22"/>
              </w:rPr>
              <w:t>124</w:t>
            </w:r>
          </w:p>
        </w:tc>
        <w:tc>
          <w:tcPr>
            <w:tcW w:w="992" w:type="dxa"/>
            <w:vAlign w:val="center"/>
          </w:tcPr>
          <w:p w14:paraId="6DFD445B">
            <w:pPr>
              <w:widowControl/>
              <w:jc w:val="center"/>
              <w:rPr>
                <w:color w:val="000000"/>
                <w:kern w:val="0"/>
                <w:sz w:val="22"/>
                <w:szCs w:val="22"/>
              </w:rPr>
            </w:pPr>
            <w:r>
              <w:rPr>
                <w:rFonts w:eastAsia="等线"/>
                <w:color w:val="000000"/>
                <w:sz w:val="22"/>
                <w:szCs w:val="22"/>
              </w:rPr>
              <w:t>191.1</w:t>
            </w:r>
          </w:p>
        </w:tc>
        <w:tc>
          <w:tcPr>
            <w:tcW w:w="1071" w:type="dxa"/>
            <w:vAlign w:val="center"/>
          </w:tcPr>
          <w:p w14:paraId="28345AEF">
            <w:pPr>
              <w:widowControl/>
              <w:jc w:val="center"/>
              <w:rPr>
                <w:color w:val="000000"/>
                <w:kern w:val="0"/>
                <w:sz w:val="22"/>
                <w:szCs w:val="22"/>
              </w:rPr>
            </w:pPr>
            <w:r>
              <w:rPr>
                <w:rFonts w:eastAsia="等线"/>
                <w:color w:val="000000"/>
                <w:sz w:val="22"/>
                <w:szCs w:val="22"/>
              </w:rPr>
              <w:t>292</w:t>
            </w:r>
          </w:p>
        </w:tc>
        <w:tc>
          <w:tcPr>
            <w:tcW w:w="960" w:type="dxa"/>
            <w:vAlign w:val="center"/>
          </w:tcPr>
          <w:p w14:paraId="7B9150AC">
            <w:pPr>
              <w:widowControl/>
              <w:jc w:val="center"/>
              <w:rPr>
                <w:color w:val="000000"/>
                <w:kern w:val="0"/>
                <w:sz w:val="22"/>
                <w:szCs w:val="22"/>
              </w:rPr>
            </w:pPr>
            <w:r>
              <w:rPr>
                <w:rFonts w:eastAsia="等线"/>
                <w:color w:val="000000"/>
                <w:sz w:val="22"/>
                <w:szCs w:val="22"/>
              </w:rPr>
              <w:t>292</w:t>
            </w:r>
          </w:p>
        </w:tc>
        <w:tc>
          <w:tcPr>
            <w:tcW w:w="960" w:type="dxa"/>
            <w:vAlign w:val="center"/>
          </w:tcPr>
          <w:p w14:paraId="10D0CC20">
            <w:pPr>
              <w:widowControl/>
              <w:jc w:val="center"/>
              <w:rPr>
                <w:color w:val="000000"/>
                <w:kern w:val="0"/>
                <w:sz w:val="22"/>
                <w:szCs w:val="22"/>
              </w:rPr>
            </w:pPr>
            <w:r>
              <w:rPr>
                <w:rFonts w:eastAsia="等线"/>
                <w:color w:val="000000"/>
                <w:sz w:val="22"/>
                <w:szCs w:val="22"/>
              </w:rPr>
              <w:t>124</w:t>
            </w:r>
          </w:p>
        </w:tc>
        <w:tc>
          <w:tcPr>
            <w:tcW w:w="960" w:type="dxa"/>
            <w:vAlign w:val="center"/>
          </w:tcPr>
          <w:p w14:paraId="3533A1FF">
            <w:pPr>
              <w:widowControl/>
              <w:jc w:val="center"/>
              <w:rPr>
                <w:color w:val="000000"/>
                <w:kern w:val="0"/>
                <w:sz w:val="22"/>
                <w:szCs w:val="22"/>
              </w:rPr>
            </w:pPr>
            <w:r>
              <w:rPr>
                <w:rFonts w:eastAsia="等线"/>
                <w:color w:val="000000"/>
                <w:sz w:val="22"/>
                <w:szCs w:val="22"/>
              </w:rPr>
              <w:t>191.1</w:t>
            </w:r>
          </w:p>
        </w:tc>
        <w:tc>
          <w:tcPr>
            <w:tcW w:w="960" w:type="dxa"/>
            <w:vAlign w:val="center"/>
          </w:tcPr>
          <w:p w14:paraId="18DA7A39">
            <w:pPr>
              <w:widowControl/>
              <w:jc w:val="center"/>
              <w:rPr>
                <w:color w:val="000000"/>
                <w:kern w:val="0"/>
                <w:sz w:val="22"/>
                <w:szCs w:val="22"/>
              </w:rPr>
            </w:pPr>
            <w:r>
              <w:rPr>
                <w:rFonts w:eastAsia="等线"/>
                <w:color w:val="000000"/>
                <w:sz w:val="22"/>
                <w:szCs w:val="22"/>
              </w:rPr>
              <w:t>93</w:t>
            </w:r>
          </w:p>
        </w:tc>
        <w:tc>
          <w:tcPr>
            <w:tcW w:w="960" w:type="dxa"/>
            <w:vAlign w:val="center"/>
          </w:tcPr>
          <w:p w14:paraId="108F943B">
            <w:pPr>
              <w:widowControl/>
              <w:jc w:val="center"/>
              <w:rPr>
                <w:color w:val="000000"/>
                <w:kern w:val="0"/>
                <w:sz w:val="22"/>
                <w:szCs w:val="22"/>
              </w:rPr>
            </w:pPr>
            <w:r>
              <w:rPr>
                <w:rFonts w:eastAsia="等线"/>
                <w:color w:val="000000"/>
                <w:sz w:val="22"/>
                <w:szCs w:val="22"/>
              </w:rPr>
              <w:t>152.9</w:t>
            </w:r>
          </w:p>
        </w:tc>
      </w:tr>
      <w:tr w14:paraId="193F9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14EACAE0">
            <w:pPr>
              <w:widowControl/>
              <w:jc w:val="center"/>
              <w:rPr>
                <w:color w:val="000000"/>
                <w:kern w:val="0"/>
                <w:sz w:val="22"/>
                <w:szCs w:val="22"/>
              </w:rPr>
            </w:pPr>
            <w:r>
              <w:rPr>
                <w:color w:val="000000"/>
                <w:kern w:val="0"/>
                <w:sz w:val="22"/>
                <w:szCs w:val="22"/>
              </w:rPr>
              <w:t>孝直镇</w:t>
            </w:r>
          </w:p>
        </w:tc>
        <w:tc>
          <w:tcPr>
            <w:tcW w:w="993" w:type="dxa"/>
            <w:vAlign w:val="center"/>
          </w:tcPr>
          <w:p w14:paraId="0E75AF8C">
            <w:pPr>
              <w:widowControl/>
              <w:jc w:val="center"/>
              <w:rPr>
                <w:color w:val="000000"/>
                <w:kern w:val="0"/>
                <w:sz w:val="22"/>
                <w:szCs w:val="22"/>
              </w:rPr>
            </w:pPr>
            <w:r>
              <w:rPr>
                <w:rFonts w:eastAsia="等线"/>
                <w:color w:val="000000"/>
                <w:sz w:val="22"/>
                <w:szCs w:val="22"/>
              </w:rPr>
              <w:t>72.9</w:t>
            </w:r>
          </w:p>
        </w:tc>
        <w:tc>
          <w:tcPr>
            <w:tcW w:w="992" w:type="dxa"/>
            <w:vAlign w:val="center"/>
          </w:tcPr>
          <w:p w14:paraId="53DC3BDD">
            <w:pPr>
              <w:widowControl/>
              <w:jc w:val="center"/>
              <w:rPr>
                <w:color w:val="000000"/>
                <w:kern w:val="0"/>
                <w:sz w:val="22"/>
                <w:szCs w:val="22"/>
              </w:rPr>
            </w:pPr>
            <w:r>
              <w:rPr>
                <w:rFonts w:eastAsia="等线"/>
                <w:color w:val="000000"/>
                <w:sz w:val="22"/>
                <w:szCs w:val="22"/>
              </w:rPr>
              <w:t>98.4</w:t>
            </w:r>
          </w:p>
        </w:tc>
        <w:tc>
          <w:tcPr>
            <w:tcW w:w="1071" w:type="dxa"/>
            <w:vAlign w:val="center"/>
          </w:tcPr>
          <w:p w14:paraId="42F17B5B">
            <w:pPr>
              <w:widowControl/>
              <w:jc w:val="center"/>
              <w:rPr>
                <w:color w:val="000000"/>
                <w:kern w:val="0"/>
                <w:sz w:val="22"/>
                <w:szCs w:val="22"/>
              </w:rPr>
            </w:pPr>
            <w:r>
              <w:rPr>
                <w:rFonts w:eastAsia="等线"/>
                <w:color w:val="000000"/>
                <w:sz w:val="22"/>
                <w:szCs w:val="22"/>
              </w:rPr>
              <w:t>109.5</w:t>
            </w:r>
          </w:p>
        </w:tc>
        <w:tc>
          <w:tcPr>
            <w:tcW w:w="960" w:type="dxa"/>
            <w:vAlign w:val="center"/>
          </w:tcPr>
          <w:p w14:paraId="45162561">
            <w:pPr>
              <w:widowControl/>
              <w:jc w:val="center"/>
              <w:rPr>
                <w:color w:val="000000"/>
                <w:kern w:val="0"/>
                <w:sz w:val="22"/>
                <w:szCs w:val="22"/>
              </w:rPr>
            </w:pPr>
            <w:r>
              <w:rPr>
                <w:rFonts w:eastAsia="等线"/>
                <w:color w:val="000000"/>
                <w:sz w:val="22"/>
                <w:szCs w:val="22"/>
              </w:rPr>
              <w:t>219</w:t>
            </w:r>
          </w:p>
        </w:tc>
        <w:tc>
          <w:tcPr>
            <w:tcW w:w="960" w:type="dxa"/>
            <w:vAlign w:val="center"/>
          </w:tcPr>
          <w:p w14:paraId="7DA4D379">
            <w:pPr>
              <w:widowControl/>
              <w:jc w:val="center"/>
              <w:rPr>
                <w:color w:val="000000"/>
                <w:kern w:val="0"/>
                <w:sz w:val="22"/>
                <w:szCs w:val="22"/>
              </w:rPr>
            </w:pPr>
            <w:r>
              <w:rPr>
                <w:rFonts w:eastAsia="等线"/>
                <w:color w:val="000000"/>
                <w:sz w:val="22"/>
                <w:szCs w:val="22"/>
              </w:rPr>
              <w:t>72.9</w:t>
            </w:r>
          </w:p>
        </w:tc>
        <w:tc>
          <w:tcPr>
            <w:tcW w:w="960" w:type="dxa"/>
            <w:vAlign w:val="center"/>
          </w:tcPr>
          <w:p w14:paraId="3751D5F9">
            <w:pPr>
              <w:widowControl/>
              <w:jc w:val="center"/>
              <w:rPr>
                <w:color w:val="000000"/>
                <w:kern w:val="0"/>
                <w:sz w:val="22"/>
                <w:szCs w:val="22"/>
              </w:rPr>
            </w:pPr>
            <w:r>
              <w:rPr>
                <w:rFonts w:eastAsia="等线"/>
                <w:color w:val="000000"/>
                <w:sz w:val="22"/>
                <w:szCs w:val="22"/>
              </w:rPr>
              <w:t>98.4</w:t>
            </w:r>
          </w:p>
        </w:tc>
        <w:tc>
          <w:tcPr>
            <w:tcW w:w="960" w:type="dxa"/>
            <w:vAlign w:val="center"/>
          </w:tcPr>
          <w:p w14:paraId="598A859A">
            <w:pPr>
              <w:widowControl/>
              <w:jc w:val="center"/>
              <w:rPr>
                <w:color w:val="000000"/>
                <w:kern w:val="0"/>
                <w:sz w:val="22"/>
                <w:szCs w:val="22"/>
              </w:rPr>
            </w:pPr>
            <w:r>
              <w:rPr>
                <w:rFonts w:eastAsia="等线"/>
                <w:color w:val="000000"/>
                <w:sz w:val="22"/>
                <w:szCs w:val="22"/>
              </w:rPr>
              <w:t>54.7</w:t>
            </w:r>
          </w:p>
        </w:tc>
        <w:tc>
          <w:tcPr>
            <w:tcW w:w="960" w:type="dxa"/>
            <w:vAlign w:val="center"/>
          </w:tcPr>
          <w:p w14:paraId="32343E1C">
            <w:pPr>
              <w:widowControl/>
              <w:jc w:val="center"/>
              <w:rPr>
                <w:color w:val="000000"/>
                <w:kern w:val="0"/>
                <w:sz w:val="22"/>
                <w:szCs w:val="22"/>
              </w:rPr>
            </w:pPr>
            <w:r>
              <w:rPr>
                <w:rFonts w:eastAsia="等线"/>
                <w:color w:val="000000"/>
                <w:sz w:val="22"/>
                <w:szCs w:val="22"/>
              </w:rPr>
              <w:t>78.7</w:t>
            </w:r>
          </w:p>
        </w:tc>
      </w:tr>
      <w:tr w14:paraId="20226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37B184AD">
            <w:pPr>
              <w:widowControl/>
              <w:jc w:val="center"/>
              <w:rPr>
                <w:color w:val="000000"/>
                <w:kern w:val="0"/>
                <w:sz w:val="22"/>
                <w:szCs w:val="22"/>
              </w:rPr>
            </w:pPr>
            <w:r>
              <w:rPr>
                <w:color w:val="000000"/>
                <w:kern w:val="0"/>
                <w:sz w:val="22"/>
                <w:szCs w:val="22"/>
              </w:rPr>
              <w:t>玫瑰镇</w:t>
            </w:r>
          </w:p>
        </w:tc>
        <w:tc>
          <w:tcPr>
            <w:tcW w:w="993" w:type="dxa"/>
            <w:vAlign w:val="center"/>
          </w:tcPr>
          <w:p w14:paraId="303BABB4">
            <w:pPr>
              <w:widowControl/>
              <w:jc w:val="center"/>
              <w:rPr>
                <w:color w:val="000000"/>
                <w:kern w:val="0"/>
                <w:sz w:val="22"/>
                <w:szCs w:val="22"/>
              </w:rPr>
            </w:pPr>
            <w:r>
              <w:rPr>
                <w:rFonts w:eastAsia="等线"/>
                <w:color w:val="000000"/>
                <w:sz w:val="22"/>
                <w:szCs w:val="22"/>
              </w:rPr>
              <w:t>26.1</w:t>
            </w:r>
          </w:p>
        </w:tc>
        <w:tc>
          <w:tcPr>
            <w:tcW w:w="992" w:type="dxa"/>
            <w:vAlign w:val="center"/>
          </w:tcPr>
          <w:p w14:paraId="7C36DD79">
            <w:pPr>
              <w:widowControl/>
              <w:jc w:val="center"/>
              <w:rPr>
                <w:color w:val="000000"/>
                <w:kern w:val="0"/>
                <w:sz w:val="22"/>
                <w:szCs w:val="22"/>
              </w:rPr>
            </w:pPr>
            <w:r>
              <w:rPr>
                <w:rFonts w:eastAsia="等线"/>
                <w:color w:val="000000"/>
                <w:sz w:val="22"/>
                <w:szCs w:val="22"/>
              </w:rPr>
              <w:t>47.1</w:t>
            </w:r>
          </w:p>
        </w:tc>
        <w:tc>
          <w:tcPr>
            <w:tcW w:w="1071" w:type="dxa"/>
            <w:vAlign w:val="center"/>
          </w:tcPr>
          <w:p w14:paraId="5FDB56ED">
            <w:pPr>
              <w:widowControl/>
              <w:jc w:val="center"/>
              <w:rPr>
                <w:color w:val="000000"/>
                <w:kern w:val="0"/>
                <w:sz w:val="22"/>
                <w:szCs w:val="22"/>
              </w:rPr>
            </w:pPr>
            <w:r>
              <w:rPr>
                <w:rFonts w:eastAsia="等线"/>
                <w:color w:val="000000"/>
                <w:sz w:val="22"/>
                <w:szCs w:val="22"/>
              </w:rPr>
              <w:t>36.5</w:t>
            </w:r>
          </w:p>
        </w:tc>
        <w:tc>
          <w:tcPr>
            <w:tcW w:w="960" w:type="dxa"/>
            <w:vAlign w:val="center"/>
          </w:tcPr>
          <w:p w14:paraId="7CA2B88E">
            <w:pPr>
              <w:widowControl/>
              <w:jc w:val="center"/>
              <w:rPr>
                <w:color w:val="000000"/>
                <w:kern w:val="0"/>
                <w:sz w:val="22"/>
                <w:szCs w:val="22"/>
              </w:rPr>
            </w:pPr>
            <w:r>
              <w:rPr>
                <w:rFonts w:eastAsia="等线"/>
                <w:color w:val="000000"/>
                <w:sz w:val="22"/>
                <w:szCs w:val="22"/>
              </w:rPr>
              <w:t>255.5</w:t>
            </w:r>
          </w:p>
        </w:tc>
        <w:tc>
          <w:tcPr>
            <w:tcW w:w="960" w:type="dxa"/>
            <w:vAlign w:val="center"/>
          </w:tcPr>
          <w:p w14:paraId="098F2676">
            <w:pPr>
              <w:widowControl/>
              <w:jc w:val="center"/>
              <w:rPr>
                <w:color w:val="000000"/>
                <w:kern w:val="0"/>
                <w:sz w:val="22"/>
                <w:szCs w:val="22"/>
              </w:rPr>
            </w:pPr>
            <w:r>
              <w:rPr>
                <w:rFonts w:eastAsia="等线"/>
                <w:color w:val="000000"/>
                <w:sz w:val="22"/>
                <w:szCs w:val="22"/>
              </w:rPr>
              <w:t>26.1</w:t>
            </w:r>
          </w:p>
        </w:tc>
        <w:tc>
          <w:tcPr>
            <w:tcW w:w="960" w:type="dxa"/>
            <w:vAlign w:val="center"/>
          </w:tcPr>
          <w:p w14:paraId="53C32E8B">
            <w:pPr>
              <w:widowControl/>
              <w:jc w:val="center"/>
              <w:rPr>
                <w:color w:val="000000"/>
                <w:kern w:val="0"/>
                <w:sz w:val="22"/>
                <w:szCs w:val="22"/>
              </w:rPr>
            </w:pPr>
            <w:r>
              <w:rPr>
                <w:rFonts w:eastAsia="等线"/>
                <w:color w:val="000000"/>
                <w:sz w:val="22"/>
                <w:szCs w:val="22"/>
              </w:rPr>
              <w:t>47.1</w:t>
            </w:r>
          </w:p>
        </w:tc>
        <w:tc>
          <w:tcPr>
            <w:tcW w:w="960" w:type="dxa"/>
            <w:vAlign w:val="center"/>
          </w:tcPr>
          <w:p w14:paraId="01DD74C0">
            <w:pPr>
              <w:widowControl/>
              <w:jc w:val="center"/>
              <w:rPr>
                <w:color w:val="000000"/>
                <w:kern w:val="0"/>
                <w:sz w:val="22"/>
                <w:szCs w:val="22"/>
              </w:rPr>
            </w:pPr>
            <w:r>
              <w:rPr>
                <w:rFonts w:eastAsia="等线"/>
                <w:color w:val="000000"/>
                <w:sz w:val="22"/>
                <w:szCs w:val="22"/>
              </w:rPr>
              <w:t>19.6</w:t>
            </w:r>
          </w:p>
        </w:tc>
        <w:tc>
          <w:tcPr>
            <w:tcW w:w="960" w:type="dxa"/>
            <w:vAlign w:val="center"/>
          </w:tcPr>
          <w:p w14:paraId="27D48C98">
            <w:pPr>
              <w:widowControl/>
              <w:jc w:val="center"/>
              <w:rPr>
                <w:color w:val="000000"/>
                <w:kern w:val="0"/>
                <w:sz w:val="22"/>
                <w:szCs w:val="22"/>
              </w:rPr>
            </w:pPr>
            <w:r>
              <w:rPr>
                <w:rFonts w:eastAsia="等线"/>
                <w:color w:val="000000"/>
                <w:sz w:val="22"/>
                <w:szCs w:val="22"/>
              </w:rPr>
              <w:t>37.7</w:t>
            </w:r>
          </w:p>
        </w:tc>
      </w:tr>
      <w:tr w14:paraId="291FB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630E14B0">
            <w:pPr>
              <w:widowControl/>
              <w:jc w:val="center"/>
              <w:rPr>
                <w:color w:val="000000"/>
                <w:kern w:val="0"/>
                <w:sz w:val="22"/>
                <w:szCs w:val="22"/>
              </w:rPr>
            </w:pPr>
            <w:r>
              <w:rPr>
                <w:color w:val="000000"/>
                <w:kern w:val="0"/>
                <w:sz w:val="22"/>
                <w:szCs w:val="22"/>
              </w:rPr>
              <w:t>洪范池镇</w:t>
            </w:r>
          </w:p>
        </w:tc>
        <w:tc>
          <w:tcPr>
            <w:tcW w:w="993" w:type="dxa"/>
            <w:vAlign w:val="center"/>
          </w:tcPr>
          <w:p w14:paraId="2E3C8904">
            <w:pPr>
              <w:widowControl/>
              <w:jc w:val="center"/>
              <w:rPr>
                <w:color w:val="000000"/>
                <w:kern w:val="0"/>
                <w:sz w:val="22"/>
                <w:szCs w:val="22"/>
              </w:rPr>
            </w:pPr>
            <w:r>
              <w:rPr>
                <w:rFonts w:eastAsia="等线"/>
                <w:color w:val="000000"/>
                <w:sz w:val="22"/>
                <w:szCs w:val="22"/>
              </w:rPr>
              <w:t>17.1</w:t>
            </w:r>
          </w:p>
        </w:tc>
        <w:tc>
          <w:tcPr>
            <w:tcW w:w="992" w:type="dxa"/>
            <w:vAlign w:val="center"/>
          </w:tcPr>
          <w:p w14:paraId="63613990">
            <w:pPr>
              <w:widowControl/>
              <w:jc w:val="center"/>
              <w:rPr>
                <w:color w:val="000000"/>
                <w:kern w:val="0"/>
                <w:sz w:val="22"/>
                <w:szCs w:val="22"/>
              </w:rPr>
            </w:pPr>
            <w:r>
              <w:rPr>
                <w:rFonts w:eastAsia="等线"/>
                <w:color w:val="000000"/>
                <w:sz w:val="22"/>
                <w:szCs w:val="22"/>
              </w:rPr>
              <w:t>34.4</w:t>
            </w:r>
          </w:p>
        </w:tc>
        <w:tc>
          <w:tcPr>
            <w:tcW w:w="1071" w:type="dxa"/>
            <w:vAlign w:val="center"/>
          </w:tcPr>
          <w:p w14:paraId="23EA44B9">
            <w:pPr>
              <w:widowControl/>
              <w:jc w:val="center"/>
              <w:rPr>
                <w:color w:val="000000"/>
                <w:kern w:val="0"/>
                <w:sz w:val="22"/>
                <w:szCs w:val="22"/>
              </w:rPr>
            </w:pPr>
            <w:r>
              <w:rPr>
                <w:rFonts w:eastAsia="等线"/>
                <w:color w:val="000000"/>
                <w:sz w:val="22"/>
                <w:szCs w:val="22"/>
              </w:rPr>
              <w:t>73</w:t>
            </w:r>
          </w:p>
        </w:tc>
        <w:tc>
          <w:tcPr>
            <w:tcW w:w="960" w:type="dxa"/>
            <w:vAlign w:val="center"/>
          </w:tcPr>
          <w:p w14:paraId="6D5B26E6">
            <w:pPr>
              <w:widowControl/>
              <w:jc w:val="center"/>
              <w:rPr>
                <w:color w:val="000000"/>
                <w:kern w:val="0"/>
                <w:sz w:val="22"/>
                <w:szCs w:val="22"/>
              </w:rPr>
            </w:pPr>
            <w:r>
              <w:rPr>
                <w:rFonts w:eastAsia="等线"/>
                <w:color w:val="000000"/>
                <w:sz w:val="22"/>
                <w:szCs w:val="22"/>
              </w:rPr>
              <w:t>73</w:t>
            </w:r>
          </w:p>
        </w:tc>
        <w:tc>
          <w:tcPr>
            <w:tcW w:w="960" w:type="dxa"/>
            <w:vAlign w:val="center"/>
          </w:tcPr>
          <w:p w14:paraId="5CF04083">
            <w:pPr>
              <w:widowControl/>
              <w:jc w:val="center"/>
              <w:rPr>
                <w:color w:val="000000"/>
                <w:kern w:val="0"/>
                <w:sz w:val="22"/>
                <w:szCs w:val="22"/>
              </w:rPr>
            </w:pPr>
            <w:r>
              <w:rPr>
                <w:rFonts w:eastAsia="等线"/>
                <w:color w:val="000000"/>
                <w:sz w:val="22"/>
                <w:szCs w:val="22"/>
              </w:rPr>
              <w:t>17.1</w:t>
            </w:r>
          </w:p>
        </w:tc>
        <w:tc>
          <w:tcPr>
            <w:tcW w:w="960" w:type="dxa"/>
            <w:vAlign w:val="center"/>
          </w:tcPr>
          <w:p w14:paraId="07E7BE48">
            <w:pPr>
              <w:widowControl/>
              <w:jc w:val="center"/>
              <w:rPr>
                <w:color w:val="000000"/>
                <w:kern w:val="0"/>
                <w:sz w:val="22"/>
                <w:szCs w:val="22"/>
              </w:rPr>
            </w:pPr>
            <w:r>
              <w:rPr>
                <w:rFonts w:eastAsia="等线"/>
                <w:color w:val="000000"/>
                <w:sz w:val="22"/>
                <w:szCs w:val="22"/>
              </w:rPr>
              <w:t>34.4</w:t>
            </w:r>
          </w:p>
        </w:tc>
        <w:tc>
          <w:tcPr>
            <w:tcW w:w="960" w:type="dxa"/>
            <w:vAlign w:val="center"/>
          </w:tcPr>
          <w:p w14:paraId="607B77B7">
            <w:pPr>
              <w:widowControl/>
              <w:jc w:val="center"/>
              <w:rPr>
                <w:color w:val="000000"/>
                <w:kern w:val="0"/>
                <w:sz w:val="22"/>
                <w:szCs w:val="22"/>
              </w:rPr>
            </w:pPr>
            <w:r>
              <w:rPr>
                <w:rFonts w:eastAsia="等线"/>
                <w:color w:val="000000"/>
                <w:sz w:val="22"/>
                <w:szCs w:val="22"/>
              </w:rPr>
              <w:t>12.8</w:t>
            </w:r>
          </w:p>
        </w:tc>
        <w:tc>
          <w:tcPr>
            <w:tcW w:w="960" w:type="dxa"/>
            <w:vAlign w:val="center"/>
          </w:tcPr>
          <w:p w14:paraId="7BACA415">
            <w:pPr>
              <w:widowControl/>
              <w:jc w:val="center"/>
              <w:rPr>
                <w:color w:val="000000"/>
                <w:kern w:val="0"/>
                <w:sz w:val="22"/>
                <w:szCs w:val="22"/>
              </w:rPr>
            </w:pPr>
            <w:r>
              <w:rPr>
                <w:rFonts w:eastAsia="等线"/>
                <w:color w:val="000000"/>
                <w:sz w:val="22"/>
                <w:szCs w:val="22"/>
              </w:rPr>
              <w:t>27.5</w:t>
            </w:r>
          </w:p>
        </w:tc>
      </w:tr>
      <w:tr w14:paraId="2E612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Align w:val="center"/>
          </w:tcPr>
          <w:p w14:paraId="497B2765">
            <w:pPr>
              <w:widowControl/>
              <w:jc w:val="center"/>
              <w:rPr>
                <w:color w:val="000000"/>
                <w:kern w:val="0"/>
                <w:sz w:val="22"/>
                <w:szCs w:val="22"/>
              </w:rPr>
            </w:pPr>
            <w:r>
              <w:rPr>
                <w:rFonts w:hint="eastAsia"/>
                <w:color w:val="000000"/>
              </w:rPr>
              <w:t>合计</w:t>
            </w:r>
          </w:p>
        </w:tc>
        <w:tc>
          <w:tcPr>
            <w:tcW w:w="993" w:type="dxa"/>
            <w:vAlign w:val="center"/>
          </w:tcPr>
          <w:p w14:paraId="14A33C66">
            <w:pPr>
              <w:widowControl/>
              <w:jc w:val="center"/>
              <w:rPr>
                <w:color w:val="000000"/>
                <w:kern w:val="0"/>
                <w:sz w:val="22"/>
                <w:szCs w:val="22"/>
              </w:rPr>
            </w:pPr>
            <w:r>
              <w:rPr>
                <w:rFonts w:eastAsia="等线"/>
                <w:color w:val="000000"/>
                <w:sz w:val="22"/>
                <w:szCs w:val="22"/>
              </w:rPr>
              <w:t>2115.3</w:t>
            </w:r>
          </w:p>
        </w:tc>
        <w:tc>
          <w:tcPr>
            <w:tcW w:w="992" w:type="dxa"/>
            <w:vAlign w:val="center"/>
          </w:tcPr>
          <w:p w14:paraId="5550D318">
            <w:pPr>
              <w:widowControl/>
              <w:jc w:val="center"/>
              <w:rPr>
                <w:color w:val="000000"/>
                <w:kern w:val="0"/>
                <w:sz w:val="22"/>
                <w:szCs w:val="22"/>
              </w:rPr>
            </w:pPr>
            <w:r>
              <w:rPr>
                <w:rFonts w:eastAsia="等线"/>
                <w:color w:val="000000"/>
                <w:sz w:val="22"/>
                <w:szCs w:val="22"/>
              </w:rPr>
              <w:t>2724.3</w:t>
            </w:r>
          </w:p>
        </w:tc>
        <w:tc>
          <w:tcPr>
            <w:tcW w:w="1071" w:type="dxa"/>
            <w:vAlign w:val="center"/>
          </w:tcPr>
          <w:p w14:paraId="18BF28D9">
            <w:pPr>
              <w:widowControl/>
              <w:jc w:val="center"/>
              <w:rPr>
                <w:color w:val="000000"/>
                <w:kern w:val="0"/>
                <w:sz w:val="22"/>
                <w:szCs w:val="22"/>
              </w:rPr>
            </w:pPr>
            <w:r>
              <w:rPr>
                <w:rFonts w:eastAsia="等线"/>
                <w:color w:val="000000"/>
                <w:sz w:val="22"/>
                <w:szCs w:val="22"/>
              </w:rPr>
              <w:t>3905.5</w:t>
            </w:r>
          </w:p>
        </w:tc>
        <w:tc>
          <w:tcPr>
            <w:tcW w:w="960" w:type="dxa"/>
            <w:vAlign w:val="center"/>
          </w:tcPr>
          <w:p w14:paraId="788EBA3C">
            <w:pPr>
              <w:widowControl/>
              <w:jc w:val="center"/>
              <w:rPr>
                <w:color w:val="000000"/>
                <w:kern w:val="0"/>
                <w:sz w:val="22"/>
                <w:szCs w:val="22"/>
              </w:rPr>
            </w:pPr>
            <w:r>
              <w:rPr>
                <w:rFonts w:eastAsia="等线"/>
                <w:color w:val="000000"/>
                <w:sz w:val="22"/>
                <w:szCs w:val="22"/>
              </w:rPr>
              <w:t>4927.5</w:t>
            </w:r>
          </w:p>
        </w:tc>
        <w:tc>
          <w:tcPr>
            <w:tcW w:w="960" w:type="dxa"/>
            <w:vAlign w:val="center"/>
          </w:tcPr>
          <w:p w14:paraId="168B92D9">
            <w:pPr>
              <w:widowControl/>
              <w:jc w:val="center"/>
              <w:rPr>
                <w:color w:val="000000"/>
                <w:kern w:val="0"/>
                <w:sz w:val="22"/>
                <w:szCs w:val="22"/>
              </w:rPr>
            </w:pPr>
            <w:r>
              <w:rPr>
                <w:rFonts w:eastAsia="等线"/>
                <w:color w:val="000000"/>
                <w:sz w:val="22"/>
                <w:szCs w:val="22"/>
              </w:rPr>
              <w:t>2115.3</w:t>
            </w:r>
          </w:p>
        </w:tc>
        <w:tc>
          <w:tcPr>
            <w:tcW w:w="960" w:type="dxa"/>
            <w:vAlign w:val="center"/>
          </w:tcPr>
          <w:p w14:paraId="038D5CD6">
            <w:pPr>
              <w:widowControl/>
              <w:jc w:val="center"/>
              <w:rPr>
                <w:color w:val="000000"/>
                <w:kern w:val="0"/>
                <w:sz w:val="22"/>
                <w:szCs w:val="22"/>
              </w:rPr>
            </w:pPr>
            <w:r>
              <w:rPr>
                <w:rFonts w:eastAsia="等线"/>
                <w:color w:val="000000"/>
                <w:sz w:val="22"/>
                <w:szCs w:val="22"/>
              </w:rPr>
              <w:t>2724.3</w:t>
            </w:r>
          </w:p>
        </w:tc>
        <w:tc>
          <w:tcPr>
            <w:tcW w:w="960" w:type="dxa"/>
            <w:vAlign w:val="center"/>
          </w:tcPr>
          <w:p w14:paraId="612F3497">
            <w:pPr>
              <w:widowControl/>
              <w:jc w:val="center"/>
              <w:rPr>
                <w:color w:val="000000"/>
                <w:kern w:val="0"/>
                <w:sz w:val="22"/>
                <w:szCs w:val="22"/>
              </w:rPr>
            </w:pPr>
            <w:r>
              <w:rPr>
                <w:rFonts w:eastAsia="等线"/>
                <w:color w:val="000000"/>
                <w:sz w:val="22"/>
                <w:szCs w:val="22"/>
              </w:rPr>
              <w:t>1586.5</w:t>
            </w:r>
          </w:p>
        </w:tc>
        <w:tc>
          <w:tcPr>
            <w:tcW w:w="960" w:type="dxa"/>
            <w:vAlign w:val="center"/>
          </w:tcPr>
          <w:p w14:paraId="6B015D32">
            <w:pPr>
              <w:widowControl/>
              <w:jc w:val="center"/>
              <w:rPr>
                <w:color w:val="000000"/>
                <w:kern w:val="0"/>
                <w:sz w:val="22"/>
                <w:szCs w:val="22"/>
              </w:rPr>
            </w:pPr>
            <w:r>
              <w:rPr>
                <w:rFonts w:eastAsia="等线"/>
                <w:color w:val="000000"/>
                <w:sz w:val="22"/>
                <w:szCs w:val="22"/>
              </w:rPr>
              <w:t>2179.4</w:t>
            </w:r>
          </w:p>
        </w:tc>
      </w:tr>
    </w:tbl>
    <w:p w14:paraId="79F30C04">
      <w:pPr>
        <w:pageBreakBefore/>
        <w:tabs>
          <w:tab w:val="center" w:pos="4535"/>
          <w:tab w:val="right" w:pos="9070"/>
        </w:tabs>
        <w:spacing w:before="240" w:beforeLines="100" w:after="360" w:afterLines="150" w:line="600" w:lineRule="exact"/>
        <w:jc w:val="center"/>
        <w:outlineLvl w:val="0"/>
        <w:rPr>
          <w:b/>
          <w:color w:val="000000" w:themeColor="text1"/>
          <w:sz w:val="44"/>
          <w:szCs w:val="36"/>
        </w:rPr>
      </w:pPr>
      <w:bookmarkStart w:id="171" w:name="_Toc181472940"/>
      <w:bookmarkStart w:id="172" w:name="_Toc144243736"/>
      <w:r>
        <w:rPr>
          <w:b/>
          <w:color w:val="000000" w:themeColor="text1"/>
          <w:sz w:val="44"/>
          <w:szCs w:val="36"/>
        </w:rPr>
        <w:t>第</w:t>
      </w:r>
      <w:r>
        <w:rPr>
          <w:rFonts w:hint="eastAsia"/>
          <w:b/>
          <w:color w:val="000000" w:themeColor="text1"/>
          <w:sz w:val="44"/>
          <w:szCs w:val="36"/>
        </w:rPr>
        <w:t>六</w:t>
      </w:r>
      <w:r>
        <w:rPr>
          <w:b/>
          <w:color w:val="000000" w:themeColor="text1"/>
          <w:sz w:val="44"/>
          <w:szCs w:val="36"/>
        </w:rPr>
        <w:t>章  再生水利用配置</w:t>
      </w:r>
      <w:bookmarkEnd w:id="171"/>
      <w:bookmarkEnd w:id="172"/>
      <w:r>
        <w:rPr>
          <w:rFonts w:hint="eastAsia"/>
          <w:b/>
          <w:color w:val="000000" w:themeColor="text1"/>
          <w:sz w:val="44"/>
          <w:szCs w:val="36"/>
        </w:rPr>
        <w:t xml:space="preserve"> </w:t>
      </w:r>
    </w:p>
    <w:p w14:paraId="769AC575">
      <w:pPr>
        <w:snapToGrid w:val="0"/>
        <w:spacing w:before="120" w:beforeLines="50" w:after="120" w:afterLines="50" w:line="600" w:lineRule="exact"/>
        <w:outlineLvl w:val="1"/>
        <w:rPr>
          <w:b/>
          <w:color w:val="000000" w:themeColor="text1"/>
          <w:sz w:val="30"/>
          <w:szCs w:val="30"/>
        </w:rPr>
      </w:pPr>
      <w:bookmarkStart w:id="173" w:name="_Toc181472941"/>
      <w:bookmarkStart w:id="174" w:name="_Toc144243737"/>
      <w:r>
        <w:rPr>
          <w:b/>
          <w:color w:val="000000" w:themeColor="text1"/>
          <w:sz w:val="30"/>
          <w:szCs w:val="30"/>
        </w:rPr>
        <w:t>6.1 再生水</w:t>
      </w:r>
      <w:r>
        <w:rPr>
          <w:rFonts w:hint="eastAsia"/>
          <w:b/>
          <w:color w:val="000000" w:themeColor="text1"/>
          <w:sz w:val="30"/>
          <w:szCs w:val="30"/>
        </w:rPr>
        <w:t>供需平衡分析</w:t>
      </w:r>
      <w:bookmarkEnd w:id="173"/>
      <w:bookmarkEnd w:id="174"/>
    </w:p>
    <w:p w14:paraId="517C4105">
      <w:pPr>
        <w:autoSpaceDE w:val="0"/>
        <w:autoSpaceDN w:val="0"/>
        <w:spacing w:line="600" w:lineRule="exact"/>
        <w:ind w:firstLine="560" w:firstLineChars="200"/>
        <w:textAlignment w:val="baseline"/>
        <w:rPr>
          <w:color w:val="000000" w:themeColor="text1"/>
          <w:kern w:val="0"/>
          <w:sz w:val="28"/>
          <w:szCs w:val="28"/>
          <w:lang w:val="zh-CN"/>
        </w:rPr>
      </w:pPr>
      <w:r>
        <w:rPr>
          <w:rFonts w:hint="eastAsia"/>
          <w:color w:val="000000" w:themeColor="text1"/>
          <w:kern w:val="0"/>
          <w:sz w:val="28"/>
          <w:szCs w:val="28"/>
          <w:lang w:val="zh-CN"/>
        </w:rPr>
        <w:t>根据平阴县规划年再生水需求分析和可利用量预测成果，分别对平阴县各规划年再生水进行供需平衡分析。</w:t>
      </w:r>
    </w:p>
    <w:p w14:paraId="26BBDDCC">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kern w:val="0"/>
          <w:sz w:val="28"/>
          <w:szCs w:val="28"/>
          <w:lang w:val="zh-CN"/>
        </w:rPr>
        <w:t>由第四章和第五章成果可知，2</w:t>
      </w:r>
      <w:r>
        <w:rPr>
          <w:color w:val="000000" w:themeColor="text1"/>
          <w:kern w:val="0"/>
          <w:sz w:val="28"/>
          <w:szCs w:val="28"/>
          <w:lang w:val="zh-CN"/>
        </w:rPr>
        <w:t>0</w:t>
      </w:r>
      <w:r>
        <w:rPr>
          <w:rFonts w:hint="eastAsia"/>
          <w:color w:val="000000" w:themeColor="text1"/>
          <w:kern w:val="0"/>
          <w:sz w:val="28"/>
          <w:szCs w:val="28"/>
          <w:lang w:val="zh-CN"/>
        </w:rPr>
        <w:t>30年平阴县再生水需水量为</w:t>
      </w:r>
      <w:r>
        <w:rPr>
          <w:color w:val="000000" w:themeColor="text1"/>
          <w:kern w:val="0"/>
          <w:sz w:val="28"/>
          <w:szCs w:val="28"/>
          <w:lang w:val="zh-CN"/>
        </w:rPr>
        <w:t>14</w:t>
      </w:r>
      <w:r>
        <w:rPr>
          <w:rFonts w:hint="eastAsia"/>
          <w:color w:val="000000" w:themeColor="text1"/>
          <w:kern w:val="0"/>
          <w:sz w:val="28"/>
          <w:szCs w:val="28"/>
          <w:lang w:val="zh-CN"/>
        </w:rPr>
        <w:t>01.0</w:t>
      </w:r>
      <w:r>
        <w:rPr>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，而再生水可利用量为1586.5</w:t>
      </w:r>
      <w:r>
        <w:rPr>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，可满足平阴县2030年再生水用水需求。</w:t>
      </w:r>
      <w:r>
        <w:rPr>
          <w:rFonts w:hint="eastAsia"/>
          <w:color w:val="000000" w:themeColor="text1"/>
          <w:kern w:val="0"/>
          <w:sz w:val="28"/>
          <w:szCs w:val="28"/>
          <w:lang w:val="zh-CN"/>
        </w:rPr>
        <w:t>2</w:t>
      </w:r>
      <w:r>
        <w:rPr>
          <w:color w:val="000000" w:themeColor="text1"/>
          <w:kern w:val="0"/>
          <w:sz w:val="28"/>
          <w:szCs w:val="28"/>
          <w:lang w:val="zh-CN"/>
        </w:rPr>
        <w:t>0</w:t>
      </w:r>
      <w:r>
        <w:rPr>
          <w:rFonts w:hint="eastAsia"/>
          <w:color w:val="000000" w:themeColor="text1"/>
          <w:kern w:val="0"/>
          <w:sz w:val="28"/>
          <w:szCs w:val="28"/>
          <w:lang w:val="zh-CN"/>
        </w:rPr>
        <w:t>35年平阴县再生水需水量为</w:t>
      </w:r>
      <w:r>
        <w:rPr>
          <w:rFonts w:hint="eastAsia"/>
          <w:color w:val="000000" w:themeColor="text1"/>
          <w:sz w:val="28"/>
          <w:szCs w:val="28"/>
        </w:rPr>
        <w:t>1882.2</w:t>
      </w:r>
      <w:r>
        <w:rPr>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，而再生水可利用量为2179.4</w:t>
      </w:r>
      <w:r>
        <w:rPr>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，可满足平阴县2035年再生水用水需求。由此可见，平阴县规划年再生水可利用量满足其再生水用水需求。</w:t>
      </w:r>
    </w:p>
    <w:p w14:paraId="6E1C86F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根据平阴县各行业及各镇实际用水情况和污水处理厂规模分布情况分析，中心城区再生水可利用量最大，次之为孔村镇，再者是安城镇。但是依据目前平阴县再生水实际利用情况分析，工业再生水利用全部分布于孔村镇，且再生水为外地再生水，而其他镇区均未采用再生水。</w:t>
      </w:r>
    </w:p>
    <w:p w14:paraId="5F95647A">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综上分析，规划年平阴县再生水可利用量满足其再生水用水需求；但是由于各区域的再生水可利用量分布不均，导致部分区域的再生水可利用量偏多，部分区域再生水可利用量不足。因此，需要结合平阴县各镇再生水可利用量和各行业可利用需求，合理配套建设再生水供水工程，以满足平阴县各区域规划年再生水利用需求。</w:t>
      </w:r>
    </w:p>
    <w:p w14:paraId="57A7D865">
      <w:pPr>
        <w:snapToGrid w:val="0"/>
        <w:spacing w:before="120" w:beforeLines="50" w:after="120" w:afterLines="50" w:line="600" w:lineRule="exact"/>
        <w:outlineLvl w:val="1"/>
        <w:rPr>
          <w:b/>
          <w:color w:val="000000" w:themeColor="text1"/>
          <w:sz w:val="30"/>
          <w:szCs w:val="30"/>
        </w:rPr>
      </w:pPr>
      <w:bookmarkStart w:id="175" w:name="_Toc181472942"/>
      <w:bookmarkStart w:id="176" w:name="_Toc144243738"/>
      <w:r>
        <w:rPr>
          <w:b/>
          <w:color w:val="000000" w:themeColor="text1"/>
          <w:sz w:val="30"/>
          <w:szCs w:val="30"/>
        </w:rPr>
        <w:t>6.2 再生水配置原则</w:t>
      </w:r>
      <w:r>
        <w:rPr>
          <w:rFonts w:hint="eastAsia"/>
          <w:b/>
          <w:color w:val="000000" w:themeColor="text1"/>
          <w:sz w:val="30"/>
          <w:szCs w:val="30"/>
        </w:rPr>
        <w:t>与要求</w:t>
      </w:r>
      <w:bookmarkEnd w:id="175"/>
      <w:bookmarkEnd w:id="176"/>
    </w:p>
    <w:p w14:paraId="4B6C8257">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1、总量控制原则</w:t>
      </w:r>
    </w:p>
    <w:p w14:paraId="2DE332F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根据济南市用水总量控制指标，确定平阴县再生水用水控制指标，配置时平阴县再生水供水量应大于等于济南市分配给平阴县的再生水用水控制指标。</w:t>
      </w:r>
    </w:p>
    <w:p w14:paraId="763F72E8">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2</w:t>
      </w:r>
      <w:r>
        <w:rPr>
          <w:rFonts w:hint="eastAsia"/>
          <w:color w:val="000000" w:themeColor="text1"/>
          <w:sz w:val="28"/>
          <w:szCs w:val="28"/>
        </w:rPr>
        <w:t>、优先利用原则</w:t>
      </w:r>
    </w:p>
    <w:p w14:paraId="035AC44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再生水回用应以工业为先、就近利用的原则，将再生水优先用于工业生产中对水质要求不高的企业用水，其次满足城市杂用水，景观环境补水宜作为整个城市季节性再生水用水量波动的调节缓冲手段。规划再生水利用时，应尽可能少建再生水管网，采取对就近企业优先供给的策略，降低企业利用再生水的经济成本。</w:t>
      </w:r>
      <w:r>
        <w:rPr>
          <w:rFonts w:hint="eastAsia"/>
          <w:color w:val="000000" w:themeColor="text1"/>
          <w:sz w:val="28"/>
          <w:szCs w:val="36"/>
        </w:rPr>
        <w:t>各行业再生水配置利用比例必须严格按照国家、省、市最新政策要求配置。</w:t>
      </w:r>
    </w:p>
    <w:p w14:paraId="6BE2CC0C">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3、因地制宜原则</w:t>
      </w:r>
    </w:p>
    <w:p w14:paraId="35C41E1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根据平阴县再生水资源状况和可利用条件，确定适合平阴县实际的再生水开发利用的模式与对策，提出各类用水的优先次序，明确再生水资源开发、利用、治理、配置、节约、保护的重点。</w:t>
      </w:r>
    </w:p>
    <w:p w14:paraId="63087165">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4</w:t>
      </w:r>
      <w:r>
        <w:rPr>
          <w:rFonts w:hint="eastAsia"/>
          <w:color w:val="000000" w:themeColor="text1"/>
          <w:sz w:val="28"/>
          <w:szCs w:val="28"/>
        </w:rPr>
        <w:t>、分期实施的原则</w:t>
      </w:r>
    </w:p>
    <w:p w14:paraId="75115750">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根据平阴县实际情况，本次规划建议污水再生利用系统分期分步实施，近期在基础条件较好的中心城区、安城镇、孔村镇开展再生水回用工程，逐渐积累经验，当污水再生利用工程的建设和运营工作积累一定经验之后，再在远期扩大污水再生利用工程，在孝直镇、玫瑰镇、东阿镇和洪范池镇开展再生水回用。</w:t>
      </w:r>
    </w:p>
    <w:p w14:paraId="360F8AA1">
      <w:pPr>
        <w:snapToGrid w:val="0"/>
        <w:spacing w:before="120" w:beforeLines="50" w:after="120" w:afterLines="50" w:line="600" w:lineRule="exact"/>
        <w:outlineLvl w:val="1"/>
        <w:rPr>
          <w:b/>
          <w:color w:val="000000" w:themeColor="text1"/>
          <w:sz w:val="30"/>
          <w:szCs w:val="30"/>
        </w:rPr>
      </w:pPr>
      <w:bookmarkStart w:id="177" w:name="_Toc144243739"/>
      <w:bookmarkStart w:id="178" w:name="_Toc181472943"/>
      <w:r>
        <w:rPr>
          <w:b/>
          <w:color w:val="000000" w:themeColor="text1"/>
          <w:sz w:val="30"/>
          <w:szCs w:val="30"/>
        </w:rPr>
        <w:t>6.3 再生水配置方案</w:t>
      </w:r>
      <w:bookmarkEnd w:id="177"/>
      <w:bookmarkEnd w:id="178"/>
    </w:p>
    <w:p w14:paraId="48BE157F">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再生水配置应在进行供需</w:t>
      </w:r>
      <w:r>
        <w:rPr>
          <w:rFonts w:hint="eastAsia"/>
          <w:color w:val="000000" w:themeColor="text1"/>
          <w:sz w:val="28"/>
          <w:szCs w:val="28"/>
        </w:rPr>
        <w:t>分析</w:t>
      </w:r>
      <w:r>
        <w:rPr>
          <w:rFonts w:hint="eastAsia"/>
          <w:color w:val="000000" w:themeColor="text1"/>
          <w:sz w:val="28"/>
          <w:szCs w:val="36"/>
        </w:rPr>
        <w:t>多方案比较的基础上，通过经济、技术和生态环境分析论证与比选，确定配置方案。再生水配置可利用水量和水质统筹考虑的供需分析为基础，将区域的供、用、耗、排水过程紧密联系，按照公平、高效和可持续利用的原则进行。</w:t>
      </w:r>
    </w:p>
    <w:p w14:paraId="0D46210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再生水配置在接收上述各部分工作成果输入的同时，也为上述各部分工作提供中间和最终成果的反馈，以便相互迭代，取得优化的再生水合理配置格局；同时为总体规划布局、再生水工程和非工程措施的选择及其实施确定方向和提出要求。再生水合理配置思路示意图见图</w:t>
      </w:r>
      <w:r>
        <w:rPr>
          <w:color w:val="000000" w:themeColor="text1"/>
          <w:sz w:val="28"/>
          <w:szCs w:val="36"/>
        </w:rPr>
        <w:t>6</w:t>
      </w:r>
      <w:r>
        <w:rPr>
          <w:rFonts w:hint="eastAsia"/>
          <w:color w:val="000000" w:themeColor="text1"/>
          <w:sz w:val="28"/>
          <w:szCs w:val="36"/>
        </w:rPr>
        <w:t>.3-1。</w:t>
      </w:r>
    </w:p>
    <w:p w14:paraId="31BC5065">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1、用水户分配方案</w:t>
      </w:r>
    </w:p>
    <w:p w14:paraId="2065008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从用水户优先利用再生水来讲，按照优先保证工业用水、城市杂用水、生态环境补水的先后次序配置再生水。例如：绿化灌溉和道路喷洒全部采用再生水，火电行业再生水配置比例不低于50%，化工产业园</w:t>
      </w:r>
      <w:bookmarkStart w:id="179" w:name="OLE_LINK5"/>
      <w:r>
        <w:rPr>
          <w:rFonts w:hint="eastAsia"/>
          <w:color w:val="000000" w:themeColor="text1"/>
          <w:sz w:val="28"/>
          <w:szCs w:val="36"/>
        </w:rPr>
        <w:t>再生水配置比例不低于35%</w:t>
      </w:r>
      <w:bookmarkEnd w:id="179"/>
      <w:r>
        <w:rPr>
          <w:rFonts w:hint="eastAsia"/>
          <w:color w:val="000000" w:themeColor="text1"/>
          <w:sz w:val="28"/>
          <w:szCs w:val="36"/>
        </w:rPr>
        <w:t>等；</w:t>
      </w:r>
      <w:bookmarkStart w:id="180" w:name="OLE_LINK6"/>
      <w:r>
        <w:rPr>
          <w:rFonts w:hint="eastAsia"/>
          <w:color w:val="000000" w:themeColor="text1"/>
          <w:sz w:val="28"/>
          <w:szCs w:val="36"/>
        </w:rPr>
        <w:t>各行业再生水配置利用比例必须严格按照国家、省、市最新政策要求配置。</w:t>
      </w:r>
      <w:bookmarkEnd w:id="180"/>
    </w:p>
    <w:p w14:paraId="5DD2A3C5">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2</w:t>
      </w:r>
      <w:r>
        <w:rPr>
          <w:rFonts w:hint="eastAsia"/>
          <w:color w:val="000000" w:themeColor="text1"/>
          <w:sz w:val="28"/>
          <w:szCs w:val="36"/>
        </w:rPr>
        <w:t>、区域分配方案</w:t>
      </w:r>
    </w:p>
    <w:p w14:paraId="74E19D25">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基于规划年再生水的供需平衡分析成果、配置原则和分期实施原则，提出平阴县规划年再生水利用配置要求。</w:t>
      </w:r>
    </w:p>
    <w:p w14:paraId="0E5699D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（1）对于再生水可利用量满足需水量的区域，按区域再生水需水进行配置再生水。</w:t>
      </w:r>
    </w:p>
    <w:p w14:paraId="2B57A6B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（2）对于再生水可利用量不满足再生水需水量的区域，按用水户分配方案优先配置再生水。</w:t>
      </w:r>
    </w:p>
    <w:p w14:paraId="5CA29DE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（3）规划年对于有富余再生水的区域可结合平阴县再生水调水工程配置再生水。</w:t>
      </w:r>
    </w:p>
    <w:p w14:paraId="566EAC0A">
      <w:pPr>
        <w:spacing w:line="360" w:lineRule="auto"/>
        <w:jc w:val="center"/>
        <w:rPr>
          <w:color w:val="000000" w:themeColor="text1"/>
          <w:sz w:val="28"/>
          <w:szCs w:val="36"/>
        </w:rPr>
      </w:pPr>
      <w:r>
        <w:rPr>
          <w:b/>
          <w:bCs/>
          <w:color w:val="000000" w:themeColor="text1"/>
          <w:sz w:val="24"/>
        </w:rPr>
        <w:drawing>
          <wp:inline distT="0" distB="0" distL="0" distR="0">
            <wp:extent cx="5088890" cy="661035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238925" cy="6804839"/>
                    </a:xfrm>
                    <a:prstGeom prst="rect">
                      <a:avLst/>
                    </a:prstGeom>
                    <a:noFill/>
                  </pic:spPr>
                </pic:pic>
              </a:graphicData>
            </a:graphic>
          </wp:inline>
        </w:drawing>
      </w:r>
    </w:p>
    <w:p w14:paraId="37F67687">
      <w:pPr>
        <w:widowControl/>
        <w:jc w:val="center"/>
        <w:rPr>
          <w:b/>
          <w:bCs/>
          <w:color w:val="000000" w:themeColor="text1"/>
          <w:sz w:val="24"/>
        </w:rPr>
      </w:pPr>
      <w:r>
        <w:rPr>
          <w:b/>
          <w:bCs/>
          <w:color w:val="000000" w:themeColor="text1"/>
          <w:sz w:val="24"/>
        </w:rPr>
        <w:t xml:space="preserve">图6.3-1  </w:t>
      </w:r>
      <w:r>
        <w:rPr>
          <w:rFonts w:hint="eastAsia"/>
          <w:b/>
          <w:bCs/>
          <w:color w:val="000000" w:themeColor="text1"/>
          <w:sz w:val="24"/>
        </w:rPr>
        <w:t>再生水资源</w:t>
      </w:r>
      <w:r>
        <w:rPr>
          <w:b/>
          <w:bCs/>
          <w:color w:val="000000" w:themeColor="text1"/>
          <w:sz w:val="24"/>
        </w:rPr>
        <w:t>配置思路示意图</w:t>
      </w:r>
    </w:p>
    <w:p w14:paraId="119B6DBF">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3、平阴县再生水配置方案</w:t>
      </w:r>
    </w:p>
    <w:p w14:paraId="1770CECF">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根据</w:t>
      </w:r>
      <w:r>
        <w:rPr>
          <w:rFonts w:hint="eastAsia"/>
          <w:color w:val="000000" w:themeColor="text1"/>
          <w:sz w:val="28"/>
          <w:szCs w:val="36"/>
        </w:rPr>
        <w:t>平阴县规划年再生水用水需求、再生水可利用量及再生水供水工程规划建设情况，</w:t>
      </w:r>
      <w:r>
        <w:rPr>
          <w:color w:val="000000" w:themeColor="text1"/>
          <w:sz w:val="28"/>
          <w:szCs w:val="36"/>
        </w:rPr>
        <w:t>确定</w:t>
      </w:r>
      <w:r>
        <w:rPr>
          <w:rFonts w:hint="eastAsia"/>
          <w:color w:val="000000" w:themeColor="text1"/>
          <w:sz w:val="28"/>
          <w:szCs w:val="36"/>
        </w:rPr>
        <w:t>平阴县</w:t>
      </w:r>
      <w:r>
        <w:rPr>
          <w:color w:val="000000" w:themeColor="text1"/>
          <w:sz w:val="28"/>
          <w:szCs w:val="36"/>
        </w:rPr>
        <w:t>规划年</w:t>
      </w:r>
      <w:r>
        <w:rPr>
          <w:rFonts w:hint="eastAsia"/>
          <w:color w:val="000000" w:themeColor="text1"/>
          <w:sz w:val="28"/>
          <w:szCs w:val="36"/>
        </w:rPr>
        <w:t>再生水利用</w:t>
      </w:r>
      <w:r>
        <w:rPr>
          <w:color w:val="000000" w:themeColor="text1"/>
          <w:sz w:val="28"/>
          <w:szCs w:val="36"/>
        </w:rPr>
        <w:t>配置方案。</w:t>
      </w:r>
    </w:p>
    <w:p w14:paraId="45A45DB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（1）2</w:t>
      </w:r>
      <w:r>
        <w:rPr>
          <w:color w:val="000000" w:themeColor="text1"/>
          <w:sz w:val="28"/>
          <w:szCs w:val="36"/>
        </w:rPr>
        <w:t>0</w:t>
      </w:r>
      <w:r>
        <w:rPr>
          <w:rFonts w:hint="eastAsia"/>
          <w:color w:val="000000" w:themeColor="text1"/>
          <w:sz w:val="28"/>
          <w:szCs w:val="36"/>
        </w:rPr>
        <w:t>30年再生水配置方案</w:t>
      </w:r>
    </w:p>
    <w:p w14:paraId="0900F76E">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20</w:t>
      </w:r>
      <w:r>
        <w:rPr>
          <w:rFonts w:hint="eastAsia"/>
          <w:color w:val="000000" w:themeColor="text1"/>
          <w:sz w:val="28"/>
          <w:szCs w:val="36"/>
        </w:rPr>
        <w:t>30年，根据平阴县再生水可利用量和各行业用水需求，按照配置原则进行再生水配置确定配置方案。2030年平阴县再生水水源配置供水量为1401万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，其中工业用水配置再生水402.0万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，以平阴水务发展有限公司（一厂）、平阴水务发展有限公司（二厂）和平阴县中环水务有限公司为水源；城市杂用水配置再生水371.0万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，以平阴县北控水环境开发有限公司、平阴水务发展有限公司（二厂）、平阴水务发展有限公司（三厂）、洪范池镇污水处理厂、</w:t>
      </w:r>
      <w:r>
        <w:rPr>
          <w:rFonts w:hint="eastAsia"/>
          <w:color w:val="000000" w:themeColor="text1"/>
          <w:sz w:val="28"/>
          <w:szCs w:val="28"/>
        </w:rPr>
        <w:t>平阴县中环水务有限公司（孝直厂）</w:t>
      </w:r>
      <w:r>
        <w:rPr>
          <w:rFonts w:hint="eastAsia"/>
          <w:color w:val="000000" w:themeColor="text1"/>
          <w:sz w:val="28"/>
          <w:szCs w:val="36"/>
        </w:rPr>
        <w:t>和玫瑰镇污水处理厂为水源；生态环境补水配置再生水600.0万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，以平阴县北控水环境开发有限公司、平阴水务发展有限公司（二厂）为水源，具体详见表</w:t>
      </w:r>
      <w:r>
        <w:rPr>
          <w:color w:val="000000" w:themeColor="text1"/>
          <w:sz w:val="28"/>
          <w:szCs w:val="36"/>
        </w:rPr>
        <w:t>6.3-1</w:t>
      </w:r>
      <w:r>
        <w:rPr>
          <w:rFonts w:hint="eastAsia"/>
          <w:color w:val="000000" w:themeColor="text1"/>
          <w:sz w:val="28"/>
          <w:szCs w:val="36"/>
        </w:rPr>
        <w:t>。</w:t>
      </w:r>
    </w:p>
    <w:p w14:paraId="6462E111">
      <w:pPr>
        <w:autoSpaceDE w:val="0"/>
        <w:autoSpaceDN w:val="0"/>
        <w:spacing w:line="600" w:lineRule="exact"/>
        <w:jc w:val="right"/>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6.3-1  20</w:t>
      </w:r>
      <w:r>
        <w:rPr>
          <w:rFonts w:hint="eastAsia"/>
          <w:b/>
          <w:bCs/>
          <w:color w:val="000000" w:themeColor="text1"/>
          <w:sz w:val="24"/>
          <w:szCs w:val="32"/>
        </w:rPr>
        <w:t xml:space="preserve">30年平阴县再生水供水配置表 </w:t>
      </w:r>
      <w:r>
        <w:rPr>
          <w:b/>
          <w:bCs/>
          <w:color w:val="000000" w:themeColor="text1"/>
          <w:sz w:val="24"/>
          <w:szCs w:val="32"/>
        </w:rPr>
        <w:t xml:space="preserve">             </w:t>
      </w:r>
      <w:r>
        <w:rPr>
          <w:rFonts w:hint="eastAsia"/>
          <w:b/>
          <w:bCs/>
          <w:color w:val="000000" w:themeColor="text1"/>
          <w:sz w:val="24"/>
          <w:szCs w:val="32"/>
        </w:rPr>
        <w:t>单位：万</w:t>
      </w:r>
      <w:r>
        <w:rPr>
          <w:b/>
          <w:bCs/>
          <w:color w:val="000000" w:themeColor="text1"/>
          <w:sz w:val="24"/>
          <w:szCs w:val="32"/>
        </w:rPr>
        <w:t>m</w:t>
      </w:r>
      <w:r>
        <w:rPr>
          <w:rFonts w:hint="eastAsia"/>
          <w:b/>
          <w:bCs/>
          <w:color w:val="000000" w:themeColor="text1"/>
          <w:sz w:val="28"/>
          <w:szCs w:val="36"/>
          <w:vertAlign w:val="superscript"/>
        </w:rPr>
        <w:t>3</w:t>
      </w:r>
    </w:p>
    <w:tbl>
      <w:tblPr>
        <w:tblStyle w:val="46"/>
        <w:tblW w:w="0" w:type="auto"/>
        <w:tblInd w:w="-176" w:type="dxa"/>
        <w:tblLayout w:type="autofit"/>
        <w:tblCellMar>
          <w:top w:w="0" w:type="dxa"/>
          <w:left w:w="108" w:type="dxa"/>
          <w:bottom w:w="0" w:type="dxa"/>
          <w:right w:w="108" w:type="dxa"/>
        </w:tblCellMar>
      </w:tblPr>
      <w:tblGrid>
        <w:gridCol w:w="830"/>
        <w:gridCol w:w="843"/>
        <w:gridCol w:w="876"/>
        <w:gridCol w:w="876"/>
        <w:gridCol w:w="876"/>
        <w:gridCol w:w="877"/>
        <w:gridCol w:w="876"/>
        <w:gridCol w:w="876"/>
        <w:gridCol w:w="877"/>
        <w:gridCol w:w="891"/>
      </w:tblGrid>
      <w:tr w14:paraId="4811906C">
        <w:trPr>
          <w:trHeight w:val="324" w:hRule="atLeast"/>
        </w:trPr>
        <w:tc>
          <w:tcPr>
            <w:tcW w:w="830" w:type="dxa"/>
            <w:vMerge w:val="restart"/>
            <w:tcBorders>
              <w:top w:val="single" w:color="auto" w:sz="4" w:space="0"/>
              <w:left w:val="single" w:color="auto" w:sz="4" w:space="0"/>
              <w:bottom w:val="single" w:color="auto" w:sz="4" w:space="0"/>
              <w:right w:val="single" w:color="auto" w:sz="4" w:space="0"/>
            </w:tcBorders>
            <w:vAlign w:val="center"/>
          </w:tcPr>
          <w:p w14:paraId="2CB8E8E5">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用水</w:t>
            </w:r>
          </w:p>
          <w:p w14:paraId="568430BB">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类别</w:t>
            </w:r>
          </w:p>
        </w:tc>
        <w:tc>
          <w:tcPr>
            <w:tcW w:w="843" w:type="dxa"/>
            <w:vMerge w:val="restart"/>
            <w:tcBorders>
              <w:top w:val="single" w:color="auto" w:sz="4" w:space="0"/>
              <w:left w:val="single" w:color="auto" w:sz="4" w:space="0"/>
              <w:bottom w:val="single" w:color="auto" w:sz="4" w:space="0"/>
              <w:right w:val="single" w:color="auto" w:sz="4" w:space="0"/>
            </w:tcBorders>
            <w:vAlign w:val="center"/>
          </w:tcPr>
          <w:p w14:paraId="284E69A0">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需水量</w:t>
            </w:r>
          </w:p>
        </w:tc>
        <w:tc>
          <w:tcPr>
            <w:tcW w:w="6134" w:type="dxa"/>
            <w:gridSpan w:val="7"/>
            <w:tcBorders>
              <w:top w:val="single" w:color="auto" w:sz="4" w:space="0"/>
              <w:left w:val="nil"/>
              <w:bottom w:val="single" w:color="auto" w:sz="4" w:space="0"/>
              <w:right w:val="single" w:color="auto" w:sz="4" w:space="0"/>
            </w:tcBorders>
            <w:vAlign w:val="center"/>
          </w:tcPr>
          <w:p w14:paraId="6336E3FB">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各水源配置供水量</w:t>
            </w:r>
          </w:p>
        </w:tc>
        <w:tc>
          <w:tcPr>
            <w:tcW w:w="891" w:type="dxa"/>
            <w:vMerge w:val="restart"/>
            <w:tcBorders>
              <w:top w:val="single" w:color="auto" w:sz="4" w:space="0"/>
              <w:left w:val="single" w:color="auto" w:sz="4" w:space="0"/>
              <w:bottom w:val="single" w:color="auto" w:sz="4" w:space="0"/>
              <w:right w:val="single" w:color="auto" w:sz="4" w:space="0"/>
            </w:tcBorders>
            <w:vAlign w:val="center"/>
          </w:tcPr>
          <w:p w14:paraId="4BD5119D">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合计</w:t>
            </w:r>
          </w:p>
        </w:tc>
      </w:tr>
      <w:tr w14:paraId="4EB97345">
        <w:tblPrEx>
          <w:tblCellMar>
            <w:top w:w="0" w:type="dxa"/>
            <w:left w:w="108" w:type="dxa"/>
            <w:bottom w:w="0" w:type="dxa"/>
            <w:right w:w="108" w:type="dxa"/>
          </w:tblCellMar>
        </w:tblPrEx>
        <w:trPr>
          <w:trHeight w:val="1560" w:hRule="atLeast"/>
        </w:trPr>
        <w:tc>
          <w:tcPr>
            <w:tcW w:w="830" w:type="dxa"/>
            <w:vMerge w:val="continue"/>
            <w:tcBorders>
              <w:top w:val="single" w:color="auto" w:sz="4" w:space="0"/>
              <w:left w:val="single" w:color="auto" w:sz="4" w:space="0"/>
              <w:bottom w:val="single" w:color="auto" w:sz="4" w:space="0"/>
              <w:right w:val="single" w:color="auto" w:sz="4" w:space="0"/>
            </w:tcBorders>
            <w:vAlign w:val="center"/>
          </w:tcPr>
          <w:p w14:paraId="64DE57A6">
            <w:pPr>
              <w:widowControl/>
              <w:adjustRightInd w:val="0"/>
              <w:snapToGrid w:val="0"/>
              <w:ind w:left="-105" w:leftChars="-50" w:right="-105" w:rightChars="-50"/>
              <w:jc w:val="left"/>
              <w:rPr>
                <w:rFonts w:hint="eastAsia" w:ascii="宋体" w:hAnsi="宋体" w:cs="宋体"/>
                <w:color w:val="000000"/>
                <w:kern w:val="0"/>
                <w:sz w:val="22"/>
                <w:szCs w:val="22"/>
              </w:rPr>
            </w:pPr>
          </w:p>
        </w:tc>
        <w:tc>
          <w:tcPr>
            <w:tcW w:w="843" w:type="dxa"/>
            <w:vMerge w:val="continue"/>
            <w:tcBorders>
              <w:top w:val="single" w:color="auto" w:sz="4" w:space="0"/>
              <w:left w:val="single" w:color="auto" w:sz="4" w:space="0"/>
              <w:bottom w:val="single" w:color="auto" w:sz="4" w:space="0"/>
              <w:right w:val="single" w:color="auto" w:sz="4" w:space="0"/>
            </w:tcBorders>
            <w:vAlign w:val="center"/>
          </w:tcPr>
          <w:p w14:paraId="40D56208">
            <w:pPr>
              <w:widowControl/>
              <w:adjustRightInd w:val="0"/>
              <w:snapToGrid w:val="0"/>
              <w:ind w:left="-105" w:leftChars="-50" w:right="-105" w:rightChars="-50"/>
              <w:jc w:val="left"/>
              <w:rPr>
                <w:rFonts w:hint="eastAsia" w:ascii="宋体" w:hAnsi="宋体" w:cs="宋体"/>
                <w:color w:val="000000"/>
                <w:kern w:val="0"/>
                <w:sz w:val="22"/>
                <w:szCs w:val="22"/>
              </w:rPr>
            </w:pPr>
          </w:p>
        </w:tc>
        <w:tc>
          <w:tcPr>
            <w:tcW w:w="876" w:type="dxa"/>
            <w:tcBorders>
              <w:top w:val="nil"/>
              <w:left w:val="nil"/>
              <w:bottom w:val="single" w:color="auto" w:sz="4" w:space="0"/>
              <w:right w:val="single" w:color="auto" w:sz="4" w:space="0"/>
            </w:tcBorders>
            <w:vAlign w:val="center"/>
          </w:tcPr>
          <w:p w14:paraId="79698B3E">
            <w:pPr>
              <w:widowControl/>
              <w:jc w:val="center"/>
              <w:rPr>
                <w:rFonts w:eastAsia="等线"/>
                <w:color w:val="000000"/>
                <w:kern w:val="0"/>
                <w:sz w:val="22"/>
                <w:szCs w:val="22"/>
              </w:rPr>
            </w:pPr>
            <w:r>
              <w:rPr>
                <w:rFonts w:hint="eastAsia" w:ascii="宋体" w:hAnsi="宋体" w:cs="宋体"/>
                <w:color w:val="000000"/>
                <w:kern w:val="0"/>
                <w:sz w:val="22"/>
                <w:szCs w:val="22"/>
              </w:rPr>
              <w:t>平阴水务发展有限公司（一厂）</w:t>
            </w:r>
          </w:p>
        </w:tc>
        <w:tc>
          <w:tcPr>
            <w:tcW w:w="876" w:type="dxa"/>
            <w:tcBorders>
              <w:top w:val="single" w:color="auto" w:sz="4" w:space="0"/>
              <w:left w:val="nil"/>
              <w:bottom w:val="single" w:color="auto" w:sz="4" w:space="0"/>
              <w:right w:val="single" w:color="auto" w:sz="4" w:space="0"/>
            </w:tcBorders>
            <w:vAlign w:val="center"/>
          </w:tcPr>
          <w:p w14:paraId="65A1B032">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平阴水务发展有限公司（二厂）</w:t>
            </w:r>
          </w:p>
        </w:tc>
        <w:tc>
          <w:tcPr>
            <w:tcW w:w="876" w:type="dxa"/>
            <w:tcBorders>
              <w:top w:val="nil"/>
              <w:left w:val="nil"/>
              <w:bottom w:val="single" w:color="auto" w:sz="4" w:space="0"/>
              <w:right w:val="single" w:color="auto" w:sz="4" w:space="0"/>
            </w:tcBorders>
            <w:vAlign w:val="center"/>
          </w:tcPr>
          <w:p w14:paraId="06F16860">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平阴水务发展有限公司（三厂）</w:t>
            </w:r>
          </w:p>
        </w:tc>
        <w:tc>
          <w:tcPr>
            <w:tcW w:w="877" w:type="dxa"/>
            <w:tcBorders>
              <w:top w:val="nil"/>
              <w:left w:val="nil"/>
              <w:bottom w:val="single" w:color="auto" w:sz="4" w:space="0"/>
              <w:right w:val="single" w:color="auto" w:sz="4" w:space="0"/>
            </w:tcBorders>
            <w:vAlign w:val="center"/>
          </w:tcPr>
          <w:p w14:paraId="763DE82A">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平阴县中环水务有限公司（孔村厂）</w:t>
            </w:r>
          </w:p>
        </w:tc>
        <w:tc>
          <w:tcPr>
            <w:tcW w:w="876" w:type="dxa"/>
            <w:tcBorders>
              <w:top w:val="nil"/>
              <w:left w:val="nil"/>
              <w:bottom w:val="single" w:color="auto" w:sz="4" w:space="0"/>
              <w:right w:val="single" w:color="auto" w:sz="4" w:space="0"/>
            </w:tcBorders>
            <w:vAlign w:val="center"/>
          </w:tcPr>
          <w:p w14:paraId="4000836D">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平阴县中环水务有限公司（孝直厂）</w:t>
            </w:r>
          </w:p>
        </w:tc>
        <w:tc>
          <w:tcPr>
            <w:tcW w:w="876" w:type="dxa"/>
            <w:tcBorders>
              <w:top w:val="nil"/>
              <w:left w:val="nil"/>
              <w:bottom w:val="single" w:color="auto" w:sz="4" w:space="0"/>
              <w:right w:val="single" w:color="auto" w:sz="4" w:space="0"/>
            </w:tcBorders>
            <w:vAlign w:val="center"/>
          </w:tcPr>
          <w:p w14:paraId="6EBEC34A">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玫瑰镇污水处理厂</w:t>
            </w:r>
          </w:p>
        </w:tc>
        <w:tc>
          <w:tcPr>
            <w:tcW w:w="877" w:type="dxa"/>
            <w:tcBorders>
              <w:top w:val="nil"/>
              <w:left w:val="nil"/>
              <w:bottom w:val="single" w:color="auto" w:sz="4" w:space="0"/>
              <w:right w:val="single" w:color="auto" w:sz="4" w:space="0"/>
            </w:tcBorders>
            <w:vAlign w:val="center"/>
          </w:tcPr>
          <w:p w14:paraId="2756CDCB">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洪范池镇污水处理厂</w:t>
            </w:r>
          </w:p>
        </w:tc>
        <w:tc>
          <w:tcPr>
            <w:tcW w:w="891" w:type="dxa"/>
            <w:vMerge w:val="continue"/>
            <w:tcBorders>
              <w:top w:val="single" w:color="auto" w:sz="4" w:space="0"/>
              <w:left w:val="single" w:color="auto" w:sz="4" w:space="0"/>
              <w:bottom w:val="single" w:color="auto" w:sz="4" w:space="0"/>
              <w:right w:val="single" w:color="auto" w:sz="4" w:space="0"/>
            </w:tcBorders>
            <w:vAlign w:val="center"/>
          </w:tcPr>
          <w:p w14:paraId="4821AB67">
            <w:pPr>
              <w:widowControl/>
              <w:adjustRightInd w:val="0"/>
              <w:snapToGrid w:val="0"/>
              <w:ind w:left="-105" w:leftChars="-50" w:right="-105" w:rightChars="-50"/>
              <w:jc w:val="left"/>
              <w:rPr>
                <w:rFonts w:hint="eastAsia" w:ascii="宋体" w:hAnsi="宋体" w:cs="宋体"/>
                <w:color w:val="000000"/>
                <w:kern w:val="0"/>
                <w:sz w:val="22"/>
                <w:szCs w:val="22"/>
              </w:rPr>
            </w:pPr>
          </w:p>
        </w:tc>
      </w:tr>
      <w:tr w14:paraId="4A190EDE">
        <w:tblPrEx>
          <w:tblCellMar>
            <w:top w:w="0" w:type="dxa"/>
            <w:left w:w="108" w:type="dxa"/>
            <w:bottom w:w="0" w:type="dxa"/>
            <w:right w:w="108" w:type="dxa"/>
          </w:tblCellMar>
        </w:tblPrEx>
        <w:trPr>
          <w:trHeight w:val="624" w:hRule="atLeast"/>
        </w:trPr>
        <w:tc>
          <w:tcPr>
            <w:tcW w:w="830" w:type="dxa"/>
            <w:tcBorders>
              <w:top w:val="nil"/>
              <w:left w:val="single" w:color="auto" w:sz="4" w:space="0"/>
              <w:bottom w:val="single" w:color="auto" w:sz="4" w:space="0"/>
              <w:right w:val="single" w:color="auto" w:sz="4" w:space="0"/>
            </w:tcBorders>
            <w:vAlign w:val="center"/>
          </w:tcPr>
          <w:p w14:paraId="58227E23">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工业</w:t>
            </w:r>
          </w:p>
          <w:p w14:paraId="3B880AA3">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用水</w:t>
            </w:r>
          </w:p>
        </w:tc>
        <w:tc>
          <w:tcPr>
            <w:tcW w:w="843" w:type="dxa"/>
            <w:tcBorders>
              <w:top w:val="nil"/>
              <w:left w:val="nil"/>
              <w:bottom w:val="single" w:color="auto" w:sz="4" w:space="0"/>
              <w:right w:val="single" w:color="auto" w:sz="4" w:space="0"/>
            </w:tcBorders>
            <w:vAlign w:val="center"/>
          </w:tcPr>
          <w:p w14:paraId="6D0CF09F">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402</w:t>
            </w:r>
          </w:p>
        </w:tc>
        <w:tc>
          <w:tcPr>
            <w:tcW w:w="876" w:type="dxa"/>
            <w:tcBorders>
              <w:top w:val="nil"/>
              <w:left w:val="nil"/>
              <w:bottom w:val="single" w:color="auto" w:sz="4" w:space="0"/>
              <w:right w:val="single" w:color="auto" w:sz="4" w:space="0"/>
            </w:tcBorders>
            <w:vAlign w:val="center"/>
          </w:tcPr>
          <w:p w14:paraId="04A04258">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264.5</w:t>
            </w:r>
          </w:p>
        </w:tc>
        <w:tc>
          <w:tcPr>
            <w:tcW w:w="876" w:type="dxa"/>
            <w:tcBorders>
              <w:top w:val="single" w:color="auto" w:sz="4" w:space="0"/>
              <w:left w:val="nil"/>
              <w:bottom w:val="single" w:color="auto" w:sz="4" w:space="0"/>
              <w:right w:val="single" w:color="auto" w:sz="4" w:space="0"/>
            </w:tcBorders>
            <w:vAlign w:val="center"/>
          </w:tcPr>
          <w:p w14:paraId="19293D3A">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60.7</w:t>
            </w:r>
          </w:p>
        </w:tc>
        <w:tc>
          <w:tcPr>
            <w:tcW w:w="876" w:type="dxa"/>
            <w:tcBorders>
              <w:top w:val="nil"/>
              <w:left w:val="nil"/>
              <w:bottom w:val="single" w:color="auto" w:sz="4" w:space="0"/>
              <w:right w:val="single" w:color="auto" w:sz="4" w:space="0"/>
            </w:tcBorders>
            <w:vAlign w:val="center"/>
          </w:tcPr>
          <w:p w14:paraId="5E1E9749">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77" w:type="dxa"/>
            <w:tcBorders>
              <w:top w:val="nil"/>
              <w:left w:val="nil"/>
              <w:bottom w:val="single" w:color="auto" w:sz="4" w:space="0"/>
              <w:right w:val="single" w:color="auto" w:sz="4" w:space="0"/>
            </w:tcBorders>
            <w:vAlign w:val="center"/>
          </w:tcPr>
          <w:p w14:paraId="569EB4B8">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76.8</w:t>
            </w:r>
          </w:p>
        </w:tc>
        <w:tc>
          <w:tcPr>
            <w:tcW w:w="876" w:type="dxa"/>
            <w:tcBorders>
              <w:top w:val="nil"/>
              <w:left w:val="nil"/>
              <w:bottom w:val="single" w:color="auto" w:sz="4" w:space="0"/>
              <w:right w:val="single" w:color="auto" w:sz="4" w:space="0"/>
            </w:tcBorders>
            <w:vAlign w:val="center"/>
          </w:tcPr>
          <w:p w14:paraId="2187D19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76" w:type="dxa"/>
            <w:tcBorders>
              <w:top w:val="nil"/>
              <w:left w:val="nil"/>
              <w:bottom w:val="single" w:color="auto" w:sz="4" w:space="0"/>
              <w:right w:val="single" w:color="auto" w:sz="4" w:space="0"/>
            </w:tcBorders>
            <w:vAlign w:val="center"/>
          </w:tcPr>
          <w:p w14:paraId="728019B1">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77" w:type="dxa"/>
            <w:tcBorders>
              <w:top w:val="nil"/>
              <w:left w:val="nil"/>
              <w:bottom w:val="single" w:color="auto" w:sz="4" w:space="0"/>
              <w:right w:val="single" w:color="auto" w:sz="4" w:space="0"/>
            </w:tcBorders>
            <w:vAlign w:val="center"/>
          </w:tcPr>
          <w:p w14:paraId="37668FF7">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91" w:type="dxa"/>
            <w:tcBorders>
              <w:top w:val="nil"/>
              <w:left w:val="nil"/>
              <w:bottom w:val="single" w:color="auto" w:sz="4" w:space="0"/>
              <w:right w:val="single" w:color="auto" w:sz="4" w:space="0"/>
            </w:tcBorders>
            <w:vAlign w:val="center"/>
          </w:tcPr>
          <w:p w14:paraId="74ADC98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402</w:t>
            </w:r>
          </w:p>
        </w:tc>
      </w:tr>
      <w:tr w14:paraId="3DD76D19">
        <w:tblPrEx>
          <w:tblCellMar>
            <w:top w:w="0" w:type="dxa"/>
            <w:left w:w="108" w:type="dxa"/>
            <w:bottom w:w="0" w:type="dxa"/>
            <w:right w:w="108" w:type="dxa"/>
          </w:tblCellMar>
        </w:tblPrEx>
        <w:trPr>
          <w:trHeight w:val="624" w:hRule="atLeast"/>
        </w:trPr>
        <w:tc>
          <w:tcPr>
            <w:tcW w:w="830" w:type="dxa"/>
            <w:tcBorders>
              <w:top w:val="nil"/>
              <w:left w:val="single" w:color="auto" w:sz="4" w:space="0"/>
              <w:bottom w:val="single" w:color="auto" w:sz="4" w:space="0"/>
              <w:right w:val="single" w:color="auto" w:sz="4" w:space="0"/>
            </w:tcBorders>
            <w:vAlign w:val="center"/>
          </w:tcPr>
          <w:p w14:paraId="3E5C37C9">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城市杂用水</w:t>
            </w:r>
          </w:p>
        </w:tc>
        <w:tc>
          <w:tcPr>
            <w:tcW w:w="843" w:type="dxa"/>
            <w:tcBorders>
              <w:top w:val="nil"/>
              <w:left w:val="nil"/>
              <w:bottom w:val="single" w:color="auto" w:sz="4" w:space="0"/>
              <w:right w:val="single" w:color="auto" w:sz="4" w:space="0"/>
            </w:tcBorders>
            <w:vAlign w:val="center"/>
          </w:tcPr>
          <w:p w14:paraId="72D4EB64">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371</w:t>
            </w:r>
          </w:p>
        </w:tc>
        <w:tc>
          <w:tcPr>
            <w:tcW w:w="876" w:type="dxa"/>
            <w:tcBorders>
              <w:top w:val="nil"/>
              <w:left w:val="nil"/>
              <w:bottom w:val="single" w:color="auto" w:sz="4" w:space="0"/>
              <w:right w:val="single" w:color="auto" w:sz="4" w:space="0"/>
            </w:tcBorders>
            <w:vAlign w:val="center"/>
          </w:tcPr>
          <w:p w14:paraId="1B4514D8">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293</w:t>
            </w:r>
          </w:p>
        </w:tc>
        <w:tc>
          <w:tcPr>
            <w:tcW w:w="876" w:type="dxa"/>
            <w:tcBorders>
              <w:top w:val="single" w:color="auto" w:sz="4" w:space="0"/>
              <w:left w:val="nil"/>
              <w:bottom w:val="single" w:color="auto" w:sz="4" w:space="0"/>
              <w:right w:val="single" w:color="auto" w:sz="4" w:space="0"/>
            </w:tcBorders>
            <w:vAlign w:val="center"/>
          </w:tcPr>
          <w:p w14:paraId="4C8157EE">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25.7</w:t>
            </w:r>
          </w:p>
        </w:tc>
        <w:tc>
          <w:tcPr>
            <w:tcW w:w="876" w:type="dxa"/>
            <w:tcBorders>
              <w:top w:val="nil"/>
              <w:left w:val="nil"/>
              <w:bottom w:val="single" w:color="auto" w:sz="4" w:space="0"/>
              <w:right w:val="single" w:color="auto" w:sz="4" w:space="0"/>
            </w:tcBorders>
            <w:vAlign w:val="center"/>
          </w:tcPr>
          <w:p w14:paraId="19172260">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w:t>
            </w:r>
          </w:p>
        </w:tc>
        <w:tc>
          <w:tcPr>
            <w:tcW w:w="877" w:type="dxa"/>
            <w:tcBorders>
              <w:top w:val="nil"/>
              <w:left w:val="nil"/>
              <w:bottom w:val="single" w:color="auto" w:sz="4" w:space="0"/>
              <w:right w:val="single" w:color="auto" w:sz="4" w:space="0"/>
            </w:tcBorders>
            <w:vAlign w:val="center"/>
          </w:tcPr>
          <w:p w14:paraId="278E7958">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14.1</w:t>
            </w:r>
          </w:p>
        </w:tc>
        <w:tc>
          <w:tcPr>
            <w:tcW w:w="876" w:type="dxa"/>
            <w:tcBorders>
              <w:top w:val="nil"/>
              <w:left w:val="nil"/>
              <w:bottom w:val="single" w:color="auto" w:sz="4" w:space="0"/>
              <w:right w:val="single" w:color="auto" w:sz="4" w:space="0"/>
            </w:tcBorders>
            <w:vAlign w:val="center"/>
          </w:tcPr>
          <w:p w14:paraId="1FD1EEDA">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12.1</w:t>
            </w:r>
          </w:p>
        </w:tc>
        <w:tc>
          <w:tcPr>
            <w:tcW w:w="876" w:type="dxa"/>
            <w:tcBorders>
              <w:top w:val="nil"/>
              <w:left w:val="nil"/>
              <w:bottom w:val="single" w:color="auto" w:sz="4" w:space="0"/>
              <w:right w:val="single" w:color="auto" w:sz="4" w:space="0"/>
            </w:tcBorders>
            <w:vAlign w:val="center"/>
          </w:tcPr>
          <w:p w14:paraId="53C4D86B">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9.9</w:t>
            </w:r>
          </w:p>
        </w:tc>
        <w:tc>
          <w:tcPr>
            <w:tcW w:w="877" w:type="dxa"/>
            <w:tcBorders>
              <w:top w:val="nil"/>
              <w:left w:val="nil"/>
              <w:bottom w:val="single" w:color="auto" w:sz="4" w:space="0"/>
              <w:right w:val="single" w:color="auto" w:sz="4" w:space="0"/>
            </w:tcBorders>
            <w:vAlign w:val="center"/>
          </w:tcPr>
          <w:p w14:paraId="41AF55B1">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7.2</w:t>
            </w:r>
          </w:p>
        </w:tc>
        <w:tc>
          <w:tcPr>
            <w:tcW w:w="891" w:type="dxa"/>
            <w:tcBorders>
              <w:top w:val="nil"/>
              <w:left w:val="nil"/>
              <w:bottom w:val="single" w:color="auto" w:sz="4" w:space="0"/>
              <w:right w:val="single" w:color="auto" w:sz="4" w:space="0"/>
            </w:tcBorders>
            <w:vAlign w:val="center"/>
          </w:tcPr>
          <w:p w14:paraId="7E773273">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371</w:t>
            </w:r>
          </w:p>
        </w:tc>
      </w:tr>
      <w:tr w14:paraId="4B3B4598">
        <w:tblPrEx>
          <w:tblCellMar>
            <w:top w:w="0" w:type="dxa"/>
            <w:left w:w="108" w:type="dxa"/>
            <w:bottom w:w="0" w:type="dxa"/>
            <w:right w:w="108" w:type="dxa"/>
          </w:tblCellMar>
        </w:tblPrEx>
        <w:trPr>
          <w:trHeight w:val="624" w:hRule="atLeast"/>
        </w:trPr>
        <w:tc>
          <w:tcPr>
            <w:tcW w:w="830" w:type="dxa"/>
            <w:tcBorders>
              <w:top w:val="nil"/>
              <w:left w:val="single" w:color="auto" w:sz="4" w:space="0"/>
              <w:bottom w:val="single" w:color="auto" w:sz="4" w:space="0"/>
              <w:right w:val="single" w:color="auto" w:sz="4" w:space="0"/>
            </w:tcBorders>
            <w:vAlign w:val="center"/>
          </w:tcPr>
          <w:p w14:paraId="0C8133B9">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生态环境补水</w:t>
            </w:r>
          </w:p>
        </w:tc>
        <w:tc>
          <w:tcPr>
            <w:tcW w:w="843" w:type="dxa"/>
            <w:tcBorders>
              <w:top w:val="nil"/>
              <w:left w:val="nil"/>
              <w:bottom w:val="single" w:color="auto" w:sz="4" w:space="0"/>
              <w:right w:val="single" w:color="auto" w:sz="4" w:space="0"/>
            </w:tcBorders>
            <w:vAlign w:val="center"/>
          </w:tcPr>
          <w:p w14:paraId="53A9F94D">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600</w:t>
            </w:r>
          </w:p>
        </w:tc>
        <w:tc>
          <w:tcPr>
            <w:tcW w:w="876" w:type="dxa"/>
            <w:tcBorders>
              <w:top w:val="nil"/>
              <w:left w:val="nil"/>
              <w:bottom w:val="single" w:color="auto" w:sz="4" w:space="0"/>
              <w:right w:val="single" w:color="auto" w:sz="4" w:space="0"/>
            </w:tcBorders>
            <w:vAlign w:val="center"/>
          </w:tcPr>
          <w:p w14:paraId="20FFDCED">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550</w:t>
            </w:r>
          </w:p>
        </w:tc>
        <w:tc>
          <w:tcPr>
            <w:tcW w:w="876" w:type="dxa"/>
            <w:tcBorders>
              <w:top w:val="single" w:color="auto" w:sz="4" w:space="0"/>
              <w:left w:val="nil"/>
              <w:bottom w:val="single" w:color="auto" w:sz="4" w:space="0"/>
              <w:right w:val="single" w:color="auto" w:sz="4" w:space="0"/>
            </w:tcBorders>
            <w:vAlign w:val="center"/>
          </w:tcPr>
          <w:p w14:paraId="4378353A">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50</w:t>
            </w:r>
          </w:p>
        </w:tc>
        <w:tc>
          <w:tcPr>
            <w:tcW w:w="876" w:type="dxa"/>
            <w:tcBorders>
              <w:top w:val="nil"/>
              <w:left w:val="nil"/>
              <w:bottom w:val="single" w:color="auto" w:sz="4" w:space="0"/>
              <w:right w:val="single" w:color="auto" w:sz="4" w:space="0"/>
            </w:tcBorders>
            <w:vAlign w:val="center"/>
          </w:tcPr>
          <w:p w14:paraId="759EC23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77" w:type="dxa"/>
            <w:tcBorders>
              <w:top w:val="nil"/>
              <w:left w:val="nil"/>
              <w:bottom w:val="single" w:color="auto" w:sz="4" w:space="0"/>
              <w:right w:val="single" w:color="auto" w:sz="4" w:space="0"/>
            </w:tcBorders>
            <w:vAlign w:val="center"/>
          </w:tcPr>
          <w:p w14:paraId="668EABFF">
            <w:pPr>
              <w:widowControl/>
              <w:adjustRightInd w:val="0"/>
              <w:snapToGrid w:val="0"/>
              <w:ind w:left="-105" w:leftChars="-50" w:right="-105" w:rightChars="-50"/>
              <w:jc w:val="center"/>
              <w:rPr>
                <w:rFonts w:eastAsia="等线"/>
                <w:color w:val="000000"/>
                <w:kern w:val="0"/>
                <w:sz w:val="22"/>
                <w:szCs w:val="22"/>
              </w:rPr>
            </w:pPr>
          </w:p>
        </w:tc>
        <w:tc>
          <w:tcPr>
            <w:tcW w:w="876" w:type="dxa"/>
            <w:tcBorders>
              <w:top w:val="nil"/>
              <w:left w:val="nil"/>
              <w:bottom w:val="single" w:color="auto" w:sz="4" w:space="0"/>
              <w:right w:val="single" w:color="auto" w:sz="4" w:space="0"/>
            </w:tcBorders>
            <w:vAlign w:val="center"/>
          </w:tcPr>
          <w:p w14:paraId="0A695000">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76" w:type="dxa"/>
            <w:tcBorders>
              <w:top w:val="nil"/>
              <w:left w:val="nil"/>
              <w:bottom w:val="single" w:color="auto" w:sz="4" w:space="0"/>
              <w:right w:val="single" w:color="auto" w:sz="4" w:space="0"/>
            </w:tcBorders>
            <w:vAlign w:val="center"/>
          </w:tcPr>
          <w:p w14:paraId="052EB4D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77" w:type="dxa"/>
            <w:tcBorders>
              <w:top w:val="nil"/>
              <w:left w:val="nil"/>
              <w:bottom w:val="single" w:color="auto" w:sz="4" w:space="0"/>
              <w:right w:val="single" w:color="auto" w:sz="4" w:space="0"/>
            </w:tcBorders>
            <w:vAlign w:val="center"/>
          </w:tcPr>
          <w:p w14:paraId="6BDD6A35">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w:t>
            </w:r>
          </w:p>
        </w:tc>
        <w:tc>
          <w:tcPr>
            <w:tcW w:w="891" w:type="dxa"/>
            <w:tcBorders>
              <w:top w:val="nil"/>
              <w:left w:val="nil"/>
              <w:bottom w:val="single" w:color="auto" w:sz="4" w:space="0"/>
              <w:right w:val="single" w:color="auto" w:sz="4" w:space="0"/>
            </w:tcBorders>
            <w:vAlign w:val="center"/>
          </w:tcPr>
          <w:p w14:paraId="284070FC">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600</w:t>
            </w:r>
          </w:p>
        </w:tc>
      </w:tr>
      <w:tr w14:paraId="73E98692">
        <w:tblPrEx>
          <w:tblCellMar>
            <w:top w:w="0" w:type="dxa"/>
            <w:left w:w="108" w:type="dxa"/>
            <w:bottom w:w="0" w:type="dxa"/>
            <w:right w:w="108" w:type="dxa"/>
          </w:tblCellMar>
        </w:tblPrEx>
        <w:trPr>
          <w:trHeight w:val="624" w:hRule="atLeast"/>
        </w:trPr>
        <w:tc>
          <w:tcPr>
            <w:tcW w:w="830" w:type="dxa"/>
            <w:tcBorders>
              <w:top w:val="nil"/>
              <w:left w:val="single" w:color="auto" w:sz="4" w:space="0"/>
              <w:bottom w:val="single" w:color="auto" w:sz="4" w:space="0"/>
              <w:right w:val="single" w:color="auto" w:sz="4" w:space="0"/>
            </w:tcBorders>
            <w:vAlign w:val="center"/>
          </w:tcPr>
          <w:p w14:paraId="3BE9AE16">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管网漏损量</w:t>
            </w:r>
          </w:p>
        </w:tc>
        <w:tc>
          <w:tcPr>
            <w:tcW w:w="843" w:type="dxa"/>
            <w:tcBorders>
              <w:top w:val="nil"/>
              <w:left w:val="nil"/>
              <w:bottom w:val="single" w:color="auto" w:sz="4" w:space="0"/>
              <w:right w:val="single" w:color="auto" w:sz="4" w:space="0"/>
            </w:tcBorders>
            <w:vAlign w:val="center"/>
          </w:tcPr>
          <w:p w14:paraId="0EC861FB">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28</w:t>
            </w:r>
          </w:p>
        </w:tc>
        <w:tc>
          <w:tcPr>
            <w:tcW w:w="876" w:type="dxa"/>
            <w:tcBorders>
              <w:top w:val="nil"/>
              <w:left w:val="nil"/>
              <w:bottom w:val="single" w:color="auto" w:sz="4" w:space="0"/>
              <w:right w:val="single" w:color="auto" w:sz="4" w:space="0"/>
            </w:tcBorders>
            <w:vAlign w:val="center"/>
          </w:tcPr>
          <w:p w14:paraId="50DDA1CA">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22.4</w:t>
            </w:r>
          </w:p>
        </w:tc>
        <w:tc>
          <w:tcPr>
            <w:tcW w:w="876" w:type="dxa"/>
            <w:tcBorders>
              <w:top w:val="single" w:color="auto" w:sz="4" w:space="0"/>
              <w:left w:val="nil"/>
              <w:bottom w:val="single" w:color="auto" w:sz="4" w:space="0"/>
              <w:right w:val="single" w:color="auto" w:sz="4" w:space="0"/>
            </w:tcBorders>
            <w:vAlign w:val="center"/>
          </w:tcPr>
          <w:p w14:paraId="62D61F63">
            <w:pPr>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2.8</w:t>
            </w:r>
          </w:p>
        </w:tc>
        <w:tc>
          <w:tcPr>
            <w:tcW w:w="876" w:type="dxa"/>
            <w:tcBorders>
              <w:top w:val="nil"/>
              <w:left w:val="nil"/>
              <w:bottom w:val="single" w:color="auto" w:sz="4" w:space="0"/>
              <w:right w:val="single" w:color="auto" w:sz="4" w:space="0"/>
            </w:tcBorders>
            <w:vAlign w:val="center"/>
          </w:tcPr>
          <w:p w14:paraId="4B7EF6DA">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0.2</w:t>
            </w:r>
          </w:p>
        </w:tc>
        <w:tc>
          <w:tcPr>
            <w:tcW w:w="877" w:type="dxa"/>
            <w:tcBorders>
              <w:top w:val="nil"/>
              <w:left w:val="nil"/>
              <w:bottom w:val="single" w:color="auto" w:sz="4" w:space="0"/>
              <w:right w:val="single" w:color="auto" w:sz="4" w:space="0"/>
            </w:tcBorders>
            <w:vAlign w:val="center"/>
          </w:tcPr>
          <w:p w14:paraId="60D0D38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2.1</w:t>
            </w:r>
          </w:p>
        </w:tc>
        <w:tc>
          <w:tcPr>
            <w:tcW w:w="876" w:type="dxa"/>
            <w:tcBorders>
              <w:top w:val="nil"/>
              <w:left w:val="nil"/>
              <w:bottom w:val="single" w:color="auto" w:sz="4" w:space="0"/>
              <w:right w:val="single" w:color="auto" w:sz="4" w:space="0"/>
            </w:tcBorders>
            <w:vAlign w:val="center"/>
          </w:tcPr>
          <w:p w14:paraId="464F9CB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0.2</w:t>
            </w:r>
          </w:p>
        </w:tc>
        <w:tc>
          <w:tcPr>
            <w:tcW w:w="876" w:type="dxa"/>
            <w:tcBorders>
              <w:top w:val="nil"/>
              <w:left w:val="nil"/>
              <w:bottom w:val="single" w:color="auto" w:sz="4" w:space="0"/>
              <w:right w:val="single" w:color="auto" w:sz="4" w:space="0"/>
            </w:tcBorders>
            <w:vAlign w:val="center"/>
          </w:tcPr>
          <w:p w14:paraId="773BD492">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0.2</w:t>
            </w:r>
          </w:p>
        </w:tc>
        <w:tc>
          <w:tcPr>
            <w:tcW w:w="877" w:type="dxa"/>
            <w:tcBorders>
              <w:top w:val="nil"/>
              <w:left w:val="nil"/>
              <w:bottom w:val="single" w:color="auto" w:sz="4" w:space="0"/>
              <w:right w:val="single" w:color="auto" w:sz="4" w:space="0"/>
            </w:tcBorders>
            <w:vAlign w:val="center"/>
          </w:tcPr>
          <w:p w14:paraId="4D56D8C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0.1</w:t>
            </w:r>
          </w:p>
        </w:tc>
        <w:tc>
          <w:tcPr>
            <w:tcW w:w="891" w:type="dxa"/>
            <w:tcBorders>
              <w:top w:val="nil"/>
              <w:left w:val="nil"/>
              <w:bottom w:val="single" w:color="auto" w:sz="4" w:space="0"/>
              <w:right w:val="single" w:color="auto" w:sz="4" w:space="0"/>
            </w:tcBorders>
            <w:vAlign w:val="center"/>
          </w:tcPr>
          <w:p w14:paraId="17C822B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28</w:t>
            </w:r>
          </w:p>
        </w:tc>
      </w:tr>
      <w:tr w14:paraId="3B7F853E">
        <w:tblPrEx>
          <w:tblCellMar>
            <w:top w:w="0" w:type="dxa"/>
            <w:left w:w="108" w:type="dxa"/>
            <w:bottom w:w="0" w:type="dxa"/>
            <w:right w:w="108" w:type="dxa"/>
          </w:tblCellMar>
        </w:tblPrEx>
        <w:trPr>
          <w:trHeight w:val="572" w:hRule="atLeast"/>
        </w:trPr>
        <w:tc>
          <w:tcPr>
            <w:tcW w:w="830" w:type="dxa"/>
            <w:tcBorders>
              <w:top w:val="nil"/>
              <w:left w:val="single" w:color="auto" w:sz="4" w:space="0"/>
              <w:bottom w:val="single" w:color="auto" w:sz="4" w:space="0"/>
              <w:right w:val="single" w:color="auto" w:sz="4" w:space="0"/>
            </w:tcBorders>
            <w:vAlign w:val="center"/>
          </w:tcPr>
          <w:p w14:paraId="60DC8E0A">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合计</w:t>
            </w:r>
          </w:p>
        </w:tc>
        <w:tc>
          <w:tcPr>
            <w:tcW w:w="843" w:type="dxa"/>
            <w:tcBorders>
              <w:top w:val="nil"/>
              <w:left w:val="nil"/>
              <w:bottom w:val="single" w:color="auto" w:sz="4" w:space="0"/>
              <w:right w:val="single" w:color="auto" w:sz="4" w:space="0"/>
            </w:tcBorders>
            <w:vAlign w:val="center"/>
          </w:tcPr>
          <w:p w14:paraId="08421158">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1401</w:t>
            </w:r>
          </w:p>
        </w:tc>
        <w:tc>
          <w:tcPr>
            <w:tcW w:w="876" w:type="dxa"/>
            <w:tcBorders>
              <w:top w:val="nil"/>
              <w:left w:val="nil"/>
              <w:bottom w:val="single" w:color="auto" w:sz="4" w:space="0"/>
              <w:right w:val="single" w:color="auto" w:sz="4" w:space="0"/>
            </w:tcBorders>
            <w:vAlign w:val="center"/>
          </w:tcPr>
          <w:p w14:paraId="5346EC60">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1129.9</w:t>
            </w:r>
          </w:p>
        </w:tc>
        <w:tc>
          <w:tcPr>
            <w:tcW w:w="876" w:type="dxa"/>
            <w:tcBorders>
              <w:top w:val="single" w:color="auto" w:sz="4" w:space="0"/>
              <w:left w:val="nil"/>
              <w:bottom w:val="single" w:color="auto" w:sz="4" w:space="0"/>
              <w:right w:val="single" w:color="auto" w:sz="4" w:space="0"/>
            </w:tcBorders>
            <w:vAlign w:val="center"/>
          </w:tcPr>
          <w:p w14:paraId="62060C9D">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139.2</w:t>
            </w:r>
          </w:p>
        </w:tc>
        <w:tc>
          <w:tcPr>
            <w:tcW w:w="876" w:type="dxa"/>
            <w:tcBorders>
              <w:top w:val="nil"/>
              <w:left w:val="nil"/>
              <w:bottom w:val="single" w:color="auto" w:sz="4" w:space="0"/>
              <w:right w:val="single" w:color="auto" w:sz="4" w:space="0"/>
            </w:tcBorders>
            <w:vAlign w:val="center"/>
          </w:tcPr>
          <w:p w14:paraId="1D1EC245">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9.2</w:t>
            </w:r>
          </w:p>
        </w:tc>
        <w:tc>
          <w:tcPr>
            <w:tcW w:w="877" w:type="dxa"/>
            <w:tcBorders>
              <w:top w:val="nil"/>
              <w:left w:val="nil"/>
              <w:bottom w:val="single" w:color="auto" w:sz="4" w:space="0"/>
              <w:right w:val="single" w:color="auto" w:sz="4" w:space="0"/>
            </w:tcBorders>
            <w:vAlign w:val="center"/>
          </w:tcPr>
          <w:p w14:paraId="400FA5BC">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93</w:t>
            </w:r>
          </w:p>
        </w:tc>
        <w:tc>
          <w:tcPr>
            <w:tcW w:w="876" w:type="dxa"/>
            <w:tcBorders>
              <w:top w:val="nil"/>
              <w:left w:val="nil"/>
              <w:bottom w:val="single" w:color="auto" w:sz="4" w:space="0"/>
              <w:right w:val="single" w:color="auto" w:sz="4" w:space="0"/>
            </w:tcBorders>
            <w:vAlign w:val="center"/>
          </w:tcPr>
          <w:p w14:paraId="335600E1">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12.3</w:t>
            </w:r>
          </w:p>
        </w:tc>
        <w:tc>
          <w:tcPr>
            <w:tcW w:w="876" w:type="dxa"/>
            <w:tcBorders>
              <w:top w:val="nil"/>
              <w:left w:val="nil"/>
              <w:bottom w:val="single" w:color="auto" w:sz="4" w:space="0"/>
              <w:right w:val="single" w:color="auto" w:sz="4" w:space="0"/>
            </w:tcBorders>
            <w:vAlign w:val="center"/>
          </w:tcPr>
          <w:p w14:paraId="056C7A94">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10.1</w:t>
            </w:r>
          </w:p>
        </w:tc>
        <w:tc>
          <w:tcPr>
            <w:tcW w:w="877" w:type="dxa"/>
            <w:tcBorders>
              <w:top w:val="nil"/>
              <w:left w:val="nil"/>
              <w:bottom w:val="single" w:color="auto" w:sz="4" w:space="0"/>
              <w:right w:val="single" w:color="auto" w:sz="4" w:space="0"/>
            </w:tcBorders>
            <w:vAlign w:val="center"/>
          </w:tcPr>
          <w:p w14:paraId="2DA73424">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7.3</w:t>
            </w:r>
          </w:p>
        </w:tc>
        <w:tc>
          <w:tcPr>
            <w:tcW w:w="891" w:type="dxa"/>
            <w:tcBorders>
              <w:top w:val="nil"/>
              <w:left w:val="nil"/>
              <w:bottom w:val="single" w:color="auto" w:sz="4" w:space="0"/>
              <w:right w:val="single" w:color="auto" w:sz="4" w:space="0"/>
            </w:tcBorders>
            <w:vAlign w:val="center"/>
          </w:tcPr>
          <w:p w14:paraId="028821A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1401</w:t>
            </w:r>
          </w:p>
        </w:tc>
      </w:tr>
    </w:tbl>
    <w:p w14:paraId="1C6D28C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依据分区而言，2</w:t>
      </w:r>
      <w:r>
        <w:rPr>
          <w:color w:val="000000" w:themeColor="text1"/>
          <w:sz w:val="28"/>
          <w:szCs w:val="36"/>
        </w:rPr>
        <w:t>0</w:t>
      </w:r>
      <w:r>
        <w:rPr>
          <w:rFonts w:hint="eastAsia"/>
          <w:color w:val="000000" w:themeColor="text1"/>
          <w:sz w:val="28"/>
          <w:szCs w:val="36"/>
        </w:rPr>
        <w:t>30年平阴县中心城区和各镇配置再生水量为1401万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，其中中心城区配置再生水量为1013.3万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，以平阴水务发展有限公司（一厂）的再生水为水源，由平阴县北控水环境开发有限公司等再生水供水工程供水；安城镇配置再生水量为139.2万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，以平阴水务发展有限公司（二厂）的再生水为水源；东阿镇配置再生水量为9.2万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，以平阴水务发展有限公司（三厂）为水源；孔村镇配置再生水量为209.6万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，以平阴县中环水务有限公司（孔村厂）、平阴水务发展有限公司（一厂）的再生水为水源；孝直镇配置再生水量为12.3万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，以平阴县中环水务有限公司（孝直厂）的再生水为水源；玫瑰镇配置再生水量为10.1万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，以玫瑰镇污水处理厂的再生水为水源；洪范池镇配置再生水量为7.3万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，以洪范池镇污水处理厂的再生水为水源，具体配置方案详见表</w:t>
      </w:r>
      <w:r>
        <w:rPr>
          <w:color w:val="000000" w:themeColor="text1"/>
          <w:sz w:val="28"/>
          <w:szCs w:val="36"/>
        </w:rPr>
        <w:t>6.3-2</w:t>
      </w:r>
      <w:r>
        <w:rPr>
          <w:rFonts w:hint="eastAsia"/>
          <w:color w:val="000000" w:themeColor="text1"/>
          <w:sz w:val="28"/>
          <w:szCs w:val="36"/>
        </w:rPr>
        <w:t>和图6.3-2。</w:t>
      </w:r>
    </w:p>
    <w:p w14:paraId="7A16DE7C">
      <w:pPr>
        <w:autoSpaceDE w:val="0"/>
        <w:autoSpaceDN w:val="0"/>
        <w:spacing w:line="600" w:lineRule="exact"/>
        <w:jc w:val="right"/>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6.3-2  20</w:t>
      </w:r>
      <w:r>
        <w:rPr>
          <w:rFonts w:hint="eastAsia"/>
          <w:b/>
          <w:bCs/>
          <w:color w:val="000000" w:themeColor="text1"/>
          <w:sz w:val="24"/>
          <w:szCs w:val="32"/>
        </w:rPr>
        <w:t xml:space="preserve">30年平阴县中心城区及各镇再生水供水配置表 </w:t>
      </w:r>
      <w:r>
        <w:rPr>
          <w:b/>
          <w:bCs/>
          <w:color w:val="000000" w:themeColor="text1"/>
          <w:sz w:val="24"/>
          <w:szCs w:val="32"/>
        </w:rPr>
        <w:t xml:space="preserve">      </w:t>
      </w:r>
      <w:r>
        <w:rPr>
          <w:rFonts w:hint="eastAsia"/>
          <w:b/>
          <w:bCs/>
          <w:color w:val="000000" w:themeColor="text1"/>
          <w:sz w:val="24"/>
          <w:szCs w:val="32"/>
        </w:rPr>
        <w:t>单位：万</w:t>
      </w:r>
      <w:r>
        <w:rPr>
          <w:b/>
          <w:bCs/>
          <w:color w:val="000000" w:themeColor="text1"/>
          <w:sz w:val="24"/>
          <w:szCs w:val="32"/>
        </w:rPr>
        <w:t>m</w:t>
      </w:r>
      <w:r>
        <w:rPr>
          <w:rFonts w:hint="eastAsia"/>
          <w:b/>
          <w:bCs/>
          <w:color w:val="000000" w:themeColor="text1"/>
          <w:sz w:val="28"/>
          <w:szCs w:val="36"/>
          <w:vertAlign w:val="superscript"/>
        </w:rPr>
        <w:t>3</w:t>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3544"/>
        <w:gridCol w:w="708"/>
        <w:gridCol w:w="742"/>
        <w:gridCol w:w="937"/>
        <w:gridCol w:w="816"/>
        <w:gridCol w:w="733"/>
      </w:tblGrid>
      <w:tr w14:paraId="12EED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Align w:val="center"/>
          </w:tcPr>
          <w:p w14:paraId="34B2809F">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城镇</w:t>
            </w:r>
          </w:p>
        </w:tc>
        <w:tc>
          <w:tcPr>
            <w:tcW w:w="3544" w:type="dxa"/>
            <w:noWrap/>
            <w:vAlign w:val="center"/>
          </w:tcPr>
          <w:p w14:paraId="3EFD2B21">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配置水源</w:t>
            </w:r>
          </w:p>
        </w:tc>
        <w:tc>
          <w:tcPr>
            <w:tcW w:w="708" w:type="dxa"/>
            <w:noWrap/>
            <w:vAlign w:val="center"/>
          </w:tcPr>
          <w:p w14:paraId="116C62E3">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工业用水</w:t>
            </w:r>
          </w:p>
        </w:tc>
        <w:tc>
          <w:tcPr>
            <w:tcW w:w="742" w:type="dxa"/>
            <w:noWrap/>
            <w:vAlign w:val="center"/>
          </w:tcPr>
          <w:p w14:paraId="061A6666">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城市杂用水</w:t>
            </w:r>
          </w:p>
        </w:tc>
        <w:tc>
          <w:tcPr>
            <w:tcW w:w="937" w:type="dxa"/>
            <w:noWrap/>
            <w:vAlign w:val="center"/>
          </w:tcPr>
          <w:p w14:paraId="3DD718EB">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生态环境补水</w:t>
            </w:r>
          </w:p>
        </w:tc>
        <w:tc>
          <w:tcPr>
            <w:tcW w:w="816" w:type="dxa"/>
            <w:noWrap/>
            <w:vAlign w:val="center"/>
          </w:tcPr>
          <w:p w14:paraId="7FE3BC3E">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管网漏损量</w:t>
            </w:r>
          </w:p>
        </w:tc>
        <w:tc>
          <w:tcPr>
            <w:tcW w:w="733" w:type="dxa"/>
            <w:noWrap/>
            <w:vAlign w:val="center"/>
          </w:tcPr>
          <w:p w14:paraId="5EB9A4A9">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合计</w:t>
            </w:r>
          </w:p>
        </w:tc>
      </w:tr>
      <w:tr w14:paraId="04CFE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Align w:val="center"/>
          </w:tcPr>
          <w:p w14:paraId="6FC50672">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中心城区</w:t>
            </w:r>
          </w:p>
        </w:tc>
        <w:tc>
          <w:tcPr>
            <w:tcW w:w="3544" w:type="dxa"/>
            <w:vAlign w:val="center"/>
          </w:tcPr>
          <w:p w14:paraId="74952CD6">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平阴水务发展有限公司（一厂）</w:t>
            </w:r>
          </w:p>
        </w:tc>
        <w:tc>
          <w:tcPr>
            <w:tcW w:w="708" w:type="dxa"/>
            <w:noWrap/>
            <w:vAlign w:val="center"/>
          </w:tcPr>
          <w:p w14:paraId="19E5FD77">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150</w:t>
            </w:r>
          </w:p>
        </w:tc>
        <w:tc>
          <w:tcPr>
            <w:tcW w:w="742" w:type="dxa"/>
            <w:noWrap/>
            <w:vAlign w:val="center"/>
          </w:tcPr>
          <w:p w14:paraId="27396B1D">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293</w:t>
            </w:r>
          </w:p>
        </w:tc>
        <w:tc>
          <w:tcPr>
            <w:tcW w:w="937" w:type="dxa"/>
            <w:noWrap/>
            <w:vAlign w:val="center"/>
          </w:tcPr>
          <w:p w14:paraId="60CF09C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550</w:t>
            </w:r>
          </w:p>
        </w:tc>
        <w:tc>
          <w:tcPr>
            <w:tcW w:w="816" w:type="dxa"/>
            <w:noWrap/>
            <w:vAlign w:val="center"/>
          </w:tcPr>
          <w:p w14:paraId="01B80E9D">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20.3</w:t>
            </w:r>
          </w:p>
        </w:tc>
        <w:tc>
          <w:tcPr>
            <w:tcW w:w="733" w:type="dxa"/>
            <w:noWrap/>
            <w:vAlign w:val="center"/>
          </w:tcPr>
          <w:p w14:paraId="0D154A4C">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1013.3</w:t>
            </w:r>
          </w:p>
        </w:tc>
      </w:tr>
      <w:tr w14:paraId="4F695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Align w:val="center"/>
          </w:tcPr>
          <w:p w14:paraId="37EA3CCC">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安城镇</w:t>
            </w:r>
          </w:p>
        </w:tc>
        <w:tc>
          <w:tcPr>
            <w:tcW w:w="3544" w:type="dxa"/>
            <w:noWrap/>
            <w:vAlign w:val="center"/>
          </w:tcPr>
          <w:p w14:paraId="302B41A5">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平阴水务发展有限公司（二厂）</w:t>
            </w:r>
          </w:p>
        </w:tc>
        <w:tc>
          <w:tcPr>
            <w:tcW w:w="708" w:type="dxa"/>
            <w:noWrap/>
            <w:vAlign w:val="center"/>
          </w:tcPr>
          <w:p w14:paraId="06821A3B">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60.7</w:t>
            </w:r>
          </w:p>
        </w:tc>
        <w:tc>
          <w:tcPr>
            <w:tcW w:w="742" w:type="dxa"/>
            <w:noWrap/>
            <w:vAlign w:val="center"/>
          </w:tcPr>
          <w:p w14:paraId="48350141">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25.7</w:t>
            </w:r>
          </w:p>
        </w:tc>
        <w:tc>
          <w:tcPr>
            <w:tcW w:w="937" w:type="dxa"/>
            <w:noWrap/>
            <w:vAlign w:val="center"/>
          </w:tcPr>
          <w:p w14:paraId="347E00D1">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50</w:t>
            </w:r>
          </w:p>
        </w:tc>
        <w:tc>
          <w:tcPr>
            <w:tcW w:w="816" w:type="dxa"/>
            <w:noWrap/>
            <w:vAlign w:val="center"/>
          </w:tcPr>
          <w:p w14:paraId="60F22279">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2.8</w:t>
            </w:r>
          </w:p>
        </w:tc>
        <w:tc>
          <w:tcPr>
            <w:tcW w:w="733" w:type="dxa"/>
            <w:noWrap/>
            <w:vAlign w:val="center"/>
          </w:tcPr>
          <w:p w14:paraId="44215FE9">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139.2</w:t>
            </w:r>
          </w:p>
        </w:tc>
      </w:tr>
      <w:tr w14:paraId="1B060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Align w:val="center"/>
          </w:tcPr>
          <w:p w14:paraId="16AE5D4A">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东阿镇</w:t>
            </w:r>
          </w:p>
        </w:tc>
        <w:tc>
          <w:tcPr>
            <w:tcW w:w="3544" w:type="dxa"/>
            <w:noWrap/>
            <w:vAlign w:val="center"/>
          </w:tcPr>
          <w:p w14:paraId="3A3D93F5">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平阴水务发展有限公司（三厂）</w:t>
            </w:r>
          </w:p>
        </w:tc>
        <w:tc>
          <w:tcPr>
            <w:tcW w:w="708" w:type="dxa"/>
            <w:noWrap/>
            <w:vAlign w:val="center"/>
          </w:tcPr>
          <w:p w14:paraId="6762010F">
            <w:pPr>
              <w:widowControl/>
              <w:adjustRightInd w:val="0"/>
              <w:snapToGrid w:val="0"/>
              <w:ind w:left="-105" w:leftChars="-50" w:right="-105" w:rightChars="-50"/>
              <w:jc w:val="center"/>
              <w:rPr>
                <w:rFonts w:eastAsia="等线"/>
                <w:color w:val="000000"/>
                <w:kern w:val="0"/>
                <w:sz w:val="22"/>
                <w:szCs w:val="22"/>
              </w:rPr>
            </w:pPr>
          </w:p>
        </w:tc>
        <w:tc>
          <w:tcPr>
            <w:tcW w:w="742" w:type="dxa"/>
            <w:noWrap/>
            <w:vAlign w:val="center"/>
          </w:tcPr>
          <w:p w14:paraId="35CF7B3C">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w:t>
            </w:r>
          </w:p>
        </w:tc>
        <w:tc>
          <w:tcPr>
            <w:tcW w:w="937" w:type="dxa"/>
            <w:noWrap/>
            <w:vAlign w:val="center"/>
          </w:tcPr>
          <w:p w14:paraId="73B77E04">
            <w:pPr>
              <w:widowControl/>
              <w:adjustRightInd w:val="0"/>
              <w:snapToGrid w:val="0"/>
              <w:ind w:left="-105" w:leftChars="-50" w:right="-105" w:rightChars="-50"/>
              <w:jc w:val="center"/>
              <w:rPr>
                <w:rFonts w:eastAsia="等线"/>
                <w:color w:val="000000"/>
                <w:kern w:val="0"/>
                <w:sz w:val="22"/>
                <w:szCs w:val="22"/>
              </w:rPr>
            </w:pPr>
          </w:p>
        </w:tc>
        <w:tc>
          <w:tcPr>
            <w:tcW w:w="816" w:type="dxa"/>
            <w:noWrap/>
            <w:vAlign w:val="center"/>
          </w:tcPr>
          <w:p w14:paraId="616A5BC2">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0.2</w:t>
            </w:r>
          </w:p>
        </w:tc>
        <w:tc>
          <w:tcPr>
            <w:tcW w:w="733" w:type="dxa"/>
            <w:noWrap/>
            <w:vAlign w:val="center"/>
          </w:tcPr>
          <w:p w14:paraId="484F0881">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9.2</w:t>
            </w:r>
          </w:p>
        </w:tc>
      </w:tr>
      <w:tr w14:paraId="49852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Merge w:val="restart"/>
            <w:vAlign w:val="center"/>
          </w:tcPr>
          <w:p w14:paraId="523A793A">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孔村镇</w:t>
            </w:r>
          </w:p>
        </w:tc>
        <w:tc>
          <w:tcPr>
            <w:tcW w:w="3544" w:type="dxa"/>
            <w:noWrap/>
            <w:vAlign w:val="center"/>
          </w:tcPr>
          <w:p w14:paraId="28498FDF">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平阴县中环水务有限公司（孔村厂）</w:t>
            </w:r>
          </w:p>
        </w:tc>
        <w:tc>
          <w:tcPr>
            <w:tcW w:w="708" w:type="dxa"/>
            <w:noWrap/>
            <w:vAlign w:val="center"/>
          </w:tcPr>
          <w:p w14:paraId="292123C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76.8</w:t>
            </w:r>
          </w:p>
        </w:tc>
        <w:tc>
          <w:tcPr>
            <w:tcW w:w="742" w:type="dxa"/>
            <w:noWrap/>
            <w:vAlign w:val="center"/>
          </w:tcPr>
          <w:p w14:paraId="77661A8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14.1</w:t>
            </w:r>
          </w:p>
        </w:tc>
        <w:tc>
          <w:tcPr>
            <w:tcW w:w="937" w:type="dxa"/>
            <w:noWrap/>
            <w:vAlign w:val="center"/>
          </w:tcPr>
          <w:p w14:paraId="23147E58">
            <w:pPr>
              <w:widowControl/>
              <w:adjustRightInd w:val="0"/>
              <w:snapToGrid w:val="0"/>
              <w:ind w:left="-105" w:leftChars="-50" w:right="-105" w:rightChars="-50"/>
              <w:jc w:val="center"/>
              <w:rPr>
                <w:rFonts w:eastAsia="等线"/>
                <w:color w:val="000000"/>
                <w:kern w:val="0"/>
                <w:sz w:val="22"/>
                <w:szCs w:val="22"/>
              </w:rPr>
            </w:pPr>
          </w:p>
        </w:tc>
        <w:tc>
          <w:tcPr>
            <w:tcW w:w="816" w:type="dxa"/>
            <w:noWrap/>
            <w:vAlign w:val="center"/>
          </w:tcPr>
          <w:p w14:paraId="643FAC97">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2.1</w:t>
            </w:r>
          </w:p>
        </w:tc>
        <w:tc>
          <w:tcPr>
            <w:tcW w:w="733" w:type="dxa"/>
            <w:noWrap/>
            <w:vAlign w:val="center"/>
          </w:tcPr>
          <w:p w14:paraId="79CD06A7">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93</w:t>
            </w:r>
          </w:p>
        </w:tc>
      </w:tr>
      <w:tr w14:paraId="3BC34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Merge w:val="continue"/>
            <w:vAlign w:val="center"/>
          </w:tcPr>
          <w:p w14:paraId="1347C36C">
            <w:pPr>
              <w:widowControl/>
              <w:adjustRightInd w:val="0"/>
              <w:snapToGrid w:val="0"/>
              <w:ind w:left="-105" w:leftChars="-50" w:right="-105" w:rightChars="-50"/>
              <w:jc w:val="center"/>
              <w:rPr>
                <w:rFonts w:hint="eastAsia" w:ascii="宋体" w:hAnsi="宋体" w:cs="宋体"/>
                <w:color w:val="000000"/>
                <w:kern w:val="0"/>
                <w:sz w:val="22"/>
                <w:szCs w:val="22"/>
              </w:rPr>
            </w:pPr>
          </w:p>
        </w:tc>
        <w:tc>
          <w:tcPr>
            <w:tcW w:w="3544" w:type="dxa"/>
            <w:vAlign w:val="center"/>
          </w:tcPr>
          <w:p w14:paraId="4320B823">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平阴水务发展有限公司（一厂）</w:t>
            </w:r>
          </w:p>
        </w:tc>
        <w:tc>
          <w:tcPr>
            <w:tcW w:w="708" w:type="dxa"/>
            <w:noWrap/>
            <w:vAlign w:val="center"/>
          </w:tcPr>
          <w:p w14:paraId="5944EF81">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114.5</w:t>
            </w:r>
          </w:p>
        </w:tc>
        <w:tc>
          <w:tcPr>
            <w:tcW w:w="742" w:type="dxa"/>
            <w:noWrap/>
            <w:vAlign w:val="center"/>
          </w:tcPr>
          <w:p w14:paraId="44A50B12">
            <w:pPr>
              <w:widowControl/>
              <w:adjustRightInd w:val="0"/>
              <w:snapToGrid w:val="0"/>
              <w:ind w:left="-105" w:leftChars="-50" w:right="-105" w:rightChars="-50"/>
              <w:jc w:val="center"/>
              <w:rPr>
                <w:rFonts w:eastAsia="等线"/>
                <w:color w:val="000000"/>
                <w:kern w:val="0"/>
                <w:sz w:val="22"/>
                <w:szCs w:val="22"/>
              </w:rPr>
            </w:pPr>
          </w:p>
        </w:tc>
        <w:tc>
          <w:tcPr>
            <w:tcW w:w="937" w:type="dxa"/>
            <w:noWrap/>
            <w:vAlign w:val="center"/>
          </w:tcPr>
          <w:p w14:paraId="0AA677E6">
            <w:pPr>
              <w:widowControl/>
              <w:adjustRightInd w:val="0"/>
              <w:snapToGrid w:val="0"/>
              <w:ind w:left="-105" w:leftChars="-50" w:right="-105" w:rightChars="-50"/>
              <w:jc w:val="center"/>
              <w:rPr>
                <w:rFonts w:eastAsia="等线"/>
                <w:color w:val="000000"/>
                <w:kern w:val="0"/>
                <w:sz w:val="22"/>
                <w:szCs w:val="22"/>
              </w:rPr>
            </w:pPr>
          </w:p>
        </w:tc>
        <w:tc>
          <w:tcPr>
            <w:tcW w:w="816" w:type="dxa"/>
            <w:noWrap/>
            <w:vAlign w:val="center"/>
          </w:tcPr>
          <w:p w14:paraId="2F527B89">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2.1</w:t>
            </w:r>
          </w:p>
        </w:tc>
        <w:tc>
          <w:tcPr>
            <w:tcW w:w="733" w:type="dxa"/>
            <w:noWrap/>
            <w:vAlign w:val="center"/>
          </w:tcPr>
          <w:p w14:paraId="0A5A0D77">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116.6</w:t>
            </w:r>
          </w:p>
        </w:tc>
      </w:tr>
      <w:tr w14:paraId="3B998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Align w:val="center"/>
          </w:tcPr>
          <w:p w14:paraId="4DA563F3">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孝直镇</w:t>
            </w:r>
          </w:p>
        </w:tc>
        <w:tc>
          <w:tcPr>
            <w:tcW w:w="3544" w:type="dxa"/>
            <w:noWrap/>
            <w:vAlign w:val="center"/>
          </w:tcPr>
          <w:p w14:paraId="5CF84621">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平阴县中环水务有限公司（孝直厂）</w:t>
            </w:r>
          </w:p>
        </w:tc>
        <w:tc>
          <w:tcPr>
            <w:tcW w:w="708" w:type="dxa"/>
            <w:noWrap/>
            <w:vAlign w:val="center"/>
          </w:tcPr>
          <w:p w14:paraId="3BA74C8F">
            <w:pPr>
              <w:widowControl/>
              <w:adjustRightInd w:val="0"/>
              <w:snapToGrid w:val="0"/>
              <w:ind w:left="-105" w:leftChars="-50" w:right="-105" w:rightChars="-50"/>
              <w:jc w:val="center"/>
              <w:rPr>
                <w:rFonts w:eastAsia="等线"/>
                <w:color w:val="000000"/>
                <w:kern w:val="0"/>
                <w:sz w:val="22"/>
                <w:szCs w:val="22"/>
              </w:rPr>
            </w:pPr>
          </w:p>
        </w:tc>
        <w:tc>
          <w:tcPr>
            <w:tcW w:w="742" w:type="dxa"/>
            <w:noWrap/>
            <w:vAlign w:val="center"/>
          </w:tcPr>
          <w:p w14:paraId="1C30EB5C">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12.1</w:t>
            </w:r>
          </w:p>
        </w:tc>
        <w:tc>
          <w:tcPr>
            <w:tcW w:w="937" w:type="dxa"/>
            <w:noWrap/>
            <w:vAlign w:val="center"/>
          </w:tcPr>
          <w:p w14:paraId="1BC1E0FF">
            <w:pPr>
              <w:widowControl/>
              <w:adjustRightInd w:val="0"/>
              <w:snapToGrid w:val="0"/>
              <w:ind w:left="-105" w:leftChars="-50" w:right="-105" w:rightChars="-50"/>
              <w:jc w:val="center"/>
              <w:rPr>
                <w:rFonts w:eastAsia="等线"/>
                <w:color w:val="000000"/>
                <w:kern w:val="0"/>
                <w:sz w:val="22"/>
                <w:szCs w:val="22"/>
              </w:rPr>
            </w:pPr>
          </w:p>
        </w:tc>
        <w:tc>
          <w:tcPr>
            <w:tcW w:w="816" w:type="dxa"/>
            <w:noWrap/>
            <w:vAlign w:val="center"/>
          </w:tcPr>
          <w:p w14:paraId="77E14F6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0.2</w:t>
            </w:r>
          </w:p>
        </w:tc>
        <w:tc>
          <w:tcPr>
            <w:tcW w:w="733" w:type="dxa"/>
            <w:noWrap/>
            <w:vAlign w:val="center"/>
          </w:tcPr>
          <w:p w14:paraId="19B12307">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12.3</w:t>
            </w:r>
          </w:p>
        </w:tc>
      </w:tr>
      <w:tr w14:paraId="2278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Align w:val="center"/>
          </w:tcPr>
          <w:p w14:paraId="0B8E7470">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玫瑰镇</w:t>
            </w:r>
          </w:p>
        </w:tc>
        <w:tc>
          <w:tcPr>
            <w:tcW w:w="3544" w:type="dxa"/>
            <w:noWrap/>
            <w:vAlign w:val="center"/>
          </w:tcPr>
          <w:p w14:paraId="7315A076">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玫瑰镇污水处理厂</w:t>
            </w:r>
          </w:p>
        </w:tc>
        <w:tc>
          <w:tcPr>
            <w:tcW w:w="708" w:type="dxa"/>
            <w:noWrap/>
            <w:vAlign w:val="center"/>
          </w:tcPr>
          <w:p w14:paraId="1FB9BC6A">
            <w:pPr>
              <w:widowControl/>
              <w:adjustRightInd w:val="0"/>
              <w:snapToGrid w:val="0"/>
              <w:ind w:left="-105" w:leftChars="-50" w:right="-105" w:rightChars="-50"/>
              <w:jc w:val="center"/>
              <w:rPr>
                <w:rFonts w:eastAsia="等线"/>
                <w:color w:val="000000"/>
                <w:kern w:val="0"/>
                <w:sz w:val="22"/>
                <w:szCs w:val="22"/>
              </w:rPr>
            </w:pPr>
          </w:p>
        </w:tc>
        <w:tc>
          <w:tcPr>
            <w:tcW w:w="742" w:type="dxa"/>
            <w:noWrap/>
            <w:vAlign w:val="center"/>
          </w:tcPr>
          <w:p w14:paraId="337DF790">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9.9</w:t>
            </w:r>
          </w:p>
        </w:tc>
        <w:tc>
          <w:tcPr>
            <w:tcW w:w="937" w:type="dxa"/>
            <w:noWrap/>
            <w:vAlign w:val="center"/>
          </w:tcPr>
          <w:p w14:paraId="028F2CFA">
            <w:pPr>
              <w:widowControl/>
              <w:adjustRightInd w:val="0"/>
              <w:snapToGrid w:val="0"/>
              <w:ind w:left="-105" w:leftChars="-50" w:right="-105" w:rightChars="-50"/>
              <w:jc w:val="center"/>
              <w:rPr>
                <w:rFonts w:eastAsia="等线"/>
                <w:color w:val="000000"/>
                <w:kern w:val="0"/>
                <w:sz w:val="22"/>
                <w:szCs w:val="22"/>
              </w:rPr>
            </w:pPr>
          </w:p>
        </w:tc>
        <w:tc>
          <w:tcPr>
            <w:tcW w:w="816" w:type="dxa"/>
            <w:noWrap/>
            <w:vAlign w:val="center"/>
          </w:tcPr>
          <w:p w14:paraId="49BD283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0.2</w:t>
            </w:r>
          </w:p>
        </w:tc>
        <w:tc>
          <w:tcPr>
            <w:tcW w:w="733" w:type="dxa"/>
            <w:noWrap/>
            <w:vAlign w:val="center"/>
          </w:tcPr>
          <w:p w14:paraId="78BDBFEB">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10.1</w:t>
            </w:r>
          </w:p>
        </w:tc>
      </w:tr>
      <w:tr w14:paraId="6EB68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3" w:type="dxa"/>
            <w:vAlign w:val="center"/>
          </w:tcPr>
          <w:p w14:paraId="06A0F8CF">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洪范池镇</w:t>
            </w:r>
          </w:p>
        </w:tc>
        <w:tc>
          <w:tcPr>
            <w:tcW w:w="3544" w:type="dxa"/>
            <w:noWrap/>
            <w:vAlign w:val="center"/>
          </w:tcPr>
          <w:p w14:paraId="6875C283">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洪范池镇污水处理厂</w:t>
            </w:r>
          </w:p>
        </w:tc>
        <w:tc>
          <w:tcPr>
            <w:tcW w:w="708" w:type="dxa"/>
            <w:noWrap/>
            <w:vAlign w:val="center"/>
          </w:tcPr>
          <w:p w14:paraId="08B406F7">
            <w:pPr>
              <w:widowControl/>
              <w:adjustRightInd w:val="0"/>
              <w:snapToGrid w:val="0"/>
              <w:ind w:left="-105" w:leftChars="-50" w:right="-105" w:rightChars="-50"/>
              <w:jc w:val="center"/>
              <w:rPr>
                <w:rFonts w:eastAsia="等线"/>
                <w:color w:val="000000"/>
                <w:kern w:val="0"/>
                <w:sz w:val="22"/>
                <w:szCs w:val="22"/>
              </w:rPr>
            </w:pPr>
          </w:p>
        </w:tc>
        <w:tc>
          <w:tcPr>
            <w:tcW w:w="742" w:type="dxa"/>
            <w:noWrap/>
            <w:vAlign w:val="center"/>
          </w:tcPr>
          <w:p w14:paraId="7D7BF05E">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7.2</w:t>
            </w:r>
          </w:p>
        </w:tc>
        <w:tc>
          <w:tcPr>
            <w:tcW w:w="937" w:type="dxa"/>
            <w:noWrap/>
            <w:vAlign w:val="center"/>
          </w:tcPr>
          <w:p w14:paraId="16C140A9">
            <w:pPr>
              <w:widowControl/>
              <w:adjustRightInd w:val="0"/>
              <w:snapToGrid w:val="0"/>
              <w:ind w:left="-105" w:leftChars="-50" w:right="-105" w:rightChars="-50"/>
              <w:jc w:val="center"/>
              <w:rPr>
                <w:rFonts w:eastAsia="等线"/>
                <w:color w:val="000000"/>
                <w:kern w:val="0"/>
                <w:sz w:val="22"/>
                <w:szCs w:val="22"/>
              </w:rPr>
            </w:pPr>
          </w:p>
        </w:tc>
        <w:tc>
          <w:tcPr>
            <w:tcW w:w="816" w:type="dxa"/>
            <w:noWrap/>
            <w:vAlign w:val="center"/>
          </w:tcPr>
          <w:p w14:paraId="0EDA464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0.1</w:t>
            </w:r>
          </w:p>
        </w:tc>
        <w:tc>
          <w:tcPr>
            <w:tcW w:w="733" w:type="dxa"/>
            <w:noWrap/>
            <w:vAlign w:val="center"/>
          </w:tcPr>
          <w:p w14:paraId="66C6ABB7">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7.3</w:t>
            </w:r>
          </w:p>
        </w:tc>
      </w:tr>
      <w:tr w14:paraId="26EB9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537" w:type="dxa"/>
            <w:gridSpan w:val="2"/>
            <w:vAlign w:val="center"/>
          </w:tcPr>
          <w:p w14:paraId="6B395455">
            <w:pPr>
              <w:widowControl/>
              <w:adjustRightInd w:val="0"/>
              <w:snapToGrid w:val="0"/>
              <w:ind w:left="-105" w:leftChars="-50" w:right="-105" w:rightChars="-50"/>
              <w:jc w:val="center"/>
              <w:rPr>
                <w:rFonts w:hint="eastAsia" w:ascii="宋体" w:hAnsi="宋体" w:cs="宋体"/>
                <w:color w:val="000000"/>
                <w:kern w:val="0"/>
                <w:sz w:val="22"/>
                <w:szCs w:val="22"/>
              </w:rPr>
            </w:pPr>
            <w:r>
              <w:rPr>
                <w:rFonts w:hint="eastAsia" w:ascii="宋体" w:hAnsi="宋体" w:cs="宋体"/>
                <w:color w:val="000000"/>
                <w:kern w:val="0"/>
                <w:sz w:val="22"/>
                <w:szCs w:val="22"/>
              </w:rPr>
              <w:t>合计</w:t>
            </w:r>
          </w:p>
        </w:tc>
        <w:tc>
          <w:tcPr>
            <w:tcW w:w="708" w:type="dxa"/>
            <w:noWrap/>
            <w:vAlign w:val="center"/>
          </w:tcPr>
          <w:p w14:paraId="116528CF">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402</w:t>
            </w:r>
          </w:p>
        </w:tc>
        <w:tc>
          <w:tcPr>
            <w:tcW w:w="742" w:type="dxa"/>
            <w:noWrap/>
            <w:vAlign w:val="center"/>
          </w:tcPr>
          <w:p w14:paraId="70DB3E46">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371</w:t>
            </w:r>
          </w:p>
        </w:tc>
        <w:tc>
          <w:tcPr>
            <w:tcW w:w="937" w:type="dxa"/>
            <w:noWrap/>
            <w:vAlign w:val="center"/>
          </w:tcPr>
          <w:p w14:paraId="25F102A9">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600</w:t>
            </w:r>
          </w:p>
        </w:tc>
        <w:tc>
          <w:tcPr>
            <w:tcW w:w="816" w:type="dxa"/>
            <w:noWrap/>
            <w:vAlign w:val="center"/>
          </w:tcPr>
          <w:p w14:paraId="29FFD15B">
            <w:pPr>
              <w:widowControl/>
              <w:adjustRightInd w:val="0"/>
              <w:snapToGrid w:val="0"/>
              <w:ind w:left="-105" w:leftChars="-50" w:right="-105" w:rightChars="-50"/>
              <w:jc w:val="center"/>
              <w:rPr>
                <w:rFonts w:eastAsia="等线"/>
                <w:color w:val="000000"/>
                <w:kern w:val="0"/>
                <w:sz w:val="22"/>
                <w:szCs w:val="22"/>
              </w:rPr>
            </w:pPr>
            <w:r>
              <w:rPr>
                <w:rFonts w:eastAsia="等线"/>
                <w:color w:val="000000"/>
                <w:sz w:val="22"/>
                <w:szCs w:val="22"/>
              </w:rPr>
              <w:t>28</w:t>
            </w:r>
          </w:p>
        </w:tc>
        <w:tc>
          <w:tcPr>
            <w:tcW w:w="733" w:type="dxa"/>
            <w:noWrap/>
            <w:vAlign w:val="center"/>
          </w:tcPr>
          <w:p w14:paraId="560F603B">
            <w:pPr>
              <w:widowControl/>
              <w:adjustRightInd w:val="0"/>
              <w:snapToGrid w:val="0"/>
              <w:ind w:left="-105" w:leftChars="-50" w:right="-105" w:rightChars="-50"/>
              <w:jc w:val="center"/>
              <w:rPr>
                <w:rFonts w:eastAsia="等线"/>
                <w:color w:val="000000"/>
                <w:kern w:val="0"/>
                <w:sz w:val="22"/>
                <w:szCs w:val="22"/>
              </w:rPr>
            </w:pPr>
            <w:r>
              <w:rPr>
                <w:rFonts w:hint="eastAsia" w:eastAsia="等线"/>
                <w:color w:val="000000"/>
                <w:sz w:val="22"/>
                <w:szCs w:val="22"/>
              </w:rPr>
              <w:t>1401</w:t>
            </w:r>
          </w:p>
        </w:tc>
      </w:tr>
    </w:tbl>
    <w:p w14:paraId="3BBBD82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w:t>
      </w:r>
      <w:r>
        <w:rPr>
          <w:color w:val="000000" w:themeColor="text1"/>
          <w:sz w:val="28"/>
          <w:szCs w:val="36"/>
        </w:rPr>
        <w:t>0</w:t>
      </w:r>
      <w:r>
        <w:rPr>
          <w:rFonts w:hint="eastAsia"/>
          <w:color w:val="000000" w:themeColor="text1"/>
          <w:sz w:val="28"/>
          <w:szCs w:val="36"/>
        </w:rPr>
        <w:t>30年平阴县考虑对辖区内的污水处理厂进行再生水供水工程配套建设，同时推进跨镇区再生水供水工程。2</w:t>
      </w:r>
      <w:r>
        <w:rPr>
          <w:color w:val="000000" w:themeColor="text1"/>
          <w:sz w:val="28"/>
          <w:szCs w:val="36"/>
        </w:rPr>
        <w:t>0</w:t>
      </w:r>
      <w:r>
        <w:rPr>
          <w:rFonts w:hint="eastAsia"/>
          <w:color w:val="000000" w:themeColor="text1"/>
          <w:sz w:val="28"/>
          <w:szCs w:val="36"/>
        </w:rPr>
        <w:t>30年平阴县再生水配置回用水量为1401万m</w:t>
      </w:r>
      <w:r>
        <w:rPr>
          <w:rFonts w:hint="eastAsia"/>
          <w:color w:val="000000" w:themeColor="text1"/>
          <w:sz w:val="28"/>
          <w:szCs w:val="36"/>
          <w:vertAlign w:val="superscript"/>
        </w:rPr>
        <w:t>3</w:t>
      </w:r>
      <w:r>
        <w:rPr>
          <w:rFonts w:hint="eastAsia"/>
          <w:color w:val="000000" w:themeColor="text1"/>
          <w:sz w:val="28"/>
          <w:szCs w:val="36"/>
        </w:rPr>
        <w:t>，其中孔村镇需要通过平阴再生水调水工程供水，从中心城区调水量为116.6万m</w:t>
      </w:r>
      <w:r>
        <w:rPr>
          <w:rFonts w:hint="eastAsia"/>
          <w:color w:val="000000" w:themeColor="text1"/>
          <w:sz w:val="28"/>
          <w:szCs w:val="36"/>
          <w:vertAlign w:val="superscript"/>
        </w:rPr>
        <w:t>3</w:t>
      </w:r>
      <w:r>
        <w:rPr>
          <w:rFonts w:hint="eastAsia"/>
          <w:color w:val="000000" w:themeColor="text1"/>
          <w:sz w:val="28"/>
          <w:szCs w:val="36"/>
        </w:rPr>
        <w:t>。</w:t>
      </w:r>
    </w:p>
    <w:p w14:paraId="57D7C803">
      <w:pPr>
        <w:autoSpaceDE w:val="0"/>
        <w:autoSpaceDN w:val="0"/>
        <w:jc w:val="center"/>
        <w:textAlignment w:val="baseline"/>
        <w:rPr>
          <w:b/>
          <w:bCs/>
          <w:color w:val="000000" w:themeColor="text1"/>
          <w:sz w:val="24"/>
          <w:szCs w:val="32"/>
        </w:rPr>
      </w:pPr>
      <w:r>
        <w:drawing>
          <wp:inline distT="0" distB="0" distL="0" distR="0">
            <wp:extent cx="5356225" cy="8356600"/>
            <wp:effectExtent l="0" t="0" r="0" b="0"/>
            <wp:docPr id="9566858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85856" name="图片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375685" cy="8386483"/>
                    </a:xfrm>
                    <a:prstGeom prst="rect">
                      <a:avLst/>
                    </a:prstGeom>
                    <a:noFill/>
                    <a:ln>
                      <a:noFill/>
                    </a:ln>
                  </pic:spPr>
                </pic:pic>
              </a:graphicData>
            </a:graphic>
          </wp:inline>
        </w:drawing>
      </w:r>
    </w:p>
    <w:p w14:paraId="1DC4A4A4">
      <w:pPr>
        <w:autoSpaceDE w:val="0"/>
        <w:autoSpaceDN w:val="0"/>
        <w:spacing w:line="600" w:lineRule="exact"/>
        <w:jc w:val="center"/>
        <w:textAlignment w:val="baseline"/>
        <w:rPr>
          <w:b/>
          <w:bCs/>
          <w:color w:val="000000" w:themeColor="text1"/>
          <w:sz w:val="24"/>
          <w:szCs w:val="32"/>
        </w:rPr>
      </w:pPr>
      <w:r>
        <w:rPr>
          <w:rFonts w:hint="eastAsia"/>
          <w:b/>
          <w:bCs/>
          <w:color w:val="000000" w:themeColor="text1"/>
          <w:sz w:val="24"/>
          <w:szCs w:val="32"/>
        </w:rPr>
        <w:t>图6.3-2  平阴县2030年再生水供水水源配置图</w:t>
      </w:r>
    </w:p>
    <w:p w14:paraId="2D2252B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w:t>
      </w:r>
      <w:r>
        <w:rPr>
          <w:color w:val="000000" w:themeColor="text1"/>
          <w:sz w:val="28"/>
          <w:szCs w:val="36"/>
        </w:rPr>
        <w:t>2</w:t>
      </w:r>
      <w:r>
        <w:rPr>
          <w:rFonts w:hint="eastAsia"/>
          <w:color w:val="000000" w:themeColor="text1"/>
          <w:sz w:val="28"/>
          <w:szCs w:val="36"/>
        </w:rPr>
        <w:t>）2</w:t>
      </w:r>
      <w:r>
        <w:rPr>
          <w:color w:val="000000" w:themeColor="text1"/>
          <w:sz w:val="28"/>
          <w:szCs w:val="36"/>
        </w:rPr>
        <w:t>035</w:t>
      </w:r>
      <w:r>
        <w:rPr>
          <w:rFonts w:hint="eastAsia"/>
          <w:color w:val="000000" w:themeColor="text1"/>
          <w:sz w:val="28"/>
          <w:szCs w:val="36"/>
        </w:rPr>
        <w:t>年再生水配置方案</w:t>
      </w:r>
    </w:p>
    <w:p w14:paraId="18CBD2E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20</w:t>
      </w:r>
      <w:r>
        <w:rPr>
          <w:color w:val="000000" w:themeColor="text1"/>
          <w:sz w:val="28"/>
          <w:szCs w:val="36"/>
        </w:rPr>
        <w:t>3</w:t>
      </w:r>
      <w:r>
        <w:rPr>
          <w:rFonts w:hint="eastAsia"/>
          <w:color w:val="000000" w:themeColor="text1"/>
          <w:sz w:val="28"/>
          <w:szCs w:val="36"/>
        </w:rPr>
        <w:t>5年，平阴县再生水水源配置供水量为1882.2万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，其中工业用水配置再生水715.4万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，以平阴水务发展有限公司（一厂）、锦水河西支综合治理工程（新建污水处理厂）、平阴水务发展有限公司（二厂）和平阴县中环水务有限公司（孔村厂）的再生水为水源；城市杂用水配置再生水429.2万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，以平阴水务发展有限公司（一厂）、平阴水务发展有限公司（二厂）、平阴水务发展有限公司（二厂）、平阴水务发展有限公司（三厂）、洪范池镇污水处理厂、</w:t>
      </w:r>
      <w:r>
        <w:rPr>
          <w:rFonts w:hint="eastAsia"/>
          <w:color w:val="000000" w:themeColor="text1"/>
          <w:sz w:val="28"/>
          <w:szCs w:val="28"/>
        </w:rPr>
        <w:t>平阴县中环水务有限公司（孝直厂）</w:t>
      </w:r>
      <w:r>
        <w:rPr>
          <w:rFonts w:hint="eastAsia"/>
          <w:color w:val="000000" w:themeColor="text1"/>
          <w:sz w:val="28"/>
          <w:szCs w:val="36"/>
        </w:rPr>
        <w:t>和玫瑰镇污水处理厂的再生水为水源；生态环境补水配置再生水700.0万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，以平阴县北控水环境开发有限公司、锦水河西支综合治理工程（新建污水处理厂）、平阴水务发展有限公司（二厂）的再生水为水源，具体详见表</w:t>
      </w:r>
      <w:r>
        <w:rPr>
          <w:color w:val="000000" w:themeColor="text1"/>
          <w:sz w:val="28"/>
          <w:szCs w:val="36"/>
        </w:rPr>
        <w:t>6.3-3</w:t>
      </w:r>
      <w:r>
        <w:rPr>
          <w:rFonts w:hint="eastAsia"/>
          <w:color w:val="000000" w:themeColor="text1"/>
          <w:sz w:val="28"/>
          <w:szCs w:val="36"/>
        </w:rPr>
        <w:t>。</w:t>
      </w:r>
    </w:p>
    <w:p w14:paraId="5E65D582">
      <w:pPr>
        <w:autoSpaceDE w:val="0"/>
        <w:autoSpaceDN w:val="0"/>
        <w:spacing w:line="600" w:lineRule="exact"/>
        <w:jc w:val="right"/>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6.3-3  2035</w:t>
      </w:r>
      <w:r>
        <w:rPr>
          <w:rFonts w:hint="eastAsia"/>
          <w:b/>
          <w:bCs/>
          <w:color w:val="000000" w:themeColor="text1"/>
          <w:sz w:val="24"/>
          <w:szCs w:val="32"/>
        </w:rPr>
        <w:t xml:space="preserve">年平阴县再生水供水配置表 </w:t>
      </w:r>
      <w:r>
        <w:rPr>
          <w:b/>
          <w:bCs/>
          <w:color w:val="000000" w:themeColor="text1"/>
          <w:sz w:val="24"/>
          <w:szCs w:val="32"/>
        </w:rPr>
        <w:t xml:space="preserve">           </w:t>
      </w:r>
      <w:r>
        <w:rPr>
          <w:rFonts w:hint="eastAsia"/>
          <w:b/>
          <w:bCs/>
          <w:color w:val="000000" w:themeColor="text1"/>
          <w:sz w:val="24"/>
          <w:szCs w:val="32"/>
        </w:rPr>
        <w:t>单位：万</w:t>
      </w:r>
      <w:r>
        <w:rPr>
          <w:b/>
          <w:bCs/>
          <w:color w:val="000000" w:themeColor="text1"/>
          <w:sz w:val="24"/>
          <w:szCs w:val="32"/>
        </w:rPr>
        <w:t>m</w:t>
      </w:r>
      <w:r>
        <w:rPr>
          <w:rFonts w:hint="eastAsia"/>
          <w:b/>
          <w:bCs/>
          <w:color w:val="000000" w:themeColor="text1"/>
          <w:sz w:val="28"/>
          <w:szCs w:val="36"/>
          <w:vertAlign w:val="superscript"/>
        </w:rPr>
        <w:t>3</w:t>
      </w:r>
    </w:p>
    <w:tbl>
      <w:tblPr>
        <w:tblStyle w:val="46"/>
        <w:tblW w:w="8789"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620"/>
        <w:gridCol w:w="906"/>
        <w:gridCol w:w="1112"/>
        <w:gridCol w:w="906"/>
        <w:gridCol w:w="859"/>
        <w:gridCol w:w="975"/>
        <w:gridCol w:w="928"/>
        <w:gridCol w:w="606"/>
        <w:gridCol w:w="548"/>
        <w:gridCol w:w="611"/>
      </w:tblGrid>
      <w:tr w14:paraId="05466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8" w:type="dxa"/>
            <w:vMerge w:val="restart"/>
            <w:vAlign w:val="center"/>
          </w:tcPr>
          <w:p w14:paraId="11D0BFCC">
            <w:pPr>
              <w:widowControl/>
              <w:adjustRightInd w:val="0"/>
              <w:snapToGrid w:val="0"/>
              <w:ind w:left="-105" w:leftChars="-50" w:right="-105" w:rightChars="-50"/>
              <w:jc w:val="center"/>
              <w:rPr>
                <w:color w:val="000000"/>
                <w:kern w:val="0"/>
                <w:sz w:val="22"/>
                <w:szCs w:val="22"/>
              </w:rPr>
            </w:pPr>
            <w:r>
              <w:rPr>
                <w:color w:val="000000"/>
                <w:kern w:val="0"/>
                <w:sz w:val="22"/>
                <w:szCs w:val="22"/>
              </w:rPr>
              <w:t>用水类别</w:t>
            </w:r>
          </w:p>
        </w:tc>
        <w:tc>
          <w:tcPr>
            <w:tcW w:w="0" w:type="auto"/>
            <w:vMerge w:val="restart"/>
            <w:vAlign w:val="center"/>
          </w:tcPr>
          <w:p w14:paraId="105A9D46">
            <w:pPr>
              <w:widowControl/>
              <w:adjustRightInd w:val="0"/>
              <w:snapToGrid w:val="0"/>
              <w:ind w:left="-105" w:leftChars="-50" w:right="-105" w:rightChars="-50"/>
              <w:jc w:val="center"/>
              <w:rPr>
                <w:color w:val="000000"/>
                <w:kern w:val="0"/>
                <w:sz w:val="22"/>
                <w:szCs w:val="22"/>
              </w:rPr>
            </w:pPr>
            <w:r>
              <w:rPr>
                <w:color w:val="000000"/>
                <w:kern w:val="0"/>
                <w:sz w:val="22"/>
                <w:szCs w:val="22"/>
              </w:rPr>
              <w:t>需水量</w:t>
            </w:r>
          </w:p>
        </w:tc>
        <w:tc>
          <w:tcPr>
            <w:tcW w:w="0" w:type="auto"/>
            <w:gridSpan w:val="8"/>
            <w:vAlign w:val="center"/>
          </w:tcPr>
          <w:p w14:paraId="7F5047B0">
            <w:pPr>
              <w:widowControl/>
              <w:adjustRightInd w:val="0"/>
              <w:snapToGrid w:val="0"/>
              <w:ind w:left="-105" w:leftChars="-50" w:right="-105" w:rightChars="-50"/>
              <w:jc w:val="center"/>
              <w:rPr>
                <w:color w:val="000000"/>
                <w:kern w:val="0"/>
                <w:sz w:val="22"/>
                <w:szCs w:val="22"/>
              </w:rPr>
            </w:pPr>
            <w:r>
              <w:rPr>
                <w:color w:val="000000"/>
                <w:kern w:val="0"/>
                <w:sz w:val="22"/>
                <w:szCs w:val="22"/>
              </w:rPr>
              <w:t>各水源配置供水量</w:t>
            </w:r>
          </w:p>
        </w:tc>
        <w:tc>
          <w:tcPr>
            <w:tcW w:w="611" w:type="dxa"/>
            <w:vMerge w:val="restart"/>
            <w:vAlign w:val="center"/>
          </w:tcPr>
          <w:p w14:paraId="45DB3328">
            <w:pPr>
              <w:widowControl/>
              <w:adjustRightInd w:val="0"/>
              <w:snapToGrid w:val="0"/>
              <w:ind w:left="-105" w:leftChars="-50" w:right="-105" w:rightChars="-50"/>
              <w:jc w:val="center"/>
              <w:rPr>
                <w:color w:val="000000"/>
                <w:kern w:val="0"/>
                <w:sz w:val="22"/>
                <w:szCs w:val="22"/>
              </w:rPr>
            </w:pPr>
            <w:r>
              <w:rPr>
                <w:color w:val="000000"/>
                <w:kern w:val="0"/>
                <w:sz w:val="22"/>
                <w:szCs w:val="22"/>
              </w:rPr>
              <w:t>合计</w:t>
            </w:r>
          </w:p>
        </w:tc>
      </w:tr>
      <w:tr w14:paraId="3D1D3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1" w:hRule="atLeast"/>
        </w:trPr>
        <w:tc>
          <w:tcPr>
            <w:tcW w:w="718" w:type="dxa"/>
            <w:vMerge w:val="continue"/>
            <w:vAlign w:val="center"/>
          </w:tcPr>
          <w:p w14:paraId="7913022E">
            <w:pPr>
              <w:widowControl/>
              <w:adjustRightInd w:val="0"/>
              <w:snapToGrid w:val="0"/>
              <w:ind w:left="-105" w:leftChars="-50" w:right="-105" w:rightChars="-50"/>
              <w:jc w:val="center"/>
              <w:rPr>
                <w:color w:val="000000"/>
                <w:kern w:val="0"/>
                <w:sz w:val="22"/>
                <w:szCs w:val="22"/>
              </w:rPr>
            </w:pPr>
          </w:p>
        </w:tc>
        <w:tc>
          <w:tcPr>
            <w:tcW w:w="0" w:type="auto"/>
            <w:vMerge w:val="continue"/>
            <w:vAlign w:val="center"/>
          </w:tcPr>
          <w:p w14:paraId="69478CC7">
            <w:pPr>
              <w:widowControl/>
              <w:adjustRightInd w:val="0"/>
              <w:snapToGrid w:val="0"/>
              <w:ind w:left="-105" w:leftChars="-50" w:right="-105" w:rightChars="-50"/>
              <w:jc w:val="center"/>
              <w:rPr>
                <w:color w:val="000000"/>
                <w:kern w:val="0"/>
                <w:sz w:val="22"/>
                <w:szCs w:val="22"/>
              </w:rPr>
            </w:pPr>
          </w:p>
        </w:tc>
        <w:tc>
          <w:tcPr>
            <w:tcW w:w="0" w:type="auto"/>
            <w:vAlign w:val="center"/>
          </w:tcPr>
          <w:p w14:paraId="78F0A80C">
            <w:pPr>
              <w:widowControl/>
              <w:adjustRightInd w:val="0"/>
              <w:snapToGrid w:val="0"/>
              <w:ind w:left="-105" w:leftChars="-50" w:right="-105" w:rightChars="-50"/>
              <w:jc w:val="center"/>
              <w:rPr>
                <w:color w:val="000000"/>
                <w:kern w:val="0"/>
                <w:sz w:val="22"/>
                <w:szCs w:val="22"/>
              </w:rPr>
            </w:pPr>
            <w:r>
              <w:rPr>
                <w:color w:val="000000"/>
                <w:kern w:val="0"/>
                <w:sz w:val="22"/>
                <w:szCs w:val="22"/>
              </w:rPr>
              <w:t>平阴水务发展有限公司（一厂）</w:t>
            </w:r>
          </w:p>
        </w:tc>
        <w:tc>
          <w:tcPr>
            <w:tcW w:w="0" w:type="auto"/>
            <w:vAlign w:val="center"/>
          </w:tcPr>
          <w:p w14:paraId="436BDAEE">
            <w:pPr>
              <w:widowControl/>
              <w:adjustRightInd w:val="0"/>
              <w:snapToGrid w:val="0"/>
              <w:ind w:left="-105" w:leftChars="-50" w:right="-105" w:rightChars="-50"/>
              <w:jc w:val="center"/>
              <w:rPr>
                <w:color w:val="000000"/>
                <w:kern w:val="0"/>
                <w:sz w:val="22"/>
                <w:szCs w:val="22"/>
              </w:rPr>
            </w:pPr>
            <w:r>
              <w:rPr>
                <w:color w:val="000000"/>
                <w:kern w:val="0"/>
                <w:sz w:val="22"/>
                <w:szCs w:val="22"/>
              </w:rPr>
              <w:t>锦水河西支综合治理工程（新建污水处理厂）</w:t>
            </w:r>
          </w:p>
        </w:tc>
        <w:tc>
          <w:tcPr>
            <w:tcW w:w="0" w:type="auto"/>
            <w:vAlign w:val="center"/>
          </w:tcPr>
          <w:p w14:paraId="1BBABEFF">
            <w:pPr>
              <w:widowControl/>
              <w:adjustRightInd w:val="0"/>
              <w:snapToGrid w:val="0"/>
              <w:ind w:left="-105" w:leftChars="-50" w:right="-105" w:rightChars="-50"/>
              <w:jc w:val="center"/>
              <w:rPr>
                <w:color w:val="000000"/>
                <w:kern w:val="0"/>
                <w:sz w:val="22"/>
                <w:szCs w:val="22"/>
              </w:rPr>
            </w:pPr>
            <w:r>
              <w:rPr>
                <w:color w:val="000000"/>
                <w:kern w:val="0"/>
                <w:sz w:val="22"/>
                <w:szCs w:val="22"/>
              </w:rPr>
              <w:t>平阴水务发展有限公司（二厂）</w:t>
            </w:r>
          </w:p>
        </w:tc>
        <w:tc>
          <w:tcPr>
            <w:tcW w:w="0" w:type="auto"/>
            <w:vAlign w:val="center"/>
          </w:tcPr>
          <w:p w14:paraId="663DEAA4">
            <w:pPr>
              <w:widowControl/>
              <w:adjustRightInd w:val="0"/>
              <w:snapToGrid w:val="0"/>
              <w:ind w:left="-105" w:leftChars="-50" w:right="-105" w:rightChars="-50"/>
              <w:jc w:val="center"/>
              <w:rPr>
                <w:color w:val="000000"/>
                <w:kern w:val="0"/>
                <w:sz w:val="22"/>
                <w:szCs w:val="22"/>
              </w:rPr>
            </w:pPr>
            <w:r>
              <w:rPr>
                <w:color w:val="000000"/>
                <w:kern w:val="0"/>
                <w:sz w:val="22"/>
                <w:szCs w:val="22"/>
              </w:rPr>
              <w:t>平阴水务发展有限公司（三厂）</w:t>
            </w:r>
          </w:p>
        </w:tc>
        <w:tc>
          <w:tcPr>
            <w:tcW w:w="0" w:type="auto"/>
            <w:vAlign w:val="center"/>
          </w:tcPr>
          <w:p w14:paraId="705F83A5">
            <w:pPr>
              <w:widowControl/>
              <w:adjustRightInd w:val="0"/>
              <w:snapToGrid w:val="0"/>
              <w:ind w:left="-105" w:leftChars="-50" w:right="-105" w:rightChars="-50"/>
              <w:jc w:val="center"/>
              <w:rPr>
                <w:color w:val="000000"/>
                <w:kern w:val="0"/>
                <w:sz w:val="22"/>
                <w:szCs w:val="22"/>
              </w:rPr>
            </w:pPr>
            <w:r>
              <w:rPr>
                <w:color w:val="000000"/>
                <w:kern w:val="0"/>
                <w:sz w:val="22"/>
                <w:szCs w:val="22"/>
              </w:rPr>
              <w:t>平阴县中环水务有限公司（孔村厂）</w:t>
            </w:r>
          </w:p>
        </w:tc>
        <w:tc>
          <w:tcPr>
            <w:tcW w:w="0" w:type="auto"/>
            <w:vAlign w:val="center"/>
          </w:tcPr>
          <w:p w14:paraId="1B4A4AA1">
            <w:pPr>
              <w:widowControl/>
              <w:adjustRightInd w:val="0"/>
              <w:snapToGrid w:val="0"/>
              <w:ind w:left="-105" w:leftChars="-50" w:right="-105" w:rightChars="-50"/>
              <w:jc w:val="center"/>
              <w:rPr>
                <w:color w:val="000000"/>
                <w:kern w:val="0"/>
                <w:sz w:val="22"/>
                <w:szCs w:val="22"/>
              </w:rPr>
            </w:pPr>
            <w:r>
              <w:rPr>
                <w:color w:val="000000"/>
                <w:kern w:val="0"/>
                <w:sz w:val="22"/>
                <w:szCs w:val="22"/>
              </w:rPr>
              <w:t>平阴县中环水务有限公司（</w:t>
            </w:r>
            <w:r>
              <w:rPr>
                <w:rFonts w:hint="eastAsia"/>
                <w:color w:val="000000"/>
                <w:kern w:val="0"/>
                <w:sz w:val="22"/>
                <w:szCs w:val="22"/>
              </w:rPr>
              <w:t>孝直</w:t>
            </w:r>
            <w:r>
              <w:rPr>
                <w:color w:val="000000"/>
                <w:kern w:val="0"/>
                <w:sz w:val="22"/>
                <w:szCs w:val="22"/>
              </w:rPr>
              <w:t>厂）</w:t>
            </w:r>
          </w:p>
        </w:tc>
        <w:tc>
          <w:tcPr>
            <w:tcW w:w="0" w:type="auto"/>
            <w:vAlign w:val="center"/>
          </w:tcPr>
          <w:p w14:paraId="0C1DB55E">
            <w:pPr>
              <w:widowControl/>
              <w:adjustRightInd w:val="0"/>
              <w:snapToGrid w:val="0"/>
              <w:ind w:left="-105" w:leftChars="-50" w:right="-105" w:rightChars="-50"/>
              <w:jc w:val="center"/>
              <w:rPr>
                <w:color w:val="000000"/>
                <w:kern w:val="0"/>
                <w:sz w:val="22"/>
                <w:szCs w:val="22"/>
              </w:rPr>
            </w:pPr>
            <w:r>
              <w:rPr>
                <w:color w:val="000000"/>
                <w:kern w:val="0"/>
                <w:sz w:val="22"/>
                <w:szCs w:val="22"/>
              </w:rPr>
              <w:t>玫瑰镇污水处理厂</w:t>
            </w:r>
          </w:p>
        </w:tc>
        <w:tc>
          <w:tcPr>
            <w:tcW w:w="0" w:type="auto"/>
            <w:vAlign w:val="center"/>
          </w:tcPr>
          <w:p w14:paraId="6AC3976F">
            <w:pPr>
              <w:widowControl/>
              <w:adjustRightInd w:val="0"/>
              <w:snapToGrid w:val="0"/>
              <w:ind w:left="-105" w:leftChars="-50" w:right="-105" w:rightChars="-50"/>
              <w:jc w:val="center"/>
              <w:rPr>
                <w:color w:val="000000"/>
                <w:kern w:val="0"/>
                <w:sz w:val="22"/>
                <w:szCs w:val="22"/>
              </w:rPr>
            </w:pPr>
            <w:r>
              <w:rPr>
                <w:color w:val="000000"/>
                <w:kern w:val="0"/>
                <w:sz w:val="22"/>
                <w:szCs w:val="22"/>
              </w:rPr>
              <w:t>洪范池镇污水处理厂</w:t>
            </w:r>
          </w:p>
        </w:tc>
        <w:tc>
          <w:tcPr>
            <w:tcW w:w="611" w:type="dxa"/>
            <w:vMerge w:val="continue"/>
            <w:vAlign w:val="center"/>
          </w:tcPr>
          <w:p w14:paraId="6C9577AE">
            <w:pPr>
              <w:widowControl/>
              <w:adjustRightInd w:val="0"/>
              <w:snapToGrid w:val="0"/>
              <w:ind w:left="-105" w:leftChars="-50" w:right="-105" w:rightChars="-50"/>
              <w:jc w:val="center"/>
              <w:rPr>
                <w:color w:val="000000"/>
                <w:kern w:val="0"/>
                <w:sz w:val="22"/>
                <w:szCs w:val="22"/>
              </w:rPr>
            </w:pPr>
          </w:p>
        </w:tc>
      </w:tr>
      <w:tr w14:paraId="34CA2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8" w:type="dxa"/>
            <w:vAlign w:val="center"/>
          </w:tcPr>
          <w:p w14:paraId="26258366">
            <w:pPr>
              <w:widowControl/>
              <w:adjustRightInd w:val="0"/>
              <w:snapToGrid w:val="0"/>
              <w:ind w:left="-105" w:leftChars="-50" w:right="-105" w:rightChars="-50"/>
              <w:jc w:val="center"/>
              <w:rPr>
                <w:color w:val="000000"/>
                <w:kern w:val="0"/>
                <w:sz w:val="22"/>
                <w:szCs w:val="22"/>
              </w:rPr>
            </w:pPr>
            <w:r>
              <w:rPr>
                <w:color w:val="000000"/>
                <w:kern w:val="0"/>
                <w:sz w:val="22"/>
                <w:szCs w:val="22"/>
              </w:rPr>
              <w:t>工业用水</w:t>
            </w:r>
          </w:p>
        </w:tc>
        <w:tc>
          <w:tcPr>
            <w:tcW w:w="0" w:type="auto"/>
            <w:vAlign w:val="center"/>
          </w:tcPr>
          <w:p w14:paraId="082EB76D">
            <w:pPr>
              <w:widowControl/>
              <w:adjustRightInd w:val="0"/>
              <w:snapToGrid w:val="0"/>
              <w:ind w:left="-105" w:leftChars="-50" w:right="-105" w:rightChars="-50"/>
              <w:jc w:val="center"/>
              <w:rPr>
                <w:color w:val="000000"/>
                <w:kern w:val="0"/>
                <w:sz w:val="22"/>
                <w:szCs w:val="22"/>
              </w:rPr>
            </w:pPr>
            <w:r>
              <w:rPr>
                <w:rFonts w:eastAsia="等线"/>
                <w:color w:val="000000"/>
                <w:sz w:val="22"/>
                <w:szCs w:val="22"/>
              </w:rPr>
              <w:t>715.4</w:t>
            </w:r>
          </w:p>
        </w:tc>
        <w:tc>
          <w:tcPr>
            <w:tcW w:w="0" w:type="auto"/>
            <w:vAlign w:val="center"/>
          </w:tcPr>
          <w:p w14:paraId="033F7C23">
            <w:pPr>
              <w:widowControl/>
              <w:adjustRightInd w:val="0"/>
              <w:snapToGrid w:val="0"/>
              <w:ind w:left="-105" w:leftChars="-50" w:right="-105" w:rightChars="-50"/>
              <w:jc w:val="center"/>
              <w:rPr>
                <w:color w:val="000000"/>
                <w:kern w:val="0"/>
                <w:sz w:val="22"/>
                <w:szCs w:val="22"/>
              </w:rPr>
            </w:pPr>
            <w:r>
              <w:rPr>
                <w:rFonts w:eastAsia="等线"/>
                <w:color w:val="000000"/>
                <w:sz w:val="22"/>
                <w:szCs w:val="22"/>
              </w:rPr>
              <w:t>414.1</w:t>
            </w:r>
          </w:p>
        </w:tc>
        <w:tc>
          <w:tcPr>
            <w:tcW w:w="0" w:type="auto"/>
            <w:vAlign w:val="center"/>
          </w:tcPr>
          <w:p w14:paraId="3589EC49">
            <w:pPr>
              <w:widowControl/>
              <w:adjustRightInd w:val="0"/>
              <w:snapToGrid w:val="0"/>
              <w:ind w:left="-105" w:leftChars="-50" w:right="-105" w:rightChars="-50"/>
              <w:jc w:val="center"/>
              <w:rPr>
                <w:color w:val="000000"/>
                <w:kern w:val="0"/>
                <w:sz w:val="22"/>
                <w:szCs w:val="22"/>
              </w:rPr>
            </w:pPr>
          </w:p>
        </w:tc>
        <w:tc>
          <w:tcPr>
            <w:tcW w:w="0" w:type="auto"/>
            <w:vAlign w:val="center"/>
          </w:tcPr>
          <w:p w14:paraId="073A6E63">
            <w:pPr>
              <w:widowControl/>
              <w:adjustRightInd w:val="0"/>
              <w:snapToGrid w:val="0"/>
              <w:ind w:left="-105" w:leftChars="-50" w:right="-105" w:rightChars="-50"/>
              <w:jc w:val="center"/>
              <w:rPr>
                <w:color w:val="000000"/>
                <w:kern w:val="0"/>
                <w:sz w:val="22"/>
                <w:szCs w:val="22"/>
              </w:rPr>
            </w:pPr>
            <w:r>
              <w:rPr>
                <w:rFonts w:eastAsia="等线"/>
                <w:color w:val="000000"/>
                <w:sz w:val="22"/>
                <w:szCs w:val="22"/>
              </w:rPr>
              <w:t>166</w:t>
            </w:r>
          </w:p>
        </w:tc>
        <w:tc>
          <w:tcPr>
            <w:tcW w:w="0" w:type="auto"/>
            <w:vAlign w:val="center"/>
          </w:tcPr>
          <w:p w14:paraId="67A9897B">
            <w:pPr>
              <w:widowControl/>
              <w:adjustRightInd w:val="0"/>
              <w:snapToGrid w:val="0"/>
              <w:ind w:left="-105" w:leftChars="-50" w:right="-105" w:rightChars="-50"/>
              <w:jc w:val="center"/>
              <w:rPr>
                <w:color w:val="000000"/>
                <w:kern w:val="0"/>
                <w:sz w:val="22"/>
                <w:szCs w:val="22"/>
              </w:rPr>
            </w:pPr>
          </w:p>
        </w:tc>
        <w:tc>
          <w:tcPr>
            <w:tcW w:w="0" w:type="auto"/>
            <w:vAlign w:val="center"/>
          </w:tcPr>
          <w:p w14:paraId="6E0C1264">
            <w:pPr>
              <w:widowControl/>
              <w:adjustRightInd w:val="0"/>
              <w:snapToGrid w:val="0"/>
              <w:ind w:left="-105" w:leftChars="-50" w:right="-105" w:rightChars="-50"/>
              <w:jc w:val="center"/>
              <w:rPr>
                <w:color w:val="000000"/>
                <w:kern w:val="0"/>
                <w:sz w:val="22"/>
                <w:szCs w:val="22"/>
              </w:rPr>
            </w:pPr>
            <w:r>
              <w:rPr>
                <w:rFonts w:eastAsia="等线"/>
                <w:color w:val="000000"/>
                <w:sz w:val="22"/>
                <w:szCs w:val="22"/>
              </w:rPr>
              <w:t>135.3</w:t>
            </w:r>
          </w:p>
        </w:tc>
        <w:tc>
          <w:tcPr>
            <w:tcW w:w="0" w:type="auto"/>
            <w:vAlign w:val="center"/>
          </w:tcPr>
          <w:p w14:paraId="602A76F2">
            <w:pPr>
              <w:widowControl/>
              <w:adjustRightInd w:val="0"/>
              <w:snapToGrid w:val="0"/>
              <w:ind w:left="-105" w:leftChars="-50" w:right="-105" w:rightChars="-50"/>
              <w:jc w:val="center"/>
              <w:rPr>
                <w:color w:val="000000"/>
                <w:kern w:val="0"/>
                <w:sz w:val="22"/>
                <w:szCs w:val="22"/>
              </w:rPr>
            </w:pPr>
          </w:p>
        </w:tc>
        <w:tc>
          <w:tcPr>
            <w:tcW w:w="0" w:type="auto"/>
            <w:vAlign w:val="center"/>
          </w:tcPr>
          <w:p w14:paraId="5821FC0D">
            <w:pPr>
              <w:widowControl/>
              <w:adjustRightInd w:val="0"/>
              <w:snapToGrid w:val="0"/>
              <w:ind w:left="-105" w:leftChars="-50" w:right="-105" w:rightChars="-50"/>
              <w:jc w:val="center"/>
              <w:rPr>
                <w:color w:val="000000"/>
                <w:kern w:val="0"/>
                <w:sz w:val="22"/>
                <w:szCs w:val="22"/>
              </w:rPr>
            </w:pPr>
          </w:p>
        </w:tc>
        <w:tc>
          <w:tcPr>
            <w:tcW w:w="0" w:type="auto"/>
            <w:vAlign w:val="center"/>
          </w:tcPr>
          <w:p w14:paraId="2ACF6C45">
            <w:pPr>
              <w:widowControl/>
              <w:adjustRightInd w:val="0"/>
              <w:snapToGrid w:val="0"/>
              <w:ind w:left="-105" w:leftChars="-50" w:right="-105" w:rightChars="-50"/>
              <w:jc w:val="center"/>
              <w:rPr>
                <w:color w:val="000000"/>
                <w:kern w:val="0"/>
                <w:sz w:val="22"/>
                <w:szCs w:val="22"/>
              </w:rPr>
            </w:pPr>
          </w:p>
        </w:tc>
        <w:tc>
          <w:tcPr>
            <w:tcW w:w="611" w:type="dxa"/>
            <w:vAlign w:val="center"/>
          </w:tcPr>
          <w:p w14:paraId="72795BF8">
            <w:pPr>
              <w:widowControl/>
              <w:adjustRightInd w:val="0"/>
              <w:snapToGrid w:val="0"/>
              <w:ind w:left="-105" w:leftChars="-50" w:right="-105" w:rightChars="-50"/>
              <w:jc w:val="center"/>
              <w:rPr>
                <w:color w:val="000000"/>
                <w:kern w:val="0"/>
                <w:sz w:val="22"/>
                <w:szCs w:val="22"/>
              </w:rPr>
            </w:pPr>
            <w:r>
              <w:rPr>
                <w:rFonts w:eastAsia="等线"/>
                <w:color w:val="000000"/>
                <w:sz w:val="22"/>
                <w:szCs w:val="22"/>
              </w:rPr>
              <w:t>715.4</w:t>
            </w:r>
          </w:p>
        </w:tc>
      </w:tr>
      <w:tr w14:paraId="2352B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8" w:type="dxa"/>
            <w:vAlign w:val="center"/>
          </w:tcPr>
          <w:p w14:paraId="4B80DBBD">
            <w:pPr>
              <w:widowControl/>
              <w:adjustRightInd w:val="0"/>
              <w:snapToGrid w:val="0"/>
              <w:ind w:left="-105" w:leftChars="-50" w:right="-105" w:rightChars="-50"/>
              <w:jc w:val="center"/>
              <w:rPr>
                <w:color w:val="000000"/>
                <w:kern w:val="0"/>
                <w:sz w:val="22"/>
                <w:szCs w:val="22"/>
              </w:rPr>
            </w:pPr>
            <w:r>
              <w:rPr>
                <w:color w:val="000000"/>
                <w:kern w:val="0"/>
                <w:sz w:val="22"/>
                <w:szCs w:val="22"/>
              </w:rPr>
              <w:t>城市杂用水</w:t>
            </w:r>
          </w:p>
        </w:tc>
        <w:tc>
          <w:tcPr>
            <w:tcW w:w="0" w:type="auto"/>
            <w:vAlign w:val="center"/>
          </w:tcPr>
          <w:p w14:paraId="297ACE4F">
            <w:pPr>
              <w:widowControl/>
              <w:adjustRightInd w:val="0"/>
              <w:snapToGrid w:val="0"/>
              <w:ind w:left="-105" w:leftChars="-50" w:right="-105" w:rightChars="-50"/>
              <w:jc w:val="center"/>
              <w:rPr>
                <w:color w:val="000000"/>
                <w:kern w:val="0"/>
                <w:sz w:val="22"/>
                <w:szCs w:val="22"/>
              </w:rPr>
            </w:pPr>
            <w:r>
              <w:rPr>
                <w:rFonts w:eastAsia="等线"/>
                <w:color w:val="000000"/>
                <w:sz w:val="22"/>
                <w:szCs w:val="22"/>
              </w:rPr>
              <w:t>429.2</w:t>
            </w:r>
          </w:p>
        </w:tc>
        <w:tc>
          <w:tcPr>
            <w:tcW w:w="0" w:type="auto"/>
            <w:vAlign w:val="center"/>
          </w:tcPr>
          <w:p w14:paraId="67496EB5">
            <w:pPr>
              <w:widowControl/>
              <w:adjustRightInd w:val="0"/>
              <w:snapToGrid w:val="0"/>
              <w:ind w:left="-105" w:leftChars="-50" w:right="-105" w:rightChars="-50"/>
              <w:jc w:val="center"/>
              <w:rPr>
                <w:color w:val="000000"/>
                <w:kern w:val="0"/>
                <w:sz w:val="22"/>
                <w:szCs w:val="22"/>
              </w:rPr>
            </w:pPr>
            <w:r>
              <w:rPr>
                <w:rFonts w:eastAsia="等线"/>
                <w:color w:val="000000"/>
                <w:sz w:val="22"/>
                <w:szCs w:val="22"/>
              </w:rPr>
              <w:t>337.7</w:t>
            </w:r>
          </w:p>
        </w:tc>
        <w:tc>
          <w:tcPr>
            <w:tcW w:w="0" w:type="auto"/>
            <w:vAlign w:val="center"/>
          </w:tcPr>
          <w:p w14:paraId="072916EF">
            <w:pPr>
              <w:widowControl/>
              <w:adjustRightInd w:val="0"/>
              <w:snapToGrid w:val="0"/>
              <w:ind w:left="-105" w:leftChars="-50" w:right="-105" w:rightChars="-50"/>
              <w:jc w:val="center"/>
              <w:rPr>
                <w:color w:val="000000"/>
                <w:kern w:val="0"/>
                <w:sz w:val="22"/>
                <w:szCs w:val="22"/>
              </w:rPr>
            </w:pPr>
          </w:p>
        </w:tc>
        <w:tc>
          <w:tcPr>
            <w:tcW w:w="0" w:type="auto"/>
            <w:vAlign w:val="center"/>
          </w:tcPr>
          <w:p w14:paraId="4E6187FE">
            <w:pPr>
              <w:widowControl/>
              <w:adjustRightInd w:val="0"/>
              <w:snapToGrid w:val="0"/>
              <w:ind w:left="-105" w:leftChars="-50" w:right="-105" w:rightChars="-50"/>
              <w:jc w:val="center"/>
              <w:rPr>
                <w:color w:val="000000"/>
                <w:kern w:val="0"/>
                <w:sz w:val="22"/>
                <w:szCs w:val="22"/>
              </w:rPr>
            </w:pPr>
            <w:r>
              <w:rPr>
                <w:rFonts w:eastAsia="等线"/>
                <w:color w:val="000000"/>
                <w:sz w:val="22"/>
                <w:szCs w:val="22"/>
              </w:rPr>
              <w:t>37.9</w:t>
            </w:r>
          </w:p>
        </w:tc>
        <w:tc>
          <w:tcPr>
            <w:tcW w:w="0" w:type="auto"/>
            <w:vAlign w:val="center"/>
          </w:tcPr>
          <w:p w14:paraId="0EAB0BD2">
            <w:pPr>
              <w:widowControl/>
              <w:adjustRightInd w:val="0"/>
              <w:snapToGrid w:val="0"/>
              <w:ind w:left="-105" w:leftChars="-50" w:right="-105" w:rightChars="-50"/>
              <w:jc w:val="center"/>
              <w:rPr>
                <w:color w:val="000000"/>
                <w:kern w:val="0"/>
                <w:sz w:val="22"/>
                <w:szCs w:val="22"/>
              </w:rPr>
            </w:pPr>
            <w:r>
              <w:rPr>
                <w:rFonts w:eastAsia="等线"/>
                <w:color w:val="000000"/>
                <w:sz w:val="22"/>
                <w:szCs w:val="22"/>
              </w:rPr>
              <w:t>9.2</w:t>
            </w:r>
          </w:p>
        </w:tc>
        <w:tc>
          <w:tcPr>
            <w:tcW w:w="0" w:type="auto"/>
            <w:vAlign w:val="center"/>
          </w:tcPr>
          <w:p w14:paraId="52F12405">
            <w:pPr>
              <w:widowControl/>
              <w:adjustRightInd w:val="0"/>
              <w:snapToGrid w:val="0"/>
              <w:ind w:left="-105" w:leftChars="-50" w:right="-105" w:rightChars="-50"/>
              <w:jc w:val="center"/>
              <w:rPr>
                <w:color w:val="000000"/>
                <w:kern w:val="0"/>
                <w:sz w:val="22"/>
                <w:szCs w:val="22"/>
              </w:rPr>
            </w:pPr>
            <w:r>
              <w:rPr>
                <w:rFonts w:eastAsia="等线"/>
                <w:color w:val="000000"/>
                <w:sz w:val="22"/>
                <w:szCs w:val="22"/>
              </w:rPr>
              <w:t>14.5</w:t>
            </w:r>
          </w:p>
        </w:tc>
        <w:tc>
          <w:tcPr>
            <w:tcW w:w="0" w:type="auto"/>
            <w:vAlign w:val="center"/>
          </w:tcPr>
          <w:p w14:paraId="07FFBE85">
            <w:pPr>
              <w:widowControl/>
              <w:adjustRightInd w:val="0"/>
              <w:snapToGrid w:val="0"/>
              <w:ind w:left="-105" w:leftChars="-50" w:right="-105" w:rightChars="-50"/>
              <w:jc w:val="center"/>
              <w:rPr>
                <w:color w:val="000000"/>
                <w:kern w:val="0"/>
                <w:sz w:val="22"/>
                <w:szCs w:val="22"/>
              </w:rPr>
            </w:pPr>
            <w:r>
              <w:rPr>
                <w:rFonts w:eastAsia="等线"/>
                <w:color w:val="000000"/>
                <w:sz w:val="22"/>
                <w:szCs w:val="22"/>
              </w:rPr>
              <w:t>12.3</w:t>
            </w:r>
          </w:p>
        </w:tc>
        <w:tc>
          <w:tcPr>
            <w:tcW w:w="0" w:type="auto"/>
            <w:vAlign w:val="center"/>
          </w:tcPr>
          <w:p w14:paraId="793C9A9A">
            <w:pPr>
              <w:widowControl/>
              <w:adjustRightInd w:val="0"/>
              <w:snapToGrid w:val="0"/>
              <w:ind w:left="-105" w:leftChars="-50" w:right="-105" w:rightChars="-50"/>
              <w:jc w:val="center"/>
              <w:rPr>
                <w:color w:val="000000"/>
                <w:kern w:val="0"/>
                <w:sz w:val="22"/>
                <w:szCs w:val="22"/>
              </w:rPr>
            </w:pPr>
            <w:r>
              <w:rPr>
                <w:rFonts w:eastAsia="等线"/>
                <w:color w:val="000000"/>
                <w:sz w:val="22"/>
                <w:szCs w:val="22"/>
              </w:rPr>
              <w:t>10.3</w:t>
            </w:r>
          </w:p>
        </w:tc>
        <w:tc>
          <w:tcPr>
            <w:tcW w:w="0" w:type="auto"/>
            <w:vAlign w:val="center"/>
          </w:tcPr>
          <w:p w14:paraId="2503FF2E">
            <w:pPr>
              <w:widowControl/>
              <w:adjustRightInd w:val="0"/>
              <w:snapToGrid w:val="0"/>
              <w:ind w:left="-105" w:leftChars="-50" w:right="-105" w:rightChars="-50"/>
              <w:jc w:val="center"/>
              <w:rPr>
                <w:color w:val="000000"/>
                <w:kern w:val="0"/>
                <w:sz w:val="22"/>
                <w:szCs w:val="22"/>
              </w:rPr>
            </w:pPr>
            <w:r>
              <w:rPr>
                <w:rFonts w:eastAsia="等线"/>
                <w:color w:val="000000"/>
                <w:sz w:val="22"/>
                <w:szCs w:val="22"/>
              </w:rPr>
              <w:t>7.3</w:t>
            </w:r>
          </w:p>
        </w:tc>
        <w:tc>
          <w:tcPr>
            <w:tcW w:w="611" w:type="dxa"/>
            <w:vAlign w:val="center"/>
          </w:tcPr>
          <w:p w14:paraId="25615DA8">
            <w:pPr>
              <w:widowControl/>
              <w:adjustRightInd w:val="0"/>
              <w:snapToGrid w:val="0"/>
              <w:ind w:left="-105" w:leftChars="-50" w:right="-105" w:rightChars="-50"/>
              <w:jc w:val="center"/>
              <w:rPr>
                <w:color w:val="000000"/>
                <w:kern w:val="0"/>
                <w:sz w:val="22"/>
                <w:szCs w:val="22"/>
              </w:rPr>
            </w:pPr>
            <w:r>
              <w:rPr>
                <w:rFonts w:eastAsia="等线"/>
                <w:color w:val="000000"/>
                <w:sz w:val="22"/>
                <w:szCs w:val="22"/>
              </w:rPr>
              <w:t>429.2</w:t>
            </w:r>
          </w:p>
        </w:tc>
      </w:tr>
      <w:tr w14:paraId="462CA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8" w:type="dxa"/>
            <w:vAlign w:val="center"/>
          </w:tcPr>
          <w:p w14:paraId="3734BB44">
            <w:pPr>
              <w:widowControl/>
              <w:adjustRightInd w:val="0"/>
              <w:snapToGrid w:val="0"/>
              <w:ind w:left="-105" w:leftChars="-50" w:right="-105" w:rightChars="-50"/>
              <w:jc w:val="center"/>
              <w:rPr>
                <w:color w:val="000000"/>
                <w:kern w:val="0"/>
                <w:sz w:val="22"/>
                <w:szCs w:val="22"/>
              </w:rPr>
            </w:pPr>
            <w:r>
              <w:rPr>
                <w:color w:val="000000"/>
                <w:kern w:val="0"/>
                <w:sz w:val="22"/>
                <w:szCs w:val="22"/>
              </w:rPr>
              <w:t>生态环境补水</w:t>
            </w:r>
          </w:p>
        </w:tc>
        <w:tc>
          <w:tcPr>
            <w:tcW w:w="0" w:type="auto"/>
            <w:vAlign w:val="center"/>
          </w:tcPr>
          <w:p w14:paraId="7D0100CF">
            <w:pPr>
              <w:widowControl/>
              <w:adjustRightInd w:val="0"/>
              <w:snapToGrid w:val="0"/>
              <w:ind w:left="-105" w:leftChars="-50" w:right="-105" w:rightChars="-50"/>
              <w:jc w:val="center"/>
              <w:rPr>
                <w:color w:val="000000"/>
                <w:kern w:val="0"/>
                <w:sz w:val="22"/>
                <w:szCs w:val="22"/>
              </w:rPr>
            </w:pPr>
            <w:r>
              <w:rPr>
                <w:rFonts w:eastAsia="等线"/>
                <w:color w:val="000000"/>
                <w:sz w:val="22"/>
                <w:szCs w:val="22"/>
              </w:rPr>
              <w:t>700</w:t>
            </w:r>
          </w:p>
        </w:tc>
        <w:tc>
          <w:tcPr>
            <w:tcW w:w="0" w:type="auto"/>
            <w:vAlign w:val="center"/>
          </w:tcPr>
          <w:p w14:paraId="2A88EEA0">
            <w:pPr>
              <w:widowControl/>
              <w:adjustRightInd w:val="0"/>
              <w:snapToGrid w:val="0"/>
              <w:ind w:left="-105" w:leftChars="-50" w:right="-105" w:rightChars="-50"/>
              <w:jc w:val="center"/>
              <w:rPr>
                <w:color w:val="000000"/>
                <w:kern w:val="0"/>
                <w:sz w:val="22"/>
                <w:szCs w:val="22"/>
              </w:rPr>
            </w:pPr>
            <w:r>
              <w:rPr>
                <w:rFonts w:eastAsia="等线"/>
                <w:color w:val="000000"/>
                <w:sz w:val="22"/>
                <w:szCs w:val="22"/>
              </w:rPr>
              <w:t>392.9</w:t>
            </w:r>
          </w:p>
        </w:tc>
        <w:tc>
          <w:tcPr>
            <w:tcW w:w="0" w:type="auto"/>
            <w:vAlign w:val="center"/>
          </w:tcPr>
          <w:p w14:paraId="6237397A">
            <w:pPr>
              <w:widowControl/>
              <w:adjustRightInd w:val="0"/>
              <w:snapToGrid w:val="0"/>
              <w:ind w:left="-105" w:leftChars="-50" w:right="-105" w:rightChars="-50"/>
              <w:jc w:val="center"/>
              <w:rPr>
                <w:color w:val="000000"/>
                <w:kern w:val="0"/>
                <w:sz w:val="22"/>
                <w:szCs w:val="22"/>
              </w:rPr>
            </w:pPr>
            <w:r>
              <w:rPr>
                <w:rFonts w:eastAsia="等线"/>
                <w:color w:val="000000"/>
                <w:sz w:val="22"/>
                <w:szCs w:val="22"/>
              </w:rPr>
              <w:t>207.1</w:t>
            </w:r>
          </w:p>
        </w:tc>
        <w:tc>
          <w:tcPr>
            <w:tcW w:w="0" w:type="auto"/>
            <w:vAlign w:val="center"/>
          </w:tcPr>
          <w:p w14:paraId="7BA4F6DA">
            <w:pPr>
              <w:widowControl/>
              <w:adjustRightInd w:val="0"/>
              <w:snapToGrid w:val="0"/>
              <w:ind w:left="-105" w:leftChars="-50" w:right="-105" w:rightChars="-50"/>
              <w:jc w:val="center"/>
              <w:rPr>
                <w:color w:val="000000"/>
                <w:kern w:val="0"/>
                <w:sz w:val="22"/>
                <w:szCs w:val="22"/>
              </w:rPr>
            </w:pPr>
            <w:r>
              <w:rPr>
                <w:rFonts w:eastAsia="等线"/>
                <w:color w:val="000000"/>
                <w:sz w:val="22"/>
                <w:szCs w:val="22"/>
              </w:rPr>
              <w:t>100</w:t>
            </w:r>
          </w:p>
        </w:tc>
        <w:tc>
          <w:tcPr>
            <w:tcW w:w="0" w:type="auto"/>
            <w:vAlign w:val="center"/>
          </w:tcPr>
          <w:p w14:paraId="029EFADE">
            <w:pPr>
              <w:widowControl/>
              <w:adjustRightInd w:val="0"/>
              <w:snapToGrid w:val="0"/>
              <w:ind w:left="-105" w:leftChars="-50" w:right="-105" w:rightChars="-50"/>
              <w:jc w:val="center"/>
              <w:rPr>
                <w:color w:val="000000"/>
                <w:kern w:val="0"/>
                <w:sz w:val="22"/>
                <w:szCs w:val="22"/>
              </w:rPr>
            </w:pPr>
          </w:p>
        </w:tc>
        <w:tc>
          <w:tcPr>
            <w:tcW w:w="0" w:type="auto"/>
            <w:vAlign w:val="center"/>
          </w:tcPr>
          <w:p w14:paraId="280AB8E4">
            <w:pPr>
              <w:widowControl/>
              <w:adjustRightInd w:val="0"/>
              <w:snapToGrid w:val="0"/>
              <w:ind w:left="-105" w:leftChars="-50" w:right="-105" w:rightChars="-50"/>
              <w:jc w:val="center"/>
              <w:rPr>
                <w:color w:val="000000"/>
                <w:kern w:val="0"/>
                <w:sz w:val="22"/>
                <w:szCs w:val="22"/>
              </w:rPr>
            </w:pPr>
          </w:p>
        </w:tc>
        <w:tc>
          <w:tcPr>
            <w:tcW w:w="0" w:type="auto"/>
            <w:vAlign w:val="center"/>
          </w:tcPr>
          <w:p w14:paraId="3E63DD0B">
            <w:pPr>
              <w:widowControl/>
              <w:adjustRightInd w:val="0"/>
              <w:snapToGrid w:val="0"/>
              <w:ind w:left="-105" w:leftChars="-50" w:right="-105" w:rightChars="-50"/>
              <w:jc w:val="center"/>
              <w:rPr>
                <w:color w:val="000000"/>
                <w:kern w:val="0"/>
                <w:sz w:val="22"/>
                <w:szCs w:val="22"/>
              </w:rPr>
            </w:pPr>
          </w:p>
        </w:tc>
        <w:tc>
          <w:tcPr>
            <w:tcW w:w="0" w:type="auto"/>
            <w:vAlign w:val="center"/>
          </w:tcPr>
          <w:p w14:paraId="1823D427">
            <w:pPr>
              <w:widowControl/>
              <w:adjustRightInd w:val="0"/>
              <w:snapToGrid w:val="0"/>
              <w:ind w:left="-105" w:leftChars="-50" w:right="-105" w:rightChars="-50"/>
              <w:jc w:val="center"/>
              <w:rPr>
                <w:color w:val="000000"/>
                <w:kern w:val="0"/>
                <w:sz w:val="22"/>
                <w:szCs w:val="22"/>
              </w:rPr>
            </w:pPr>
          </w:p>
        </w:tc>
        <w:tc>
          <w:tcPr>
            <w:tcW w:w="0" w:type="auto"/>
            <w:vAlign w:val="center"/>
          </w:tcPr>
          <w:p w14:paraId="318E97E3">
            <w:pPr>
              <w:widowControl/>
              <w:adjustRightInd w:val="0"/>
              <w:snapToGrid w:val="0"/>
              <w:ind w:left="-105" w:leftChars="-50" w:right="-105" w:rightChars="-50"/>
              <w:jc w:val="center"/>
              <w:rPr>
                <w:color w:val="000000"/>
                <w:kern w:val="0"/>
                <w:sz w:val="22"/>
                <w:szCs w:val="22"/>
              </w:rPr>
            </w:pPr>
          </w:p>
        </w:tc>
        <w:tc>
          <w:tcPr>
            <w:tcW w:w="611" w:type="dxa"/>
            <w:vAlign w:val="center"/>
          </w:tcPr>
          <w:p w14:paraId="4665B063">
            <w:pPr>
              <w:widowControl/>
              <w:adjustRightInd w:val="0"/>
              <w:snapToGrid w:val="0"/>
              <w:ind w:left="-105" w:leftChars="-50" w:right="-105" w:rightChars="-50"/>
              <w:jc w:val="center"/>
              <w:rPr>
                <w:color w:val="000000"/>
                <w:kern w:val="0"/>
                <w:sz w:val="22"/>
                <w:szCs w:val="22"/>
              </w:rPr>
            </w:pPr>
            <w:r>
              <w:rPr>
                <w:rFonts w:eastAsia="等线"/>
                <w:color w:val="000000"/>
                <w:sz w:val="22"/>
                <w:szCs w:val="22"/>
              </w:rPr>
              <w:t>700</w:t>
            </w:r>
          </w:p>
        </w:tc>
      </w:tr>
      <w:tr w14:paraId="15AC6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8" w:type="dxa"/>
            <w:vAlign w:val="center"/>
          </w:tcPr>
          <w:p w14:paraId="39F86821">
            <w:pPr>
              <w:widowControl/>
              <w:adjustRightInd w:val="0"/>
              <w:snapToGrid w:val="0"/>
              <w:ind w:left="-105" w:leftChars="-50" w:right="-105" w:rightChars="-50"/>
              <w:jc w:val="center"/>
              <w:rPr>
                <w:color w:val="000000"/>
                <w:kern w:val="0"/>
                <w:sz w:val="22"/>
                <w:szCs w:val="22"/>
              </w:rPr>
            </w:pPr>
            <w:r>
              <w:rPr>
                <w:color w:val="000000"/>
                <w:kern w:val="0"/>
                <w:sz w:val="22"/>
                <w:szCs w:val="22"/>
              </w:rPr>
              <w:t>管网漏损量</w:t>
            </w:r>
          </w:p>
        </w:tc>
        <w:tc>
          <w:tcPr>
            <w:tcW w:w="0" w:type="auto"/>
            <w:vAlign w:val="center"/>
          </w:tcPr>
          <w:p w14:paraId="09BF81FF">
            <w:pPr>
              <w:widowControl/>
              <w:adjustRightInd w:val="0"/>
              <w:snapToGrid w:val="0"/>
              <w:ind w:left="-105" w:leftChars="-50" w:right="-105" w:rightChars="-50"/>
              <w:jc w:val="center"/>
              <w:rPr>
                <w:color w:val="000000"/>
                <w:kern w:val="0"/>
                <w:sz w:val="22"/>
                <w:szCs w:val="22"/>
              </w:rPr>
            </w:pPr>
            <w:r>
              <w:rPr>
                <w:rFonts w:eastAsia="等线"/>
                <w:color w:val="000000"/>
                <w:sz w:val="22"/>
                <w:szCs w:val="22"/>
              </w:rPr>
              <w:t>37.6</w:t>
            </w:r>
          </w:p>
        </w:tc>
        <w:tc>
          <w:tcPr>
            <w:tcW w:w="0" w:type="auto"/>
            <w:vAlign w:val="center"/>
          </w:tcPr>
          <w:p w14:paraId="12EADC78">
            <w:pPr>
              <w:widowControl/>
              <w:adjustRightInd w:val="0"/>
              <w:snapToGrid w:val="0"/>
              <w:ind w:left="-105" w:leftChars="-50" w:right="-105" w:rightChars="-50"/>
              <w:jc w:val="center"/>
              <w:rPr>
                <w:color w:val="000000"/>
                <w:kern w:val="0"/>
                <w:sz w:val="22"/>
                <w:szCs w:val="22"/>
              </w:rPr>
            </w:pPr>
            <w:r>
              <w:rPr>
                <w:rFonts w:eastAsia="等线"/>
                <w:color w:val="000000"/>
                <w:sz w:val="22"/>
                <w:szCs w:val="22"/>
              </w:rPr>
              <w:t>23.3</w:t>
            </w:r>
          </w:p>
        </w:tc>
        <w:tc>
          <w:tcPr>
            <w:tcW w:w="0" w:type="auto"/>
            <w:vAlign w:val="center"/>
          </w:tcPr>
          <w:p w14:paraId="5718B059">
            <w:pPr>
              <w:widowControl/>
              <w:adjustRightInd w:val="0"/>
              <w:snapToGrid w:val="0"/>
              <w:ind w:left="-105" w:leftChars="-50" w:right="-105" w:rightChars="-50"/>
              <w:jc w:val="center"/>
              <w:rPr>
                <w:color w:val="000000"/>
                <w:kern w:val="0"/>
                <w:sz w:val="22"/>
                <w:szCs w:val="22"/>
              </w:rPr>
            </w:pPr>
            <w:r>
              <w:rPr>
                <w:rFonts w:eastAsia="等线"/>
                <w:color w:val="000000"/>
                <w:sz w:val="22"/>
                <w:szCs w:val="22"/>
              </w:rPr>
              <w:t>4.2</w:t>
            </w:r>
          </w:p>
        </w:tc>
        <w:tc>
          <w:tcPr>
            <w:tcW w:w="0" w:type="auto"/>
            <w:vAlign w:val="center"/>
          </w:tcPr>
          <w:p w14:paraId="69322E7B">
            <w:pPr>
              <w:widowControl/>
              <w:adjustRightInd w:val="0"/>
              <w:snapToGrid w:val="0"/>
              <w:ind w:left="-105" w:leftChars="-50" w:right="-105" w:rightChars="-50"/>
              <w:jc w:val="center"/>
              <w:rPr>
                <w:color w:val="000000"/>
                <w:kern w:val="0"/>
                <w:sz w:val="22"/>
                <w:szCs w:val="22"/>
              </w:rPr>
            </w:pPr>
            <w:r>
              <w:rPr>
                <w:rFonts w:eastAsia="等线"/>
                <w:color w:val="000000"/>
                <w:sz w:val="22"/>
                <w:szCs w:val="22"/>
              </w:rPr>
              <w:t>6.2</w:t>
            </w:r>
          </w:p>
        </w:tc>
        <w:tc>
          <w:tcPr>
            <w:tcW w:w="0" w:type="auto"/>
            <w:vAlign w:val="center"/>
          </w:tcPr>
          <w:p w14:paraId="452E10F4">
            <w:pPr>
              <w:widowControl/>
              <w:adjustRightInd w:val="0"/>
              <w:snapToGrid w:val="0"/>
              <w:ind w:left="-105" w:leftChars="-50" w:right="-105" w:rightChars="-50"/>
              <w:jc w:val="center"/>
              <w:rPr>
                <w:color w:val="000000"/>
                <w:kern w:val="0"/>
                <w:sz w:val="22"/>
                <w:szCs w:val="22"/>
              </w:rPr>
            </w:pPr>
            <w:r>
              <w:rPr>
                <w:rFonts w:eastAsia="等线"/>
                <w:color w:val="000000"/>
                <w:sz w:val="22"/>
                <w:szCs w:val="22"/>
              </w:rPr>
              <w:t>0.2</w:t>
            </w:r>
          </w:p>
        </w:tc>
        <w:tc>
          <w:tcPr>
            <w:tcW w:w="0" w:type="auto"/>
            <w:vAlign w:val="center"/>
          </w:tcPr>
          <w:p w14:paraId="134D4C8A">
            <w:pPr>
              <w:widowControl/>
              <w:adjustRightInd w:val="0"/>
              <w:snapToGrid w:val="0"/>
              <w:ind w:left="-105" w:leftChars="-50" w:right="-105" w:rightChars="-50"/>
              <w:jc w:val="center"/>
              <w:rPr>
                <w:color w:val="000000"/>
                <w:kern w:val="0"/>
                <w:sz w:val="22"/>
                <w:szCs w:val="22"/>
              </w:rPr>
            </w:pPr>
            <w:r>
              <w:rPr>
                <w:rFonts w:eastAsia="等线"/>
                <w:color w:val="000000"/>
                <w:sz w:val="22"/>
                <w:szCs w:val="22"/>
              </w:rPr>
              <w:t>3.1</w:t>
            </w:r>
          </w:p>
        </w:tc>
        <w:tc>
          <w:tcPr>
            <w:tcW w:w="0" w:type="auto"/>
            <w:vAlign w:val="center"/>
          </w:tcPr>
          <w:p w14:paraId="177E1331">
            <w:pPr>
              <w:widowControl/>
              <w:adjustRightInd w:val="0"/>
              <w:snapToGrid w:val="0"/>
              <w:ind w:left="-105" w:leftChars="-50" w:right="-105" w:rightChars="-50"/>
              <w:jc w:val="center"/>
              <w:rPr>
                <w:color w:val="000000"/>
                <w:kern w:val="0"/>
                <w:sz w:val="22"/>
                <w:szCs w:val="22"/>
              </w:rPr>
            </w:pPr>
            <w:r>
              <w:rPr>
                <w:rFonts w:eastAsia="等线"/>
                <w:color w:val="000000"/>
                <w:sz w:val="22"/>
                <w:szCs w:val="22"/>
              </w:rPr>
              <w:t>0.3</w:t>
            </w:r>
          </w:p>
        </w:tc>
        <w:tc>
          <w:tcPr>
            <w:tcW w:w="0" w:type="auto"/>
            <w:vAlign w:val="center"/>
          </w:tcPr>
          <w:p w14:paraId="5AB2F619">
            <w:pPr>
              <w:widowControl/>
              <w:adjustRightInd w:val="0"/>
              <w:snapToGrid w:val="0"/>
              <w:ind w:left="-105" w:leftChars="-50" w:right="-105" w:rightChars="-50"/>
              <w:jc w:val="center"/>
              <w:rPr>
                <w:color w:val="000000"/>
                <w:kern w:val="0"/>
                <w:sz w:val="22"/>
                <w:szCs w:val="22"/>
              </w:rPr>
            </w:pPr>
            <w:r>
              <w:rPr>
                <w:rFonts w:eastAsia="等线"/>
                <w:color w:val="000000"/>
                <w:sz w:val="22"/>
                <w:szCs w:val="22"/>
              </w:rPr>
              <w:t>0.2</w:t>
            </w:r>
          </w:p>
        </w:tc>
        <w:tc>
          <w:tcPr>
            <w:tcW w:w="0" w:type="auto"/>
            <w:vAlign w:val="center"/>
          </w:tcPr>
          <w:p w14:paraId="1E97F8DF">
            <w:pPr>
              <w:widowControl/>
              <w:adjustRightInd w:val="0"/>
              <w:snapToGrid w:val="0"/>
              <w:ind w:left="-105" w:leftChars="-50" w:right="-105" w:rightChars="-50"/>
              <w:jc w:val="center"/>
              <w:rPr>
                <w:color w:val="000000"/>
                <w:kern w:val="0"/>
                <w:sz w:val="22"/>
                <w:szCs w:val="22"/>
              </w:rPr>
            </w:pPr>
            <w:r>
              <w:rPr>
                <w:rFonts w:eastAsia="等线"/>
                <w:color w:val="000000"/>
                <w:sz w:val="22"/>
                <w:szCs w:val="22"/>
              </w:rPr>
              <w:t>0.1</w:t>
            </w:r>
          </w:p>
        </w:tc>
        <w:tc>
          <w:tcPr>
            <w:tcW w:w="611" w:type="dxa"/>
            <w:vAlign w:val="center"/>
          </w:tcPr>
          <w:p w14:paraId="47334A0B">
            <w:pPr>
              <w:widowControl/>
              <w:adjustRightInd w:val="0"/>
              <w:snapToGrid w:val="0"/>
              <w:ind w:left="-105" w:leftChars="-50" w:right="-105" w:rightChars="-50"/>
              <w:jc w:val="center"/>
              <w:rPr>
                <w:color w:val="000000"/>
                <w:kern w:val="0"/>
                <w:sz w:val="22"/>
                <w:szCs w:val="22"/>
              </w:rPr>
            </w:pPr>
            <w:r>
              <w:rPr>
                <w:rFonts w:eastAsia="等线"/>
                <w:color w:val="000000"/>
                <w:sz w:val="22"/>
                <w:szCs w:val="22"/>
              </w:rPr>
              <w:t>37.6</w:t>
            </w:r>
          </w:p>
        </w:tc>
      </w:tr>
      <w:tr w14:paraId="19D1C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8" w:type="dxa"/>
            <w:vAlign w:val="center"/>
          </w:tcPr>
          <w:p w14:paraId="1251937C">
            <w:pPr>
              <w:widowControl/>
              <w:adjustRightInd w:val="0"/>
              <w:snapToGrid w:val="0"/>
              <w:ind w:left="-105" w:leftChars="-50" w:right="-105" w:rightChars="-50"/>
              <w:jc w:val="center"/>
              <w:rPr>
                <w:color w:val="000000"/>
                <w:kern w:val="0"/>
                <w:sz w:val="22"/>
                <w:szCs w:val="22"/>
              </w:rPr>
            </w:pPr>
            <w:r>
              <w:rPr>
                <w:color w:val="000000"/>
                <w:kern w:val="0"/>
                <w:sz w:val="22"/>
                <w:szCs w:val="22"/>
              </w:rPr>
              <w:t>合计</w:t>
            </w:r>
          </w:p>
        </w:tc>
        <w:tc>
          <w:tcPr>
            <w:tcW w:w="0" w:type="auto"/>
            <w:vAlign w:val="center"/>
          </w:tcPr>
          <w:p w14:paraId="5E93B8F6">
            <w:pPr>
              <w:widowControl/>
              <w:adjustRightInd w:val="0"/>
              <w:snapToGrid w:val="0"/>
              <w:ind w:left="-105" w:leftChars="-50" w:right="-105" w:rightChars="-50"/>
              <w:jc w:val="center"/>
              <w:rPr>
                <w:color w:val="000000"/>
                <w:kern w:val="0"/>
                <w:sz w:val="22"/>
                <w:szCs w:val="22"/>
              </w:rPr>
            </w:pPr>
            <w:r>
              <w:rPr>
                <w:rFonts w:eastAsia="等线"/>
                <w:color w:val="000000"/>
                <w:sz w:val="22"/>
                <w:szCs w:val="22"/>
              </w:rPr>
              <w:t>1882.2</w:t>
            </w:r>
          </w:p>
        </w:tc>
        <w:tc>
          <w:tcPr>
            <w:tcW w:w="0" w:type="auto"/>
            <w:vAlign w:val="center"/>
          </w:tcPr>
          <w:p w14:paraId="642BA90E">
            <w:pPr>
              <w:widowControl/>
              <w:adjustRightInd w:val="0"/>
              <w:snapToGrid w:val="0"/>
              <w:ind w:left="-105" w:leftChars="-50" w:right="-105" w:rightChars="-50"/>
              <w:jc w:val="center"/>
              <w:rPr>
                <w:color w:val="000000"/>
                <w:kern w:val="0"/>
                <w:sz w:val="22"/>
                <w:szCs w:val="22"/>
              </w:rPr>
            </w:pPr>
            <w:r>
              <w:rPr>
                <w:rFonts w:eastAsia="等线"/>
                <w:color w:val="000000"/>
                <w:sz w:val="22"/>
                <w:szCs w:val="22"/>
              </w:rPr>
              <w:t>1168</w:t>
            </w:r>
          </w:p>
        </w:tc>
        <w:tc>
          <w:tcPr>
            <w:tcW w:w="0" w:type="auto"/>
            <w:vAlign w:val="center"/>
          </w:tcPr>
          <w:p w14:paraId="7A01694E">
            <w:pPr>
              <w:widowControl/>
              <w:adjustRightInd w:val="0"/>
              <w:snapToGrid w:val="0"/>
              <w:ind w:left="-105" w:leftChars="-50" w:right="-105" w:rightChars="-50"/>
              <w:jc w:val="center"/>
              <w:rPr>
                <w:color w:val="000000"/>
                <w:kern w:val="0"/>
                <w:sz w:val="22"/>
                <w:szCs w:val="22"/>
              </w:rPr>
            </w:pPr>
            <w:r>
              <w:rPr>
                <w:rFonts w:eastAsia="等线"/>
                <w:color w:val="000000"/>
                <w:sz w:val="22"/>
                <w:szCs w:val="22"/>
              </w:rPr>
              <w:t>211.3</w:t>
            </w:r>
          </w:p>
        </w:tc>
        <w:tc>
          <w:tcPr>
            <w:tcW w:w="0" w:type="auto"/>
            <w:vAlign w:val="center"/>
          </w:tcPr>
          <w:p w14:paraId="2331D2C5">
            <w:pPr>
              <w:widowControl/>
              <w:adjustRightInd w:val="0"/>
              <w:snapToGrid w:val="0"/>
              <w:ind w:left="-105" w:leftChars="-50" w:right="-105" w:rightChars="-50"/>
              <w:jc w:val="center"/>
              <w:rPr>
                <w:color w:val="000000"/>
                <w:kern w:val="0"/>
                <w:sz w:val="22"/>
                <w:szCs w:val="22"/>
              </w:rPr>
            </w:pPr>
            <w:r>
              <w:rPr>
                <w:rFonts w:eastAsia="等线"/>
                <w:color w:val="000000"/>
                <w:sz w:val="22"/>
                <w:szCs w:val="22"/>
              </w:rPr>
              <w:t>310.1</w:t>
            </w:r>
          </w:p>
        </w:tc>
        <w:tc>
          <w:tcPr>
            <w:tcW w:w="0" w:type="auto"/>
            <w:vAlign w:val="center"/>
          </w:tcPr>
          <w:p w14:paraId="496F85BD">
            <w:pPr>
              <w:widowControl/>
              <w:adjustRightInd w:val="0"/>
              <w:snapToGrid w:val="0"/>
              <w:ind w:left="-105" w:leftChars="-50" w:right="-105" w:rightChars="-50"/>
              <w:jc w:val="center"/>
              <w:rPr>
                <w:color w:val="000000"/>
                <w:kern w:val="0"/>
                <w:sz w:val="22"/>
                <w:szCs w:val="22"/>
              </w:rPr>
            </w:pPr>
            <w:r>
              <w:rPr>
                <w:rFonts w:eastAsia="等线"/>
                <w:color w:val="000000"/>
                <w:sz w:val="22"/>
                <w:szCs w:val="22"/>
              </w:rPr>
              <w:t>9.4</w:t>
            </w:r>
          </w:p>
        </w:tc>
        <w:tc>
          <w:tcPr>
            <w:tcW w:w="0" w:type="auto"/>
            <w:vAlign w:val="center"/>
          </w:tcPr>
          <w:p w14:paraId="566A8A03">
            <w:pPr>
              <w:widowControl/>
              <w:adjustRightInd w:val="0"/>
              <w:snapToGrid w:val="0"/>
              <w:ind w:left="-105" w:leftChars="-50" w:right="-105" w:rightChars="-50"/>
              <w:jc w:val="center"/>
              <w:rPr>
                <w:color w:val="000000"/>
                <w:kern w:val="0"/>
                <w:sz w:val="22"/>
                <w:szCs w:val="22"/>
              </w:rPr>
            </w:pPr>
            <w:r>
              <w:rPr>
                <w:rFonts w:eastAsia="等线"/>
                <w:color w:val="000000"/>
                <w:sz w:val="22"/>
                <w:szCs w:val="22"/>
              </w:rPr>
              <w:t>152.9</w:t>
            </w:r>
          </w:p>
        </w:tc>
        <w:tc>
          <w:tcPr>
            <w:tcW w:w="0" w:type="auto"/>
            <w:vAlign w:val="center"/>
          </w:tcPr>
          <w:p w14:paraId="503D7393">
            <w:pPr>
              <w:widowControl/>
              <w:adjustRightInd w:val="0"/>
              <w:snapToGrid w:val="0"/>
              <w:ind w:left="-105" w:leftChars="-50" w:right="-105" w:rightChars="-50"/>
              <w:jc w:val="center"/>
              <w:rPr>
                <w:color w:val="000000"/>
                <w:kern w:val="0"/>
                <w:sz w:val="22"/>
                <w:szCs w:val="22"/>
              </w:rPr>
            </w:pPr>
            <w:r>
              <w:rPr>
                <w:rFonts w:eastAsia="等线"/>
                <w:color w:val="000000"/>
                <w:sz w:val="22"/>
                <w:szCs w:val="22"/>
              </w:rPr>
              <w:t>12.6</w:t>
            </w:r>
          </w:p>
        </w:tc>
        <w:tc>
          <w:tcPr>
            <w:tcW w:w="0" w:type="auto"/>
            <w:vAlign w:val="center"/>
          </w:tcPr>
          <w:p w14:paraId="6087AA1D">
            <w:pPr>
              <w:widowControl/>
              <w:adjustRightInd w:val="0"/>
              <w:snapToGrid w:val="0"/>
              <w:ind w:left="-105" w:leftChars="-50" w:right="-105" w:rightChars="-50"/>
              <w:jc w:val="center"/>
              <w:rPr>
                <w:color w:val="000000"/>
                <w:kern w:val="0"/>
                <w:sz w:val="22"/>
                <w:szCs w:val="22"/>
              </w:rPr>
            </w:pPr>
            <w:r>
              <w:rPr>
                <w:rFonts w:eastAsia="等线"/>
                <w:color w:val="000000"/>
                <w:sz w:val="22"/>
                <w:szCs w:val="22"/>
              </w:rPr>
              <w:t>10.5</w:t>
            </w:r>
          </w:p>
        </w:tc>
        <w:tc>
          <w:tcPr>
            <w:tcW w:w="0" w:type="auto"/>
            <w:vAlign w:val="center"/>
          </w:tcPr>
          <w:p w14:paraId="4F9600F6">
            <w:pPr>
              <w:widowControl/>
              <w:adjustRightInd w:val="0"/>
              <w:snapToGrid w:val="0"/>
              <w:ind w:left="-105" w:leftChars="-50" w:right="-105" w:rightChars="-50"/>
              <w:jc w:val="center"/>
              <w:rPr>
                <w:color w:val="000000"/>
                <w:kern w:val="0"/>
                <w:sz w:val="22"/>
                <w:szCs w:val="22"/>
              </w:rPr>
            </w:pPr>
            <w:r>
              <w:rPr>
                <w:rFonts w:eastAsia="等线"/>
                <w:color w:val="000000"/>
                <w:sz w:val="22"/>
                <w:szCs w:val="22"/>
              </w:rPr>
              <w:t>7.4</w:t>
            </w:r>
          </w:p>
        </w:tc>
        <w:tc>
          <w:tcPr>
            <w:tcW w:w="611" w:type="dxa"/>
            <w:vAlign w:val="center"/>
          </w:tcPr>
          <w:p w14:paraId="48AFC2D2">
            <w:pPr>
              <w:widowControl/>
              <w:adjustRightInd w:val="0"/>
              <w:snapToGrid w:val="0"/>
              <w:ind w:left="-105" w:leftChars="-50" w:right="-105" w:rightChars="-50"/>
              <w:jc w:val="center"/>
              <w:rPr>
                <w:color w:val="000000"/>
                <w:kern w:val="0"/>
                <w:sz w:val="22"/>
                <w:szCs w:val="22"/>
              </w:rPr>
            </w:pPr>
            <w:r>
              <w:rPr>
                <w:rFonts w:eastAsia="等线"/>
                <w:color w:val="000000"/>
                <w:sz w:val="22"/>
                <w:szCs w:val="22"/>
              </w:rPr>
              <w:t>1882.2</w:t>
            </w:r>
          </w:p>
        </w:tc>
      </w:tr>
    </w:tbl>
    <w:p w14:paraId="0349F61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依据分区而言，2</w:t>
      </w:r>
      <w:r>
        <w:rPr>
          <w:color w:val="000000" w:themeColor="text1"/>
          <w:sz w:val="28"/>
          <w:szCs w:val="36"/>
        </w:rPr>
        <w:t>035</w:t>
      </w:r>
      <w:r>
        <w:rPr>
          <w:rFonts w:hint="eastAsia"/>
          <w:color w:val="000000" w:themeColor="text1"/>
          <w:sz w:val="28"/>
          <w:szCs w:val="36"/>
        </w:rPr>
        <w:t>年平阴县中心城区和各镇配置再生水量为1882.2万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，其中中心城区配置再生水量为</w:t>
      </w:r>
      <w:r>
        <w:rPr>
          <w:color w:val="000000" w:themeColor="text1"/>
          <w:sz w:val="28"/>
          <w:szCs w:val="36"/>
        </w:rPr>
        <w:t>1</w:t>
      </w:r>
      <w:r>
        <w:rPr>
          <w:rFonts w:hint="eastAsia"/>
          <w:color w:val="000000" w:themeColor="text1"/>
          <w:sz w:val="28"/>
          <w:szCs w:val="36"/>
        </w:rPr>
        <w:t>160.9万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，以平阴水务发展有限公司（一厂）和锦水河西支综合治理工程（新建污水处理厂）的再生水为水源；安城镇配置再生水量为310.1万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，以平阴水务发展有限公司（二厂）的再生水为水源；东阿镇配置再生水量为9.4万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，以平阴水务发展有限公司（三厂）的再生水为水源；孔村镇配置再生水量为371.3万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，以平阴水务发展有限公司（一厂）和平阴县中环水务有限公司（孔村厂）的再生水为水源；孝直镇配置再生水量为12.6万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，以平阴县中环水务有限公司（孝直厂）的再生水为水源；玫瑰镇配置再生水量为10.5万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，以玫瑰镇污水处理厂的再生水为水源；洪范池镇配置再生水量为7.4万</w:t>
      </w:r>
      <w:r>
        <w:rPr>
          <w:color w:val="000000" w:themeColor="text1"/>
          <w:sz w:val="28"/>
          <w:szCs w:val="36"/>
        </w:rPr>
        <w:t>m</w:t>
      </w:r>
      <w:r>
        <w:rPr>
          <w:rFonts w:hint="eastAsia"/>
          <w:color w:val="000000" w:themeColor="text1"/>
          <w:sz w:val="28"/>
          <w:szCs w:val="36"/>
          <w:vertAlign w:val="superscript"/>
        </w:rPr>
        <w:t>3</w:t>
      </w:r>
      <w:r>
        <w:rPr>
          <w:rFonts w:hint="eastAsia"/>
          <w:color w:val="000000" w:themeColor="text1"/>
          <w:sz w:val="28"/>
          <w:szCs w:val="36"/>
        </w:rPr>
        <w:t>，以洪范池镇污水处理厂的再生水为水源，具体配置方案详见表</w:t>
      </w:r>
      <w:r>
        <w:rPr>
          <w:color w:val="000000" w:themeColor="text1"/>
          <w:sz w:val="28"/>
          <w:szCs w:val="36"/>
        </w:rPr>
        <w:t>6.3-4</w:t>
      </w:r>
      <w:r>
        <w:rPr>
          <w:rFonts w:hint="eastAsia"/>
          <w:color w:val="000000" w:themeColor="text1"/>
          <w:sz w:val="28"/>
          <w:szCs w:val="36"/>
        </w:rPr>
        <w:t>。</w:t>
      </w:r>
    </w:p>
    <w:p w14:paraId="69356216">
      <w:pPr>
        <w:autoSpaceDE w:val="0"/>
        <w:autoSpaceDN w:val="0"/>
        <w:spacing w:line="600" w:lineRule="exact"/>
        <w:jc w:val="right"/>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6.3-4  2035</w:t>
      </w:r>
      <w:r>
        <w:rPr>
          <w:rFonts w:hint="eastAsia"/>
          <w:b/>
          <w:bCs/>
          <w:color w:val="000000" w:themeColor="text1"/>
          <w:sz w:val="24"/>
          <w:szCs w:val="32"/>
        </w:rPr>
        <w:t xml:space="preserve">年平阴县中心城区及各镇再生水供水配置表 </w:t>
      </w:r>
      <w:r>
        <w:rPr>
          <w:b/>
          <w:bCs/>
          <w:color w:val="000000" w:themeColor="text1"/>
          <w:sz w:val="24"/>
          <w:szCs w:val="32"/>
        </w:rPr>
        <w:t xml:space="preserve">      </w:t>
      </w:r>
      <w:r>
        <w:rPr>
          <w:rFonts w:hint="eastAsia"/>
          <w:b/>
          <w:bCs/>
          <w:color w:val="000000" w:themeColor="text1"/>
          <w:sz w:val="24"/>
          <w:szCs w:val="32"/>
        </w:rPr>
        <w:t>单位：万</w:t>
      </w:r>
      <w:r>
        <w:rPr>
          <w:b/>
          <w:bCs/>
          <w:color w:val="000000" w:themeColor="text1"/>
          <w:sz w:val="24"/>
          <w:szCs w:val="32"/>
        </w:rPr>
        <w:t>m</w:t>
      </w:r>
      <w:r>
        <w:rPr>
          <w:rFonts w:hint="eastAsia"/>
          <w:b/>
          <w:bCs/>
          <w:color w:val="000000" w:themeColor="text1"/>
          <w:sz w:val="28"/>
          <w:szCs w:val="36"/>
          <w:vertAlign w:val="superscript"/>
        </w:rPr>
        <w:t>3</w:t>
      </w:r>
    </w:p>
    <w:tbl>
      <w:tblPr>
        <w:tblStyle w:val="46"/>
        <w:tblW w:w="8757" w:type="dxa"/>
        <w:tblInd w:w="113" w:type="dxa"/>
        <w:tblLayout w:type="autofit"/>
        <w:tblCellMar>
          <w:top w:w="0" w:type="dxa"/>
          <w:left w:w="108" w:type="dxa"/>
          <w:bottom w:w="0" w:type="dxa"/>
          <w:right w:w="108" w:type="dxa"/>
        </w:tblCellMar>
      </w:tblPr>
      <w:tblGrid>
        <w:gridCol w:w="1099"/>
        <w:gridCol w:w="2268"/>
        <w:gridCol w:w="1134"/>
        <w:gridCol w:w="1134"/>
        <w:gridCol w:w="1405"/>
        <w:gridCol w:w="1106"/>
        <w:gridCol w:w="611"/>
      </w:tblGrid>
      <w:tr w14:paraId="6B21D662">
        <w:tblPrEx>
          <w:tblCellMar>
            <w:top w:w="0" w:type="dxa"/>
            <w:left w:w="108" w:type="dxa"/>
            <w:bottom w:w="0" w:type="dxa"/>
            <w:right w:w="108" w:type="dxa"/>
          </w:tblCellMar>
        </w:tblPrEx>
        <w:trPr>
          <w:trHeight w:val="454" w:hRule="atLeast"/>
        </w:trPr>
        <w:tc>
          <w:tcPr>
            <w:tcW w:w="1099" w:type="dxa"/>
            <w:tcBorders>
              <w:top w:val="single" w:color="auto" w:sz="4" w:space="0"/>
              <w:left w:val="single" w:color="auto" w:sz="4" w:space="0"/>
              <w:bottom w:val="single" w:color="auto" w:sz="4" w:space="0"/>
              <w:right w:val="single" w:color="auto" w:sz="4" w:space="0"/>
            </w:tcBorders>
            <w:vAlign w:val="center"/>
          </w:tcPr>
          <w:p w14:paraId="774C3129">
            <w:pPr>
              <w:widowControl/>
              <w:adjustRightInd w:val="0"/>
              <w:snapToGrid w:val="0"/>
              <w:ind w:left="-105" w:leftChars="-50" w:right="-105" w:rightChars="-50"/>
              <w:jc w:val="center"/>
              <w:rPr>
                <w:color w:val="000000"/>
                <w:kern w:val="0"/>
                <w:sz w:val="22"/>
                <w:szCs w:val="22"/>
              </w:rPr>
            </w:pPr>
            <w:r>
              <w:rPr>
                <w:color w:val="000000"/>
                <w:kern w:val="0"/>
                <w:sz w:val="22"/>
                <w:szCs w:val="22"/>
              </w:rPr>
              <w:t>城镇</w:t>
            </w:r>
          </w:p>
        </w:tc>
        <w:tc>
          <w:tcPr>
            <w:tcW w:w="2268" w:type="dxa"/>
            <w:tcBorders>
              <w:top w:val="single" w:color="auto" w:sz="4" w:space="0"/>
              <w:left w:val="nil"/>
              <w:bottom w:val="single" w:color="auto" w:sz="4" w:space="0"/>
              <w:right w:val="single" w:color="auto" w:sz="4" w:space="0"/>
            </w:tcBorders>
            <w:noWrap/>
            <w:vAlign w:val="center"/>
          </w:tcPr>
          <w:p w14:paraId="4106D95F">
            <w:pPr>
              <w:widowControl/>
              <w:adjustRightInd w:val="0"/>
              <w:snapToGrid w:val="0"/>
              <w:ind w:left="-105" w:leftChars="-50" w:right="-105" w:rightChars="-50"/>
              <w:jc w:val="center"/>
              <w:rPr>
                <w:color w:val="000000"/>
                <w:kern w:val="0"/>
                <w:sz w:val="22"/>
                <w:szCs w:val="22"/>
              </w:rPr>
            </w:pPr>
            <w:r>
              <w:rPr>
                <w:color w:val="000000"/>
                <w:kern w:val="0"/>
                <w:sz w:val="22"/>
                <w:szCs w:val="22"/>
              </w:rPr>
              <w:t>配置水源</w:t>
            </w:r>
          </w:p>
        </w:tc>
        <w:tc>
          <w:tcPr>
            <w:tcW w:w="1134" w:type="dxa"/>
            <w:tcBorders>
              <w:top w:val="single" w:color="auto" w:sz="4" w:space="0"/>
              <w:left w:val="nil"/>
              <w:bottom w:val="single" w:color="auto" w:sz="4" w:space="0"/>
              <w:right w:val="single" w:color="auto" w:sz="4" w:space="0"/>
            </w:tcBorders>
            <w:noWrap/>
            <w:vAlign w:val="center"/>
          </w:tcPr>
          <w:p w14:paraId="3ECDE582">
            <w:pPr>
              <w:widowControl/>
              <w:adjustRightInd w:val="0"/>
              <w:snapToGrid w:val="0"/>
              <w:ind w:left="-105" w:leftChars="-50" w:right="-105" w:rightChars="-50"/>
              <w:jc w:val="center"/>
              <w:rPr>
                <w:color w:val="000000"/>
                <w:kern w:val="0"/>
                <w:sz w:val="22"/>
                <w:szCs w:val="22"/>
              </w:rPr>
            </w:pPr>
            <w:r>
              <w:rPr>
                <w:color w:val="000000"/>
                <w:kern w:val="0"/>
                <w:sz w:val="22"/>
                <w:szCs w:val="22"/>
              </w:rPr>
              <w:t>工业用水</w:t>
            </w:r>
          </w:p>
        </w:tc>
        <w:tc>
          <w:tcPr>
            <w:tcW w:w="1134" w:type="dxa"/>
            <w:tcBorders>
              <w:top w:val="single" w:color="auto" w:sz="4" w:space="0"/>
              <w:left w:val="nil"/>
              <w:bottom w:val="single" w:color="auto" w:sz="4" w:space="0"/>
              <w:right w:val="single" w:color="auto" w:sz="4" w:space="0"/>
            </w:tcBorders>
            <w:noWrap/>
            <w:vAlign w:val="center"/>
          </w:tcPr>
          <w:p w14:paraId="7BEA7774">
            <w:pPr>
              <w:widowControl/>
              <w:adjustRightInd w:val="0"/>
              <w:snapToGrid w:val="0"/>
              <w:ind w:left="-105" w:leftChars="-50" w:right="-105" w:rightChars="-50"/>
              <w:jc w:val="center"/>
              <w:rPr>
                <w:color w:val="000000"/>
                <w:kern w:val="0"/>
                <w:sz w:val="22"/>
                <w:szCs w:val="22"/>
              </w:rPr>
            </w:pPr>
            <w:r>
              <w:rPr>
                <w:color w:val="000000"/>
                <w:kern w:val="0"/>
                <w:sz w:val="22"/>
                <w:szCs w:val="22"/>
              </w:rPr>
              <w:t>城市杂用水</w:t>
            </w:r>
          </w:p>
        </w:tc>
        <w:tc>
          <w:tcPr>
            <w:tcW w:w="1405" w:type="dxa"/>
            <w:tcBorders>
              <w:top w:val="single" w:color="auto" w:sz="4" w:space="0"/>
              <w:left w:val="nil"/>
              <w:bottom w:val="single" w:color="auto" w:sz="4" w:space="0"/>
              <w:right w:val="single" w:color="auto" w:sz="4" w:space="0"/>
            </w:tcBorders>
            <w:noWrap/>
            <w:vAlign w:val="center"/>
          </w:tcPr>
          <w:p w14:paraId="6CF58510">
            <w:pPr>
              <w:widowControl/>
              <w:adjustRightInd w:val="0"/>
              <w:snapToGrid w:val="0"/>
              <w:ind w:left="-105" w:leftChars="-50" w:right="-105" w:rightChars="-50"/>
              <w:jc w:val="center"/>
              <w:rPr>
                <w:color w:val="000000"/>
                <w:kern w:val="0"/>
                <w:sz w:val="22"/>
                <w:szCs w:val="22"/>
              </w:rPr>
            </w:pPr>
            <w:r>
              <w:rPr>
                <w:color w:val="000000"/>
                <w:kern w:val="0"/>
                <w:sz w:val="22"/>
                <w:szCs w:val="22"/>
              </w:rPr>
              <w:t>生态环境补水</w:t>
            </w:r>
          </w:p>
        </w:tc>
        <w:tc>
          <w:tcPr>
            <w:tcW w:w="0" w:type="auto"/>
            <w:tcBorders>
              <w:top w:val="single" w:color="auto" w:sz="4" w:space="0"/>
              <w:left w:val="nil"/>
              <w:bottom w:val="single" w:color="auto" w:sz="4" w:space="0"/>
              <w:right w:val="single" w:color="auto" w:sz="4" w:space="0"/>
            </w:tcBorders>
            <w:noWrap/>
            <w:vAlign w:val="center"/>
          </w:tcPr>
          <w:p w14:paraId="21FEB49F">
            <w:pPr>
              <w:widowControl/>
              <w:adjustRightInd w:val="0"/>
              <w:snapToGrid w:val="0"/>
              <w:ind w:left="-105" w:leftChars="-50" w:right="-105" w:rightChars="-50"/>
              <w:jc w:val="center"/>
              <w:rPr>
                <w:color w:val="000000"/>
                <w:kern w:val="0"/>
                <w:sz w:val="22"/>
                <w:szCs w:val="22"/>
              </w:rPr>
            </w:pPr>
            <w:r>
              <w:rPr>
                <w:color w:val="000000"/>
                <w:kern w:val="0"/>
                <w:sz w:val="22"/>
                <w:szCs w:val="22"/>
              </w:rPr>
              <w:t>管网漏损量</w:t>
            </w:r>
          </w:p>
        </w:tc>
        <w:tc>
          <w:tcPr>
            <w:tcW w:w="611" w:type="dxa"/>
            <w:tcBorders>
              <w:top w:val="single" w:color="auto" w:sz="4" w:space="0"/>
              <w:left w:val="nil"/>
              <w:bottom w:val="single" w:color="auto" w:sz="4" w:space="0"/>
              <w:right w:val="single" w:color="auto" w:sz="4" w:space="0"/>
            </w:tcBorders>
            <w:noWrap/>
            <w:vAlign w:val="center"/>
          </w:tcPr>
          <w:p w14:paraId="4363EA57">
            <w:pPr>
              <w:widowControl/>
              <w:adjustRightInd w:val="0"/>
              <w:snapToGrid w:val="0"/>
              <w:ind w:left="-105" w:leftChars="-50" w:right="-105" w:rightChars="-50"/>
              <w:jc w:val="center"/>
              <w:rPr>
                <w:color w:val="000000"/>
                <w:kern w:val="0"/>
                <w:sz w:val="22"/>
                <w:szCs w:val="22"/>
              </w:rPr>
            </w:pPr>
            <w:r>
              <w:rPr>
                <w:color w:val="000000"/>
                <w:kern w:val="0"/>
                <w:sz w:val="22"/>
                <w:szCs w:val="22"/>
              </w:rPr>
              <w:t>合计</w:t>
            </w:r>
          </w:p>
        </w:tc>
      </w:tr>
      <w:tr w14:paraId="54BA9F69">
        <w:tblPrEx>
          <w:tblCellMar>
            <w:top w:w="0" w:type="dxa"/>
            <w:left w:w="108" w:type="dxa"/>
            <w:bottom w:w="0" w:type="dxa"/>
            <w:right w:w="108" w:type="dxa"/>
          </w:tblCellMar>
        </w:tblPrEx>
        <w:trPr>
          <w:trHeight w:val="454" w:hRule="atLeast"/>
        </w:trPr>
        <w:tc>
          <w:tcPr>
            <w:tcW w:w="1099" w:type="dxa"/>
            <w:vMerge w:val="restart"/>
            <w:tcBorders>
              <w:top w:val="single" w:color="auto" w:sz="4" w:space="0"/>
              <w:left w:val="single" w:color="auto" w:sz="4" w:space="0"/>
              <w:bottom w:val="single" w:color="000000" w:sz="4" w:space="0"/>
              <w:right w:val="single" w:color="auto" w:sz="4" w:space="0"/>
            </w:tcBorders>
            <w:vAlign w:val="center"/>
          </w:tcPr>
          <w:p w14:paraId="0C2A5215">
            <w:pPr>
              <w:widowControl/>
              <w:adjustRightInd w:val="0"/>
              <w:snapToGrid w:val="0"/>
              <w:ind w:left="-105" w:leftChars="-50" w:right="-105" w:rightChars="-50"/>
              <w:jc w:val="center"/>
              <w:rPr>
                <w:color w:val="000000"/>
                <w:kern w:val="0"/>
                <w:sz w:val="22"/>
                <w:szCs w:val="22"/>
              </w:rPr>
            </w:pPr>
            <w:r>
              <w:rPr>
                <w:color w:val="000000"/>
                <w:kern w:val="0"/>
                <w:sz w:val="22"/>
                <w:szCs w:val="22"/>
              </w:rPr>
              <w:t>中心城区</w:t>
            </w:r>
          </w:p>
        </w:tc>
        <w:tc>
          <w:tcPr>
            <w:tcW w:w="2268" w:type="dxa"/>
            <w:tcBorders>
              <w:top w:val="nil"/>
              <w:left w:val="single" w:color="auto" w:sz="4" w:space="0"/>
              <w:bottom w:val="single" w:color="auto" w:sz="4" w:space="0"/>
              <w:right w:val="single" w:color="auto" w:sz="4" w:space="0"/>
            </w:tcBorders>
            <w:vAlign w:val="center"/>
          </w:tcPr>
          <w:p w14:paraId="4E9BB96F">
            <w:pPr>
              <w:widowControl/>
              <w:adjustRightInd w:val="0"/>
              <w:snapToGrid w:val="0"/>
              <w:ind w:left="-105" w:leftChars="-50" w:right="-105" w:rightChars="-50"/>
              <w:jc w:val="center"/>
              <w:rPr>
                <w:color w:val="000000"/>
                <w:kern w:val="0"/>
                <w:sz w:val="22"/>
                <w:szCs w:val="22"/>
              </w:rPr>
            </w:pPr>
            <w:r>
              <w:rPr>
                <w:color w:val="000000"/>
                <w:kern w:val="0"/>
                <w:sz w:val="22"/>
                <w:szCs w:val="22"/>
              </w:rPr>
              <w:t>平阴水务发展有限公司（一厂）</w:t>
            </w:r>
          </w:p>
        </w:tc>
        <w:tc>
          <w:tcPr>
            <w:tcW w:w="1134" w:type="dxa"/>
            <w:tcBorders>
              <w:top w:val="nil"/>
              <w:left w:val="nil"/>
              <w:bottom w:val="single" w:color="auto" w:sz="4" w:space="0"/>
              <w:right w:val="single" w:color="auto" w:sz="4" w:space="0"/>
            </w:tcBorders>
            <w:noWrap/>
            <w:vAlign w:val="center"/>
          </w:tcPr>
          <w:p w14:paraId="4725ADF1">
            <w:pPr>
              <w:widowControl/>
              <w:adjustRightInd w:val="0"/>
              <w:snapToGrid w:val="0"/>
              <w:ind w:left="-105" w:leftChars="-50" w:right="-105" w:rightChars="-50"/>
              <w:jc w:val="center"/>
              <w:rPr>
                <w:color w:val="000000"/>
                <w:kern w:val="0"/>
                <w:sz w:val="22"/>
                <w:szCs w:val="22"/>
              </w:rPr>
            </w:pPr>
            <w:r>
              <w:rPr>
                <w:rFonts w:eastAsia="等线"/>
                <w:color w:val="000000"/>
                <w:sz w:val="22"/>
                <w:szCs w:val="22"/>
              </w:rPr>
              <w:t>200</w:t>
            </w:r>
          </w:p>
        </w:tc>
        <w:tc>
          <w:tcPr>
            <w:tcW w:w="1134" w:type="dxa"/>
            <w:tcBorders>
              <w:top w:val="nil"/>
              <w:left w:val="nil"/>
              <w:bottom w:val="single" w:color="auto" w:sz="4" w:space="0"/>
              <w:right w:val="single" w:color="auto" w:sz="4" w:space="0"/>
            </w:tcBorders>
            <w:noWrap/>
            <w:vAlign w:val="center"/>
          </w:tcPr>
          <w:p w14:paraId="0B8ECF7F">
            <w:pPr>
              <w:widowControl/>
              <w:adjustRightInd w:val="0"/>
              <w:snapToGrid w:val="0"/>
              <w:ind w:left="-105" w:leftChars="-50" w:right="-105" w:rightChars="-50"/>
              <w:jc w:val="center"/>
              <w:rPr>
                <w:color w:val="000000"/>
                <w:kern w:val="0"/>
                <w:sz w:val="22"/>
                <w:szCs w:val="22"/>
              </w:rPr>
            </w:pPr>
            <w:r>
              <w:rPr>
                <w:rFonts w:eastAsia="等线"/>
                <w:color w:val="000000"/>
                <w:sz w:val="22"/>
                <w:szCs w:val="22"/>
              </w:rPr>
              <w:t>337.7</w:t>
            </w:r>
          </w:p>
        </w:tc>
        <w:tc>
          <w:tcPr>
            <w:tcW w:w="1405" w:type="dxa"/>
            <w:tcBorders>
              <w:top w:val="nil"/>
              <w:left w:val="nil"/>
              <w:bottom w:val="single" w:color="auto" w:sz="4" w:space="0"/>
              <w:right w:val="single" w:color="auto" w:sz="4" w:space="0"/>
            </w:tcBorders>
            <w:noWrap/>
            <w:vAlign w:val="center"/>
          </w:tcPr>
          <w:p w14:paraId="00BADF8E">
            <w:pPr>
              <w:widowControl/>
              <w:adjustRightInd w:val="0"/>
              <w:snapToGrid w:val="0"/>
              <w:ind w:left="-105" w:leftChars="-50" w:right="-105" w:rightChars="-50"/>
              <w:jc w:val="center"/>
              <w:rPr>
                <w:color w:val="000000"/>
                <w:kern w:val="0"/>
                <w:sz w:val="22"/>
                <w:szCs w:val="22"/>
              </w:rPr>
            </w:pPr>
            <w:r>
              <w:rPr>
                <w:rFonts w:eastAsia="等线"/>
                <w:color w:val="000000"/>
                <w:sz w:val="22"/>
                <w:szCs w:val="22"/>
              </w:rPr>
              <w:t>392.9</w:t>
            </w:r>
          </w:p>
        </w:tc>
        <w:tc>
          <w:tcPr>
            <w:tcW w:w="0" w:type="auto"/>
            <w:tcBorders>
              <w:top w:val="nil"/>
              <w:left w:val="nil"/>
              <w:bottom w:val="single" w:color="auto" w:sz="4" w:space="0"/>
              <w:right w:val="single" w:color="auto" w:sz="4" w:space="0"/>
            </w:tcBorders>
            <w:noWrap/>
            <w:vAlign w:val="center"/>
          </w:tcPr>
          <w:p w14:paraId="1C1F08B4">
            <w:pPr>
              <w:widowControl/>
              <w:adjustRightInd w:val="0"/>
              <w:snapToGrid w:val="0"/>
              <w:ind w:left="-105" w:leftChars="-50" w:right="-105" w:rightChars="-50"/>
              <w:jc w:val="center"/>
              <w:rPr>
                <w:color w:val="000000"/>
                <w:kern w:val="0"/>
                <w:sz w:val="22"/>
                <w:szCs w:val="22"/>
              </w:rPr>
            </w:pPr>
            <w:r>
              <w:rPr>
                <w:rFonts w:eastAsia="等线"/>
                <w:color w:val="000000"/>
                <w:sz w:val="22"/>
                <w:szCs w:val="22"/>
              </w:rPr>
              <w:t>19</w:t>
            </w:r>
          </w:p>
        </w:tc>
        <w:tc>
          <w:tcPr>
            <w:tcW w:w="611" w:type="dxa"/>
            <w:tcBorders>
              <w:top w:val="nil"/>
              <w:left w:val="nil"/>
              <w:bottom w:val="single" w:color="auto" w:sz="4" w:space="0"/>
              <w:right w:val="single" w:color="auto" w:sz="4" w:space="0"/>
            </w:tcBorders>
            <w:noWrap/>
            <w:vAlign w:val="center"/>
          </w:tcPr>
          <w:p w14:paraId="6D9DAB1E">
            <w:pPr>
              <w:widowControl/>
              <w:adjustRightInd w:val="0"/>
              <w:snapToGrid w:val="0"/>
              <w:ind w:left="-105" w:leftChars="-50" w:right="-105" w:rightChars="-50"/>
              <w:jc w:val="center"/>
              <w:rPr>
                <w:color w:val="000000"/>
                <w:kern w:val="0"/>
                <w:sz w:val="22"/>
                <w:szCs w:val="22"/>
              </w:rPr>
            </w:pPr>
            <w:r>
              <w:rPr>
                <w:rFonts w:eastAsia="等线"/>
                <w:color w:val="000000"/>
                <w:sz w:val="22"/>
                <w:szCs w:val="22"/>
              </w:rPr>
              <w:t>949.6</w:t>
            </w:r>
          </w:p>
        </w:tc>
      </w:tr>
      <w:tr w14:paraId="24C95BA0">
        <w:tblPrEx>
          <w:tblCellMar>
            <w:top w:w="0" w:type="dxa"/>
            <w:left w:w="108" w:type="dxa"/>
            <w:bottom w:w="0" w:type="dxa"/>
            <w:right w:w="108" w:type="dxa"/>
          </w:tblCellMar>
        </w:tblPrEx>
        <w:trPr>
          <w:trHeight w:val="454" w:hRule="atLeast"/>
        </w:trPr>
        <w:tc>
          <w:tcPr>
            <w:tcW w:w="1099" w:type="dxa"/>
            <w:vMerge w:val="continue"/>
            <w:tcBorders>
              <w:top w:val="single" w:color="auto" w:sz="4" w:space="0"/>
              <w:left w:val="single" w:color="auto" w:sz="4" w:space="0"/>
              <w:bottom w:val="single" w:color="000000" w:sz="4" w:space="0"/>
              <w:right w:val="single" w:color="auto" w:sz="4" w:space="0"/>
            </w:tcBorders>
            <w:vAlign w:val="center"/>
          </w:tcPr>
          <w:p w14:paraId="16826AF8">
            <w:pPr>
              <w:widowControl/>
              <w:adjustRightInd w:val="0"/>
              <w:snapToGrid w:val="0"/>
              <w:ind w:left="-105" w:leftChars="-50" w:right="-105" w:rightChars="-50"/>
              <w:jc w:val="left"/>
              <w:rPr>
                <w:color w:val="000000"/>
                <w:kern w:val="0"/>
                <w:sz w:val="22"/>
                <w:szCs w:val="22"/>
              </w:rPr>
            </w:pPr>
          </w:p>
        </w:tc>
        <w:tc>
          <w:tcPr>
            <w:tcW w:w="2268" w:type="dxa"/>
            <w:tcBorders>
              <w:top w:val="nil"/>
              <w:left w:val="nil"/>
              <w:bottom w:val="single" w:color="auto" w:sz="8" w:space="0"/>
              <w:right w:val="single" w:color="auto" w:sz="8" w:space="0"/>
            </w:tcBorders>
            <w:vAlign w:val="center"/>
          </w:tcPr>
          <w:p w14:paraId="244E6E2F">
            <w:pPr>
              <w:widowControl/>
              <w:adjustRightInd w:val="0"/>
              <w:snapToGrid w:val="0"/>
              <w:ind w:left="-105" w:leftChars="-50" w:right="-105" w:rightChars="-50"/>
              <w:jc w:val="center"/>
              <w:rPr>
                <w:color w:val="000000"/>
                <w:kern w:val="0"/>
                <w:sz w:val="22"/>
                <w:szCs w:val="22"/>
              </w:rPr>
            </w:pPr>
            <w:r>
              <w:rPr>
                <w:color w:val="000000"/>
                <w:kern w:val="0"/>
                <w:sz w:val="22"/>
                <w:szCs w:val="22"/>
              </w:rPr>
              <w:t>锦水河西支综合治理工程（新建污水处理厂）</w:t>
            </w:r>
          </w:p>
        </w:tc>
        <w:tc>
          <w:tcPr>
            <w:tcW w:w="1134" w:type="dxa"/>
            <w:tcBorders>
              <w:top w:val="nil"/>
              <w:left w:val="single" w:color="auto" w:sz="4" w:space="0"/>
              <w:bottom w:val="single" w:color="auto" w:sz="4" w:space="0"/>
              <w:right w:val="single" w:color="auto" w:sz="4" w:space="0"/>
            </w:tcBorders>
            <w:noWrap/>
            <w:vAlign w:val="center"/>
          </w:tcPr>
          <w:p w14:paraId="6FE5BC7D">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1134" w:type="dxa"/>
            <w:tcBorders>
              <w:top w:val="nil"/>
              <w:left w:val="nil"/>
              <w:bottom w:val="single" w:color="auto" w:sz="4" w:space="0"/>
              <w:right w:val="single" w:color="auto" w:sz="4" w:space="0"/>
            </w:tcBorders>
            <w:noWrap/>
            <w:vAlign w:val="center"/>
          </w:tcPr>
          <w:p w14:paraId="5B7D092F">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1405" w:type="dxa"/>
            <w:tcBorders>
              <w:top w:val="nil"/>
              <w:left w:val="nil"/>
              <w:bottom w:val="single" w:color="auto" w:sz="4" w:space="0"/>
              <w:right w:val="single" w:color="auto" w:sz="4" w:space="0"/>
            </w:tcBorders>
            <w:noWrap/>
            <w:vAlign w:val="center"/>
          </w:tcPr>
          <w:p w14:paraId="66D640FD">
            <w:pPr>
              <w:widowControl/>
              <w:adjustRightInd w:val="0"/>
              <w:snapToGrid w:val="0"/>
              <w:ind w:left="-105" w:leftChars="-50" w:right="-105" w:rightChars="-50"/>
              <w:jc w:val="center"/>
              <w:rPr>
                <w:color w:val="000000"/>
                <w:kern w:val="0"/>
                <w:sz w:val="22"/>
                <w:szCs w:val="22"/>
              </w:rPr>
            </w:pPr>
            <w:r>
              <w:rPr>
                <w:rFonts w:eastAsia="等线"/>
                <w:color w:val="000000"/>
                <w:sz w:val="22"/>
                <w:szCs w:val="22"/>
              </w:rPr>
              <w:t>207.1</w:t>
            </w:r>
          </w:p>
        </w:tc>
        <w:tc>
          <w:tcPr>
            <w:tcW w:w="0" w:type="auto"/>
            <w:tcBorders>
              <w:top w:val="nil"/>
              <w:left w:val="nil"/>
              <w:bottom w:val="single" w:color="auto" w:sz="4" w:space="0"/>
              <w:right w:val="single" w:color="auto" w:sz="4" w:space="0"/>
            </w:tcBorders>
            <w:noWrap/>
            <w:vAlign w:val="center"/>
          </w:tcPr>
          <w:p w14:paraId="44881FD9">
            <w:pPr>
              <w:widowControl/>
              <w:adjustRightInd w:val="0"/>
              <w:snapToGrid w:val="0"/>
              <w:ind w:left="-105" w:leftChars="-50" w:right="-105" w:rightChars="-50"/>
              <w:jc w:val="center"/>
              <w:rPr>
                <w:color w:val="000000"/>
                <w:kern w:val="0"/>
                <w:sz w:val="22"/>
                <w:szCs w:val="22"/>
              </w:rPr>
            </w:pPr>
            <w:r>
              <w:rPr>
                <w:rFonts w:eastAsia="等线"/>
                <w:color w:val="000000"/>
                <w:sz w:val="22"/>
                <w:szCs w:val="22"/>
              </w:rPr>
              <w:t>4.2</w:t>
            </w:r>
          </w:p>
        </w:tc>
        <w:tc>
          <w:tcPr>
            <w:tcW w:w="611" w:type="dxa"/>
            <w:tcBorders>
              <w:top w:val="nil"/>
              <w:left w:val="nil"/>
              <w:bottom w:val="single" w:color="auto" w:sz="4" w:space="0"/>
              <w:right w:val="single" w:color="auto" w:sz="4" w:space="0"/>
            </w:tcBorders>
            <w:noWrap/>
            <w:vAlign w:val="center"/>
          </w:tcPr>
          <w:p w14:paraId="353A9DED">
            <w:pPr>
              <w:widowControl/>
              <w:adjustRightInd w:val="0"/>
              <w:snapToGrid w:val="0"/>
              <w:ind w:left="-105" w:leftChars="-50" w:right="-105" w:rightChars="-50"/>
              <w:jc w:val="center"/>
              <w:rPr>
                <w:color w:val="000000"/>
                <w:kern w:val="0"/>
                <w:sz w:val="22"/>
                <w:szCs w:val="22"/>
              </w:rPr>
            </w:pPr>
            <w:r>
              <w:rPr>
                <w:rFonts w:eastAsia="等线"/>
                <w:color w:val="000000"/>
                <w:sz w:val="22"/>
                <w:szCs w:val="22"/>
              </w:rPr>
              <w:t>211.3</w:t>
            </w:r>
          </w:p>
        </w:tc>
      </w:tr>
      <w:tr w14:paraId="7A3375E3">
        <w:tblPrEx>
          <w:tblCellMar>
            <w:top w:w="0" w:type="dxa"/>
            <w:left w:w="108" w:type="dxa"/>
            <w:bottom w:w="0" w:type="dxa"/>
            <w:right w:w="108" w:type="dxa"/>
          </w:tblCellMar>
        </w:tblPrEx>
        <w:trPr>
          <w:trHeight w:val="454" w:hRule="atLeast"/>
        </w:trPr>
        <w:tc>
          <w:tcPr>
            <w:tcW w:w="1099" w:type="dxa"/>
            <w:tcBorders>
              <w:top w:val="single" w:color="auto" w:sz="4" w:space="0"/>
              <w:left w:val="single" w:color="auto" w:sz="4" w:space="0"/>
              <w:bottom w:val="single" w:color="auto" w:sz="4" w:space="0"/>
              <w:right w:val="single" w:color="auto" w:sz="4" w:space="0"/>
            </w:tcBorders>
            <w:vAlign w:val="center"/>
          </w:tcPr>
          <w:p w14:paraId="5BCCCA63">
            <w:pPr>
              <w:widowControl/>
              <w:adjustRightInd w:val="0"/>
              <w:snapToGrid w:val="0"/>
              <w:ind w:left="-105" w:leftChars="-50" w:right="-105" w:rightChars="-50"/>
              <w:jc w:val="center"/>
              <w:rPr>
                <w:color w:val="000000"/>
                <w:kern w:val="0"/>
                <w:sz w:val="22"/>
                <w:szCs w:val="22"/>
              </w:rPr>
            </w:pPr>
            <w:r>
              <w:rPr>
                <w:color w:val="000000"/>
                <w:kern w:val="0"/>
                <w:sz w:val="22"/>
                <w:szCs w:val="22"/>
              </w:rPr>
              <w:t>安城镇</w:t>
            </w:r>
          </w:p>
        </w:tc>
        <w:tc>
          <w:tcPr>
            <w:tcW w:w="2268" w:type="dxa"/>
            <w:tcBorders>
              <w:top w:val="single" w:color="auto" w:sz="4" w:space="0"/>
              <w:left w:val="nil"/>
              <w:bottom w:val="single" w:color="auto" w:sz="4" w:space="0"/>
              <w:right w:val="single" w:color="auto" w:sz="4" w:space="0"/>
            </w:tcBorders>
            <w:noWrap/>
            <w:vAlign w:val="center"/>
          </w:tcPr>
          <w:p w14:paraId="5A7D19D2">
            <w:pPr>
              <w:widowControl/>
              <w:adjustRightInd w:val="0"/>
              <w:snapToGrid w:val="0"/>
              <w:ind w:left="-105" w:leftChars="-50" w:right="-105" w:rightChars="-50"/>
              <w:jc w:val="center"/>
              <w:rPr>
                <w:color w:val="000000"/>
                <w:kern w:val="0"/>
                <w:sz w:val="22"/>
                <w:szCs w:val="22"/>
              </w:rPr>
            </w:pPr>
            <w:r>
              <w:rPr>
                <w:color w:val="000000"/>
                <w:kern w:val="0"/>
                <w:sz w:val="22"/>
                <w:szCs w:val="22"/>
              </w:rPr>
              <w:t>平阴水务发展有限公司（二厂）</w:t>
            </w:r>
          </w:p>
        </w:tc>
        <w:tc>
          <w:tcPr>
            <w:tcW w:w="1134" w:type="dxa"/>
            <w:tcBorders>
              <w:top w:val="nil"/>
              <w:left w:val="nil"/>
              <w:bottom w:val="single" w:color="auto" w:sz="4" w:space="0"/>
              <w:right w:val="single" w:color="auto" w:sz="4" w:space="0"/>
            </w:tcBorders>
            <w:noWrap/>
            <w:vAlign w:val="center"/>
          </w:tcPr>
          <w:p w14:paraId="0C546FAC">
            <w:pPr>
              <w:widowControl/>
              <w:adjustRightInd w:val="0"/>
              <w:snapToGrid w:val="0"/>
              <w:ind w:left="-105" w:leftChars="-50" w:right="-105" w:rightChars="-50"/>
              <w:jc w:val="center"/>
              <w:rPr>
                <w:color w:val="000000"/>
                <w:kern w:val="0"/>
                <w:sz w:val="22"/>
                <w:szCs w:val="22"/>
              </w:rPr>
            </w:pPr>
            <w:r>
              <w:rPr>
                <w:rFonts w:eastAsia="等线"/>
                <w:color w:val="000000"/>
                <w:sz w:val="22"/>
                <w:szCs w:val="22"/>
              </w:rPr>
              <w:t>166</w:t>
            </w:r>
          </w:p>
        </w:tc>
        <w:tc>
          <w:tcPr>
            <w:tcW w:w="1134" w:type="dxa"/>
            <w:tcBorders>
              <w:top w:val="nil"/>
              <w:left w:val="nil"/>
              <w:bottom w:val="single" w:color="auto" w:sz="4" w:space="0"/>
              <w:right w:val="single" w:color="auto" w:sz="4" w:space="0"/>
            </w:tcBorders>
            <w:noWrap/>
            <w:vAlign w:val="center"/>
          </w:tcPr>
          <w:p w14:paraId="1E4CDFEB">
            <w:pPr>
              <w:widowControl/>
              <w:adjustRightInd w:val="0"/>
              <w:snapToGrid w:val="0"/>
              <w:ind w:left="-105" w:leftChars="-50" w:right="-105" w:rightChars="-50"/>
              <w:jc w:val="center"/>
              <w:rPr>
                <w:color w:val="000000"/>
                <w:kern w:val="0"/>
                <w:sz w:val="22"/>
                <w:szCs w:val="22"/>
              </w:rPr>
            </w:pPr>
            <w:r>
              <w:rPr>
                <w:rFonts w:eastAsia="等线"/>
                <w:color w:val="000000"/>
                <w:sz w:val="22"/>
                <w:szCs w:val="22"/>
              </w:rPr>
              <w:t>37.9</w:t>
            </w:r>
          </w:p>
        </w:tc>
        <w:tc>
          <w:tcPr>
            <w:tcW w:w="1405" w:type="dxa"/>
            <w:tcBorders>
              <w:top w:val="nil"/>
              <w:left w:val="nil"/>
              <w:bottom w:val="single" w:color="auto" w:sz="4" w:space="0"/>
              <w:right w:val="single" w:color="auto" w:sz="4" w:space="0"/>
            </w:tcBorders>
            <w:noWrap/>
            <w:vAlign w:val="center"/>
          </w:tcPr>
          <w:p w14:paraId="06370A53">
            <w:pPr>
              <w:widowControl/>
              <w:adjustRightInd w:val="0"/>
              <w:snapToGrid w:val="0"/>
              <w:ind w:left="-105" w:leftChars="-50" w:right="-105" w:rightChars="-50"/>
              <w:jc w:val="center"/>
              <w:rPr>
                <w:color w:val="000000"/>
                <w:kern w:val="0"/>
                <w:sz w:val="22"/>
                <w:szCs w:val="22"/>
              </w:rPr>
            </w:pPr>
            <w:r>
              <w:rPr>
                <w:rFonts w:eastAsia="等线"/>
                <w:color w:val="000000"/>
                <w:sz w:val="22"/>
                <w:szCs w:val="22"/>
              </w:rPr>
              <w:t>100</w:t>
            </w:r>
          </w:p>
        </w:tc>
        <w:tc>
          <w:tcPr>
            <w:tcW w:w="0" w:type="auto"/>
            <w:tcBorders>
              <w:top w:val="nil"/>
              <w:left w:val="nil"/>
              <w:bottom w:val="single" w:color="auto" w:sz="4" w:space="0"/>
              <w:right w:val="single" w:color="auto" w:sz="4" w:space="0"/>
            </w:tcBorders>
            <w:noWrap/>
            <w:vAlign w:val="center"/>
          </w:tcPr>
          <w:p w14:paraId="0893BE5D">
            <w:pPr>
              <w:widowControl/>
              <w:adjustRightInd w:val="0"/>
              <w:snapToGrid w:val="0"/>
              <w:ind w:left="-105" w:leftChars="-50" w:right="-105" w:rightChars="-50"/>
              <w:jc w:val="center"/>
              <w:rPr>
                <w:color w:val="000000"/>
                <w:kern w:val="0"/>
                <w:sz w:val="22"/>
                <w:szCs w:val="22"/>
              </w:rPr>
            </w:pPr>
            <w:r>
              <w:rPr>
                <w:rFonts w:eastAsia="等线"/>
                <w:color w:val="000000"/>
                <w:sz w:val="22"/>
                <w:szCs w:val="22"/>
              </w:rPr>
              <w:t>6.2</w:t>
            </w:r>
          </w:p>
        </w:tc>
        <w:tc>
          <w:tcPr>
            <w:tcW w:w="611" w:type="dxa"/>
            <w:tcBorders>
              <w:top w:val="nil"/>
              <w:left w:val="nil"/>
              <w:bottom w:val="single" w:color="auto" w:sz="4" w:space="0"/>
              <w:right w:val="single" w:color="auto" w:sz="4" w:space="0"/>
            </w:tcBorders>
            <w:noWrap/>
            <w:vAlign w:val="center"/>
          </w:tcPr>
          <w:p w14:paraId="26FAAFB5">
            <w:pPr>
              <w:widowControl/>
              <w:adjustRightInd w:val="0"/>
              <w:snapToGrid w:val="0"/>
              <w:ind w:left="-105" w:leftChars="-50" w:right="-105" w:rightChars="-50"/>
              <w:jc w:val="center"/>
              <w:rPr>
                <w:color w:val="000000"/>
                <w:kern w:val="0"/>
                <w:sz w:val="22"/>
                <w:szCs w:val="22"/>
              </w:rPr>
            </w:pPr>
            <w:r>
              <w:rPr>
                <w:rFonts w:eastAsia="等线"/>
                <w:color w:val="000000"/>
                <w:sz w:val="22"/>
                <w:szCs w:val="22"/>
              </w:rPr>
              <w:t>310.1</w:t>
            </w:r>
          </w:p>
        </w:tc>
      </w:tr>
      <w:tr w14:paraId="350F336F">
        <w:tblPrEx>
          <w:tblCellMar>
            <w:top w:w="0" w:type="dxa"/>
            <w:left w:w="108" w:type="dxa"/>
            <w:bottom w:w="0" w:type="dxa"/>
            <w:right w:w="108" w:type="dxa"/>
          </w:tblCellMar>
        </w:tblPrEx>
        <w:trPr>
          <w:trHeight w:val="454" w:hRule="atLeast"/>
        </w:trPr>
        <w:tc>
          <w:tcPr>
            <w:tcW w:w="1099" w:type="dxa"/>
            <w:tcBorders>
              <w:top w:val="nil"/>
              <w:left w:val="single" w:color="auto" w:sz="4" w:space="0"/>
              <w:bottom w:val="single" w:color="auto" w:sz="4" w:space="0"/>
              <w:right w:val="single" w:color="auto" w:sz="4" w:space="0"/>
            </w:tcBorders>
            <w:vAlign w:val="center"/>
          </w:tcPr>
          <w:p w14:paraId="233E7C14">
            <w:pPr>
              <w:widowControl/>
              <w:adjustRightInd w:val="0"/>
              <w:snapToGrid w:val="0"/>
              <w:ind w:left="-105" w:leftChars="-50" w:right="-105" w:rightChars="-50"/>
              <w:jc w:val="center"/>
              <w:rPr>
                <w:color w:val="000000"/>
                <w:kern w:val="0"/>
                <w:sz w:val="22"/>
                <w:szCs w:val="22"/>
              </w:rPr>
            </w:pPr>
            <w:r>
              <w:rPr>
                <w:color w:val="000000"/>
                <w:kern w:val="0"/>
                <w:sz w:val="22"/>
                <w:szCs w:val="22"/>
              </w:rPr>
              <w:t>东阿镇</w:t>
            </w:r>
          </w:p>
        </w:tc>
        <w:tc>
          <w:tcPr>
            <w:tcW w:w="2268" w:type="dxa"/>
            <w:tcBorders>
              <w:top w:val="nil"/>
              <w:left w:val="nil"/>
              <w:bottom w:val="single" w:color="auto" w:sz="4" w:space="0"/>
              <w:right w:val="single" w:color="auto" w:sz="4" w:space="0"/>
            </w:tcBorders>
            <w:noWrap/>
            <w:vAlign w:val="center"/>
          </w:tcPr>
          <w:p w14:paraId="2F2AD36C">
            <w:pPr>
              <w:widowControl/>
              <w:adjustRightInd w:val="0"/>
              <w:snapToGrid w:val="0"/>
              <w:ind w:left="-105" w:leftChars="-50" w:right="-105" w:rightChars="-50"/>
              <w:jc w:val="center"/>
              <w:rPr>
                <w:color w:val="000000"/>
                <w:kern w:val="0"/>
                <w:sz w:val="22"/>
                <w:szCs w:val="22"/>
              </w:rPr>
            </w:pPr>
            <w:r>
              <w:rPr>
                <w:color w:val="000000"/>
                <w:kern w:val="0"/>
                <w:sz w:val="22"/>
                <w:szCs w:val="22"/>
              </w:rPr>
              <w:t>平阴水务发展有限公司（三厂）</w:t>
            </w:r>
          </w:p>
        </w:tc>
        <w:tc>
          <w:tcPr>
            <w:tcW w:w="1134" w:type="dxa"/>
            <w:tcBorders>
              <w:top w:val="nil"/>
              <w:left w:val="nil"/>
              <w:bottom w:val="single" w:color="auto" w:sz="4" w:space="0"/>
              <w:right w:val="single" w:color="auto" w:sz="4" w:space="0"/>
            </w:tcBorders>
            <w:noWrap/>
            <w:vAlign w:val="center"/>
          </w:tcPr>
          <w:p w14:paraId="18FDAD01">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1134" w:type="dxa"/>
            <w:tcBorders>
              <w:top w:val="nil"/>
              <w:left w:val="nil"/>
              <w:bottom w:val="single" w:color="auto" w:sz="4" w:space="0"/>
              <w:right w:val="single" w:color="auto" w:sz="4" w:space="0"/>
            </w:tcBorders>
            <w:vAlign w:val="center"/>
          </w:tcPr>
          <w:p w14:paraId="56E2BFE0">
            <w:pPr>
              <w:widowControl/>
              <w:adjustRightInd w:val="0"/>
              <w:snapToGrid w:val="0"/>
              <w:ind w:left="-105" w:leftChars="-50" w:right="-105" w:rightChars="-50"/>
              <w:jc w:val="center"/>
              <w:rPr>
                <w:color w:val="000000"/>
                <w:kern w:val="0"/>
                <w:sz w:val="22"/>
                <w:szCs w:val="22"/>
              </w:rPr>
            </w:pPr>
            <w:r>
              <w:rPr>
                <w:rFonts w:eastAsia="等线"/>
                <w:color w:val="000000"/>
                <w:sz w:val="22"/>
                <w:szCs w:val="22"/>
              </w:rPr>
              <w:t>9.2</w:t>
            </w:r>
          </w:p>
        </w:tc>
        <w:tc>
          <w:tcPr>
            <w:tcW w:w="1405" w:type="dxa"/>
            <w:tcBorders>
              <w:top w:val="nil"/>
              <w:left w:val="nil"/>
              <w:bottom w:val="single" w:color="auto" w:sz="4" w:space="0"/>
              <w:right w:val="single" w:color="auto" w:sz="4" w:space="0"/>
            </w:tcBorders>
            <w:noWrap/>
            <w:vAlign w:val="center"/>
          </w:tcPr>
          <w:p w14:paraId="53E7DD46">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0" w:type="auto"/>
            <w:tcBorders>
              <w:top w:val="nil"/>
              <w:left w:val="nil"/>
              <w:bottom w:val="single" w:color="auto" w:sz="4" w:space="0"/>
              <w:right w:val="single" w:color="auto" w:sz="4" w:space="0"/>
            </w:tcBorders>
            <w:noWrap/>
            <w:vAlign w:val="center"/>
          </w:tcPr>
          <w:p w14:paraId="0120ABA9">
            <w:pPr>
              <w:widowControl/>
              <w:adjustRightInd w:val="0"/>
              <w:snapToGrid w:val="0"/>
              <w:ind w:left="-105" w:leftChars="-50" w:right="-105" w:rightChars="-50"/>
              <w:jc w:val="center"/>
              <w:rPr>
                <w:color w:val="000000"/>
                <w:kern w:val="0"/>
                <w:sz w:val="22"/>
                <w:szCs w:val="22"/>
              </w:rPr>
            </w:pPr>
            <w:r>
              <w:rPr>
                <w:rFonts w:eastAsia="等线"/>
                <w:color w:val="000000"/>
                <w:sz w:val="22"/>
                <w:szCs w:val="22"/>
              </w:rPr>
              <w:t>0.2</w:t>
            </w:r>
          </w:p>
        </w:tc>
        <w:tc>
          <w:tcPr>
            <w:tcW w:w="611" w:type="dxa"/>
            <w:tcBorders>
              <w:top w:val="nil"/>
              <w:left w:val="nil"/>
              <w:bottom w:val="single" w:color="auto" w:sz="4" w:space="0"/>
              <w:right w:val="single" w:color="auto" w:sz="4" w:space="0"/>
            </w:tcBorders>
            <w:noWrap/>
            <w:vAlign w:val="center"/>
          </w:tcPr>
          <w:p w14:paraId="5D663514">
            <w:pPr>
              <w:widowControl/>
              <w:adjustRightInd w:val="0"/>
              <w:snapToGrid w:val="0"/>
              <w:ind w:left="-105" w:leftChars="-50" w:right="-105" w:rightChars="-50"/>
              <w:jc w:val="center"/>
              <w:rPr>
                <w:color w:val="000000"/>
                <w:kern w:val="0"/>
                <w:sz w:val="22"/>
                <w:szCs w:val="22"/>
              </w:rPr>
            </w:pPr>
            <w:r>
              <w:rPr>
                <w:rFonts w:eastAsia="等线"/>
                <w:color w:val="000000"/>
                <w:sz w:val="22"/>
                <w:szCs w:val="22"/>
              </w:rPr>
              <w:t>9.4</w:t>
            </w:r>
          </w:p>
        </w:tc>
      </w:tr>
      <w:tr w14:paraId="69F9B861">
        <w:tblPrEx>
          <w:tblCellMar>
            <w:top w:w="0" w:type="dxa"/>
            <w:left w:w="108" w:type="dxa"/>
            <w:bottom w:w="0" w:type="dxa"/>
            <w:right w:w="108" w:type="dxa"/>
          </w:tblCellMar>
        </w:tblPrEx>
        <w:trPr>
          <w:trHeight w:val="454" w:hRule="atLeast"/>
        </w:trPr>
        <w:tc>
          <w:tcPr>
            <w:tcW w:w="1099" w:type="dxa"/>
            <w:vMerge w:val="restart"/>
            <w:tcBorders>
              <w:top w:val="nil"/>
              <w:left w:val="single" w:color="auto" w:sz="4" w:space="0"/>
              <w:bottom w:val="single" w:color="auto" w:sz="4" w:space="0"/>
              <w:right w:val="single" w:color="auto" w:sz="4" w:space="0"/>
            </w:tcBorders>
            <w:vAlign w:val="center"/>
          </w:tcPr>
          <w:p w14:paraId="2334EF3C">
            <w:pPr>
              <w:widowControl/>
              <w:adjustRightInd w:val="0"/>
              <w:snapToGrid w:val="0"/>
              <w:ind w:left="-105" w:leftChars="-50" w:right="-105" w:rightChars="-50"/>
              <w:jc w:val="center"/>
              <w:rPr>
                <w:color w:val="000000"/>
                <w:kern w:val="0"/>
                <w:sz w:val="22"/>
                <w:szCs w:val="22"/>
              </w:rPr>
            </w:pPr>
            <w:r>
              <w:rPr>
                <w:color w:val="000000"/>
                <w:kern w:val="0"/>
                <w:sz w:val="22"/>
                <w:szCs w:val="22"/>
              </w:rPr>
              <w:t>孔村镇</w:t>
            </w:r>
          </w:p>
        </w:tc>
        <w:tc>
          <w:tcPr>
            <w:tcW w:w="2268" w:type="dxa"/>
            <w:tcBorders>
              <w:top w:val="nil"/>
              <w:left w:val="nil"/>
              <w:bottom w:val="single" w:color="auto" w:sz="4" w:space="0"/>
              <w:right w:val="single" w:color="auto" w:sz="4" w:space="0"/>
            </w:tcBorders>
            <w:noWrap/>
            <w:vAlign w:val="center"/>
          </w:tcPr>
          <w:p w14:paraId="40CA9655">
            <w:pPr>
              <w:widowControl/>
              <w:adjustRightInd w:val="0"/>
              <w:snapToGrid w:val="0"/>
              <w:ind w:left="-105" w:leftChars="-50" w:right="-105" w:rightChars="-50"/>
              <w:jc w:val="center"/>
              <w:rPr>
                <w:color w:val="000000"/>
                <w:kern w:val="0"/>
                <w:sz w:val="22"/>
                <w:szCs w:val="22"/>
              </w:rPr>
            </w:pPr>
            <w:r>
              <w:rPr>
                <w:color w:val="000000"/>
                <w:kern w:val="0"/>
                <w:sz w:val="22"/>
                <w:szCs w:val="22"/>
              </w:rPr>
              <w:t>平阴县中环水务有限公司（孔村厂）</w:t>
            </w:r>
          </w:p>
        </w:tc>
        <w:tc>
          <w:tcPr>
            <w:tcW w:w="1134" w:type="dxa"/>
            <w:tcBorders>
              <w:top w:val="nil"/>
              <w:left w:val="nil"/>
              <w:bottom w:val="single" w:color="auto" w:sz="4" w:space="0"/>
              <w:right w:val="single" w:color="auto" w:sz="4" w:space="0"/>
            </w:tcBorders>
            <w:noWrap/>
            <w:vAlign w:val="center"/>
          </w:tcPr>
          <w:p w14:paraId="36F603EF">
            <w:pPr>
              <w:widowControl/>
              <w:adjustRightInd w:val="0"/>
              <w:snapToGrid w:val="0"/>
              <w:ind w:left="-105" w:leftChars="-50" w:right="-105" w:rightChars="-50"/>
              <w:jc w:val="center"/>
              <w:rPr>
                <w:color w:val="000000"/>
                <w:kern w:val="0"/>
                <w:sz w:val="22"/>
                <w:szCs w:val="22"/>
              </w:rPr>
            </w:pPr>
            <w:r>
              <w:rPr>
                <w:rFonts w:eastAsia="等线"/>
                <w:color w:val="000000"/>
                <w:sz w:val="22"/>
                <w:szCs w:val="22"/>
              </w:rPr>
              <w:t>135.3</w:t>
            </w:r>
          </w:p>
        </w:tc>
        <w:tc>
          <w:tcPr>
            <w:tcW w:w="1134" w:type="dxa"/>
            <w:tcBorders>
              <w:top w:val="nil"/>
              <w:left w:val="nil"/>
              <w:bottom w:val="single" w:color="auto" w:sz="4" w:space="0"/>
              <w:right w:val="single" w:color="auto" w:sz="4" w:space="0"/>
            </w:tcBorders>
            <w:noWrap/>
            <w:vAlign w:val="center"/>
          </w:tcPr>
          <w:p w14:paraId="1701C57D">
            <w:pPr>
              <w:widowControl/>
              <w:adjustRightInd w:val="0"/>
              <w:snapToGrid w:val="0"/>
              <w:ind w:left="-105" w:leftChars="-50" w:right="-105" w:rightChars="-50"/>
              <w:jc w:val="center"/>
              <w:rPr>
                <w:color w:val="000000"/>
                <w:kern w:val="0"/>
                <w:sz w:val="22"/>
                <w:szCs w:val="22"/>
              </w:rPr>
            </w:pPr>
            <w:r>
              <w:rPr>
                <w:rFonts w:eastAsia="等线"/>
                <w:color w:val="000000"/>
                <w:sz w:val="22"/>
                <w:szCs w:val="22"/>
              </w:rPr>
              <w:t>14.5</w:t>
            </w:r>
          </w:p>
        </w:tc>
        <w:tc>
          <w:tcPr>
            <w:tcW w:w="1405" w:type="dxa"/>
            <w:tcBorders>
              <w:top w:val="nil"/>
              <w:left w:val="nil"/>
              <w:bottom w:val="single" w:color="auto" w:sz="4" w:space="0"/>
              <w:right w:val="single" w:color="auto" w:sz="4" w:space="0"/>
            </w:tcBorders>
            <w:noWrap/>
            <w:vAlign w:val="center"/>
          </w:tcPr>
          <w:p w14:paraId="3A0201D6">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0" w:type="auto"/>
            <w:tcBorders>
              <w:top w:val="nil"/>
              <w:left w:val="nil"/>
              <w:bottom w:val="single" w:color="auto" w:sz="4" w:space="0"/>
              <w:right w:val="single" w:color="auto" w:sz="4" w:space="0"/>
            </w:tcBorders>
            <w:noWrap/>
            <w:vAlign w:val="center"/>
          </w:tcPr>
          <w:p w14:paraId="7A0D35C5">
            <w:pPr>
              <w:widowControl/>
              <w:adjustRightInd w:val="0"/>
              <w:snapToGrid w:val="0"/>
              <w:ind w:left="-105" w:leftChars="-50" w:right="-105" w:rightChars="-50"/>
              <w:jc w:val="center"/>
              <w:rPr>
                <w:color w:val="000000"/>
                <w:kern w:val="0"/>
                <w:sz w:val="22"/>
                <w:szCs w:val="22"/>
              </w:rPr>
            </w:pPr>
            <w:r>
              <w:rPr>
                <w:rFonts w:eastAsia="等线"/>
                <w:color w:val="000000"/>
                <w:sz w:val="22"/>
                <w:szCs w:val="22"/>
              </w:rPr>
              <w:t>3.1</w:t>
            </w:r>
          </w:p>
        </w:tc>
        <w:tc>
          <w:tcPr>
            <w:tcW w:w="611" w:type="dxa"/>
            <w:tcBorders>
              <w:top w:val="nil"/>
              <w:left w:val="nil"/>
              <w:bottom w:val="single" w:color="auto" w:sz="4" w:space="0"/>
              <w:right w:val="single" w:color="auto" w:sz="4" w:space="0"/>
            </w:tcBorders>
            <w:noWrap/>
            <w:vAlign w:val="center"/>
          </w:tcPr>
          <w:p w14:paraId="67D4CE42">
            <w:pPr>
              <w:widowControl/>
              <w:adjustRightInd w:val="0"/>
              <w:snapToGrid w:val="0"/>
              <w:ind w:left="-105" w:leftChars="-50" w:right="-105" w:rightChars="-50"/>
              <w:jc w:val="center"/>
              <w:rPr>
                <w:color w:val="000000"/>
                <w:kern w:val="0"/>
                <w:sz w:val="22"/>
                <w:szCs w:val="22"/>
              </w:rPr>
            </w:pPr>
            <w:r>
              <w:rPr>
                <w:rFonts w:eastAsia="等线"/>
                <w:color w:val="000000"/>
                <w:sz w:val="22"/>
                <w:szCs w:val="22"/>
              </w:rPr>
              <w:t>152.9</w:t>
            </w:r>
          </w:p>
        </w:tc>
      </w:tr>
      <w:tr w14:paraId="4C782035">
        <w:tblPrEx>
          <w:tblCellMar>
            <w:top w:w="0" w:type="dxa"/>
            <w:left w:w="108" w:type="dxa"/>
            <w:bottom w:w="0" w:type="dxa"/>
            <w:right w:w="108" w:type="dxa"/>
          </w:tblCellMar>
        </w:tblPrEx>
        <w:trPr>
          <w:trHeight w:val="454" w:hRule="atLeast"/>
        </w:trPr>
        <w:tc>
          <w:tcPr>
            <w:tcW w:w="1099" w:type="dxa"/>
            <w:vMerge w:val="continue"/>
            <w:tcBorders>
              <w:top w:val="nil"/>
              <w:left w:val="single" w:color="auto" w:sz="4" w:space="0"/>
              <w:bottom w:val="single" w:color="auto" w:sz="4" w:space="0"/>
              <w:right w:val="single" w:color="auto" w:sz="4" w:space="0"/>
            </w:tcBorders>
            <w:vAlign w:val="center"/>
          </w:tcPr>
          <w:p w14:paraId="2C234B7D">
            <w:pPr>
              <w:widowControl/>
              <w:adjustRightInd w:val="0"/>
              <w:snapToGrid w:val="0"/>
              <w:ind w:left="-105" w:leftChars="-50" w:right="-105" w:rightChars="-50"/>
              <w:jc w:val="left"/>
              <w:rPr>
                <w:color w:val="000000"/>
                <w:kern w:val="0"/>
                <w:sz w:val="22"/>
                <w:szCs w:val="22"/>
              </w:rPr>
            </w:pPr>
          </w:p>
        </w:tc>
        <w:tc>
          <w:tcPr>
            <w:tcW w:w="2268" w:type="dxa"/>
            <w:tcBorders>
              <w:top w:val="nil"/>
              <w:left w:val="nil"/>
              <w:bottom w:val="single" w:color="auto" w:sz="4" w:space="0"/>
              <w:right w:val="single" w:color="auto" w:sz="4" w:space="0"/>
            </w:tcBorders>
            <w:vAlign w:val="center"/>
          </w:tcPr>
          <w:p w14:paraId="6113C39D">
            <w:pPr>
              <w:widowControl/>
              <w:adjustRightInd w:val="0"/>
              <w:snapToGrid w:val="0"/>
              <w:ind w:left="-105" w:leftChars="-50" w:right="-105" w:rightChars="-50"/>
              <w:jc w:val="center"/>
              <w:rPr>
                <w:color w:val="000000"/>
                <w:kern w:val="0"/>
                <w:sz w:val="22"/>
                <w:szCs w:val="22"/>
              </w:rPr>
            </w:pPr>
            <w:r>
              <w:rPr>
                <w:color w:val="000000"/>
                <w:kern w:val="0"/>
                <w:sz w:val="22"/>
                <w:szCs w:val="22"/>
              </w:rPr>
              <w:t>平阴水务发展有限公司（一厂）</w:t>
            </w:r>
          </w:p>
        </w:tc>
        <w:tc>
          <w:tcPr>
            <w:tcW w:w="1134" w:type="dxa"/>
            <w:tcBorders>
              <w:top w:val="nil"/>
              <w:left w:val="nil"/>
              <w:bottom w:val="single" w:color="auto" w:sz="4" w:space="0"/>
              <w:right w:val="single" w:color="auto" w:sz="4" w:space="0"/>
            </w:tcBorders>
            <w:noWrap/>
            <w:vAlign w:val="center"/>
          </w:tcPr>
          <w:p w14:paraId="4E4449A2">
            <w:pPr>
              <w:widowControl/>
              <w:adjustRightInd w:val="0"/>
              <w:snapToGrid w:val="0"/>
              <w:ind w:left="-105" w:leftChars="-50" w:right="-105" w:rightChars="-50"/>
              <w:jc w:val="center"/>
              <w:rPr>
                <w:color w:val="000000"/>
                <w:kern w:val="0"/>
                <w:sz w:val="22"/>
                <w:szCs w:val="22"/>
              </w:rPr>
            </w:pPr>
            <w:r>
              <w:rPr>
                <w:rFonts w:eastAsia="等线"/>
                <w:color w:val="000000"/>
                <w:sz w:val="22"/>
                <w:szCs w:val="22"/>
              </w:rPr>
              <w:t>214.1</w:t>
            </w:r>
          </w:p>
        </w:tc>
        <w:tc>
          <w:tcPr>
            <w:tcW w:w="1134" w:type="dxa"/>
            <w:tcBorders>
              <w:top w:val="nil"/>
              <w:left w:val="nil"/>
              <w:bottom w:val="single" w:color="auto" w:sz="4" w:space="0"/>
              <w:right w:val="single" w:color="auto" w:sz="4" w:space="0"/>
            </w:tcBorders>
            <w:noWrap/>
            <w:vAlign w:val="center"/>
          </w:tcPr>
          <w:p w14:paraId="2CC99F66">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1405" w:type="dxa"/>
            <w:tcBorders>
              <w:top w:val="nil"/>
              <w:left w:val="nil"/>
              <w:bottom w:val="single" w:color="auto" w:sz="4" w:space="0"/>
              <w:right w:val="single" w:color="auto" w:sz="4" w:space="0"/>
            </w:tcBorders>
            <w:noWrap/>
            <w:vAlign w:val="center"/>
          </w:tcPr>
          <w:p w14:paraId="4DF4D3D6">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0" w:type="auto"/>
            <w:tcBorders>
              <w:top w:val="nil"/>
              <w:left w:val="nil"/>
              <w:bottom w:val="single" w:color="auto" w:sz="4" w:space="0"/>
              <w:right w:val="single" w:color="auto" w:sz="4" w:space="0"/>
            </w:tcBorders>
            <w:noWrap/>
            <w:vAlign w:val="center"/>
          </w:tcPr>
          <w:p w14:paraId="446F9308">
            <w:pPr>
              <w:widowControl/>
              <w:adjustRightInd w:val="0"/>
              <w:snapToGrid w:val="0"/>
              <w:ind w:left="-105" w:leftChars="-50" w:right="-105" w:rightChars="-50"/>
              <w:jc w:val="center"/>
              <w:rPr>
                <w:color w:val="000000"/>
                <w:kern w:val="0"/>
                <w:sz w:val="22"/>
                <w:szCs w:val="22"/>
              </w:rPr>
            </w:pPr>
            <w:r>
              <w:rPr>
                <w:rFonts w:eastAsia="等线"/>
                <w:color w:val="000000"/>
                <w:sz w:val="22"/>
                <w:szCs w:val="22"/>
              </w:rPr>
              <w:t>4.3</w:t>
            </w:r>
          </w:p>
        </w:tc>
        <w:tc>
          <w:tcPr>
            <w:tcW w:w="611" w:type="dxa"/>
            <w:tcBorders>
              <w:top w:val="nil"/>
              <w:left w:val="nil"/>
              <w:bottom w:val="single" w:color="auto" w:sz="4" w:space="0"/>
              <w:right w:val="single" w:color="auto" w:sz="4" w:space="0"/>
            </w:tcBorders>
            <w:noWrap/>
            <w:vAlign w:val="center"/>
          </w:tcPr>
          <w:p w14:paraId="07686F07">
            <w:pPr>
              <w:widowControl/>
              <w:adjustRightInd w:val="0"/>
              <w:snapToGrid w:val="0"/>
              <w:ind w:left="-105" w:leftChars="-50" w:right="-105" w:rightChars="-50"/>
              <w:jc w:val="center"/>
              <w:rPr>
                <w:color w:val="000000"/>
                <w:kern w:val="0"/>
                <w:sz w:val="22"/>
                <w:szCs w:val="22"/>
              </w:rPr>
            </w:pPr>
            <w:r>
              <w:rPr>
                <w:rFonts w:eastAsia="等线"/>
                <w:color w:val="000000"/>
                <w:sz w:val="22"/>
                <w:szCs w:val="22"/>
              </w:rPr>
              <w:t>218.4</w:t>
            </w:r>
          </w:p>
        </w:tc>
      </w:tr>
      <w:tr w14:paraId="4D35EEFC">
        <w:tblPrEx>
          <w:tblCellMar>
            <w:top w:w="0" w:type="dxa"/>
            <w:left w:w="108" w:type="dxa"/>
            <w:bottom w:w="0" w:type="dxa"/>
            <w:right w:w="108" w:type="dxa"/>
          </w:tblCellMar>
        </w:tblPrEx>
        <w:trPr>
          <w:trHeight w:val="454" w:hRule="atLeast"/>
        </w:trPr>
        <w:tc>
          <w:tcPr>
            <w:tcW w:w="1099" w:type="dxa"/>
            <w:tcBorders>
              <w:top w:val="nil"/>
              <w:left w:val="single" w:color="auto" w:sz="4" w:space="0"/>
              <w:bottom w:val="single" w:color="auto" w:sz="4" w:space="0"/>
              <w:right w:val="single" w:color="auto" w:sz="4" w:space="0"/>
            </w:tcBorders>
            <w:vAlign w:val="center"/>
          </w:tcPr>
          <w:p w14:paraId="377861BA">
            <w:pPr>
              <w:widowControl/>
              <w:adjustRightInd w:val="0"/>
              <w:snapToGrid w:val="0"/>
              <w:ind w:left="-105" w:leftChars="-50" w:right="-105" w:rightChars="-50"/>
              <w:jc w:val="center"/>
              <w:rPr>
                <w:color w:val="000000"/>
                <w:kern w:val="0"/>
                <w:sz w:val="22"/>
                <w:szCs w:val="22"/>
              </w:rPr>
            </w:pPr>
            <w:r>
              <w:rPr>
                <w:color w:val="000000"/>
                <w:kern w:val="0"/>
                <w:sz w:val="22"/>
                <w:szCs w:val="22"/>
              </w:rPr>
              <w:t>孝直镇</w:t>
            </w:r>
          </w:p>
        </w:tc>
        <w:tc>
          <w:tcPr>
            <w:tcW w:w="2268" w:type="dxa"/>
            <w:tcBorders>
              <w:top w:val="nil"/>
              <w:left w:val="nil"/>
              <w:bottom w:val="single" w:color="auto" w:sz="4" w:space="0"/>
              <w:right w:val="single" w:color="auto" w:sz="4" w:space="0"/>
            </w:tcBorders>
            <w:noWrap/>
            <w:vAlign w:val="center"/>
          </w:tcPr>
          <w:p w14:paraId="2049F98F">
            <w:pPr>
              <w:widowControl/>
              <w:adjustRightInd w:val="0"/>
              <w:snapToGrid w:val="0"/>
              <w:ind w:left="-105" w:leftChars="-50" w:right="-105" w:rightChars="-50"/>
              <w:jc w:val="center"/>
              <w:rPr>
                <w:color w:val="000000"/>
                <w:kern w:val="0"/>
                <w:sz w:val="22"/>
                <w:szCs w:val="22"/>
              </w:rPr>
            </w:pPr>
            <w:r>
              <w:rPr>
                <w:color w:val="000000"/>
                <w:kern w:val="0"/>
                <w:sz w:val="22"/>
                <w:szCs w:val="22"/>
              </w:rPr>
              <w:t>平阴县中环水务有限公司（孝直厂）</w:t>
            </w:r>
          </w:p>
        </w:tc>
        <w:tc>
          <w:tcPr>
            <w:tcW w:w="1134" w:type="dxa"/>
            <w:tcBorders>
              <w:top w:val="nil"/>
              <w:left w:val="nil"/>
              <w:bottom w:val="single" w:color="auto" w:sz="4" w:space="0"/>
              <w:right w:val="single" w:color="auto" w:sz="4" w:space="0"/>
            </w:tcBorders>
            <w:noWrap/>
            <w:vAlign w:val="center"/>
          </w:tcPr>
          <w:p w14:paraId="50F7A662">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1134" w:type="dxa"/>
            <w:tcBorders>
              <w:top w:val="nil"/>
              <w:left w:val="nil"/>
              <w:bottom w:val="single" w:color="auto" w:sz="4" w:space="0"/>
              <w:right w:val="single" w:color="auto" w:sz="4" w:space="0"/>
            </w:tcBorders>
            <w:noWrap/>
            <w:vAlign w:val="center"/>
          </w:tcPr>
          <w:p w14:paraId="47B6E9B9">
            <w:pPr>
              <w:widowControl/>
              <w:adjustRightInd w:val="0"/>
              <w:snapToGrid w:val="0"/>
              <w:ind w:left="-105" w:leftChars="-50" w:right="-105" w:rightChars="-50"/>
              <w:jc w:val="center"/>
              <w:rPr>
                <w:color w:val="000000"/>
                <w:kern w:val="0"/>
                <w:sz w:val="22"/>
                <w:szCs w:val="22"/>
              </w:rPr>
            </w:pPr>
            <w:r>
              <w:rPr>
                <w:rFonts w:eastAsia="等线"/>
                <w:color w:val="000000"/>
                <w:sz w:val="22"/>
                <w:szCs w:val="22"/>
              </w:rPr>
              <w:t>12.3</w:t>
            </w:r>
          </w:p>
        </w:tc>
        <w:tc>
          <w:tcPr>
            <w:tcW w:w="1405" w:type="dxa"/>
            <w:tcBorders>
              <w:top w:val="nil"/>
              <w:left w:val="nil"/>
              <w:bottom w:val="single" w:color="auto" w:sz="4" w:space="0"/>
              <w:right w:val="single" w:color="auto" w:sz="4" w:space="0"/>
            </w:tcBorders>
            <w:noWrap/>
            <w:vAlign w:val="center"/>
          </w:tcPr>
          <w:p w14:paraId="4F313C2B">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0" w:type="auto"/>
            <w:tcBorders>
              <w:top w:val="nil"/>
              <w:left w:val="nil"/>
              <w:bottom w:val="single" w:color="auto" w:sz="4" w:space="0"/>
              <w:right w:val="single" w:color="auto" w:sz="4" w:space="0"/>
            </w:tcBorders>
            <w:noWrap/>
            <w:vAlign w:val="center"/>
          </w:tcPr>
          <w:p w14:paraId="2EDE0EEB">
            <w:pPr>
              <w:widowControl/>
              <w:adjustRightInd w:val="0"/>
              <w:snapToGrid w:val="0"/>
              <w:ind w:left="-105" w:leftChars="-50" w:right="-105" w:rightChars="-50"/>
              <w:jc w:val="center"/>
              <w:rPr>
                <w:color w:val="000000"/>
                <w:kern w:val="0"/>
                <w:sz w:val="22"/>
                <w:szCs w:val="22"/>
              </w:rPr>
            </w:pPr>
            <w:r>
              <w:rPr>
                <w:rFonts w:eastAsia="等线"/>
                <w:color w:val="000000"/>
                <w:sz w:val="22"/>
                <w:szCs w:val="22"/>
              </w:rPr>
              <w:t>0.3</w:t>
            </w:r>
          </w:p>
        </w:tc>
        <w:tc>
          <w:tcPr>
            <w:tcW w:w="611" w:type="dxa"/>
            <w:tcBorders>
              <w:top w:val="nil"/>
              <w:left w:val="nil"/>
              <w:bottom w:val="single" w:color="auto" w:sz="4" w:space="0"/>
              <w:right w:val="single" w:color="auto" w:sz="4" w:space="0"/>
            </w:tcBorders>
            <w:noWrap/>
            <w:vAlign w:val="center"/>
          </w:tcPr>
          <w:p w14:paraId="17EF2A49">
            <w:pPr>
              <w:widowControl/>
              <w:adjustRightInd w:val="0"/>
              <w:snapToGrid w:val="0"/>
              <w:ind w:left="-105" w:leftChars="-50" w:right="-105" w:rightChars="-50"/>
              <w:jc w:val="center"/>
              <w:rPr>
                <w:color w:val="000000"/>
                <w:kern w:val="0"/>
                <w:sz w:val="22"/>
                <w:szCs w:val="22"/>
              </w:rPr>
            </w:pPr>
            <w:r>
              <w:rPr>
                <w:rFonts w:eastAsia="等线"/>
                <w:color w:val="000000"/>
                <w:sz w:val="22"/>
                <w:szCs w:val="22"/>
              </w:rPr>
              <w:t>12.6</w:t>
            </w:r>
          </w:p>
        </w:tc>
      </w:tr>
      <w:tr w14:paraId="39352968">
        <w:tblPrEx>
          <w:tblCellMar>
            <w:top w:w="0" w:type="dxa"/>
            <w:left w:w="108" w:type="dxa"/>
            <w:bottom w:w="0" w:type="dxa"/>
            <w:right w:w="108" w:type="dxa"/>
          </w:tblCellMar>
        </w:tblPrEx>
        <w:trPr>
          <w:trHeight w:val="454" w:hRule="atLeast"/>
        </w:trPr>
        <w:tc>
          <w:tcPr>
            <w:tcW w:w="1099" w:type="dxa"/>
            <w:tcBorders>
              <w:top w:val="nil"/>
              <w:left w:val="single" w:color="auto" w:sz="4" w:space="0"/>
              <w:bottom w:val="single" w:color="auto" w:sz="4" w:space="0"/>
              <w:right w:val="single" w:color="auto" w:sz="4" w:space="0"/>
            </w:tcBorders>
            <w:vAlign w:val="center"/>
          </w:tcPr>
          <w:p w14:paraId="291E29CB">
            <w:pPr>
              <w:widowControl/>
              <w:adjustRightInd w:val="0"/>
              <w:snapToGrid w:val="0"/>
              <w:ind w:left="-105" w:leftChars="-50" w:right="-105" w:rightChars="-50"/>
              <w:jc w:val="center"/>
              <w:rPr>
                <w:color w:val="000000"/>
                <w:kern w:val="0"/>
                <w:sz w:val="22"/>
                <w:szCs w:val="22"/>
              </w:rPr>
            </w:pPr>
            <w:r>
              <w:rPr>
                <w:color w:val="000000"/>
                <w:kern w:val="0"/>
                <w:sz w:val="22"/>
                <w:szCs w:val="22"/>
              </w:rPr>
              <w:t>玫瑰镇</w:t>
            </w:r>
          </w:p>
        </w:tc>
        <w:tc>
          <w:tcPr>
            <w:tcW w:w="2268" w:type="dxa"/>
            <w:tcBorders>
              <w:top w:val="nil"/>
              <w:left w:val="nil"/>
              <w:bottom w:val="single" w:color="auto" w:sz="4" w:space="0"/>
              <w:right w:val="single" w:color="auto" w:sz="4" w:space="0"/>
            </w:tcBorders>
            <w:noWrap/>
            <w:vAlign w:val="center"/>
          </w:tcPr>
          <w:p w14:paraId="053607F9">
            <w:pPr>
              <w:widowControl/>
              <w:adjustRightInd w:val="0"/>
              <w:snapToGrid w:val="0"/>
              <w:ind w:left="-105" w:leftChars="-50" w:right="-105" w:rightChars="-50"/>
              <w:jc w:val="center"/>
              <w:rPr>
                <w:color w:val="000000"/>
                <w:kern w:val="0"/>
                <w:sz w:val="22"/>
                <w:szCs w:val="22"/>
              </w:rPr>
            </w:pPr>
            <w:r>
              <w:rPr>
                <w:color w:val="000000"/>
                <w:kern w:val="0"/>
                <w:sz w:val="22"/>
                <w:szCs w:val="22"/>
              </w:rPr>
              <w:t>玫瑰镇污水处理厂</w:t>
            </w:r>
          </w:p>
        </w:tc>
        <w:tc>
          <w:tcPr>
            <w:tcW w:w="1134" w:type="dxa"/>
            <w:tcBorders>
              <w:top w:val="nil"/>
              <w:left w:val="nil"/>
              <w:bottom w:val="single" w:color="auto" w:sz="4" w:space="0"/>
              <w:right w:val="single" w:color="auto" w:sz="4" w:space="0"/>
            </w:tcBorders>
            <w:noWrap/>
            <w:vAlign w:val="center"/>
          </w:tcPr>
          <w:p w14:paraId="04DC89EB">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1134" w:type="dxa"/>
            <w:tcBorders>
              <w:top w:val="nil"/>
              <w:left w:val="nil"/>
              <w:bottom w:val="single" w:color="auto" w:sz="4" w:space="0"/>
              <w:right w:val="single" w:color="auto" w:sz="4" w:space="0"/>
            </w:tcBorders>
            <w:vAlign w:val="center"/>
          </w:tcPr>
          <w:p w14:paraId="1BA3A12A">
            <w:pPr>
              <w:widowControl/>
              <w:adjustRightInd w:val="0"/>
              <w:snapToGrid w:val="0"/>
              <w:ind w:left="-105" w:leftChars="-50" w:right="-105" w:rightChars="-50"/>
              <w:jc w:val="center"/>
              <w:rPr>
                <w:color w:val="000000"/>
                <w:kern w:val="0"/>
                <w:sz w:val="22"/>
                <w:szCs w:val="22"/>
              </w:rPr>
            </w:pPr>
            <w:r>
              <w:rPr>
                <w:rFonts w:eastAsia="等线"/>
                <w:color w:val="000000"/>
                <w:sz w:val="22"/>
                <w:szCs w:val="22"/>
              </w:rPr>
              <w:t>10.3</w:t>
            </w:r>
          </w:p>
        </w:tc>
        <w:tc>
          <w:tcPr>
            <w:tcW w:w="1405" w:type="dxa"/>
            <w:tcBorders>
              <w:top w:val="nil"/>
              <w:left w:val="nil"/>
              <w:bottom w:val="single" w:color="auto" w:sz="4" w:space="0"/>
              <w:right w:val="single" w:color="auto" w:sz="4" w:space="0"/>
            </w:tcBorders>
            <w:noWrap/>
            <w:vAlign w:val="center"/>
          </w:tcPr>
          <w:p w14:paraId="6F6A82D9">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0" w:type="auto"/>
            <w:tcBorders>
              <w:top w:val="nil"/>
              <w:left w:val="nil"/>
              <w:bottom w:val="single" w:color="auto" w:sz="4" w:space="0"/>
              <w:right w:val="single" w:color="auto" w:sz="4" w:space="0"/>
            </w:tcBorders>
            <w:noWrap/>
            <w:vAlign w:val="center"/>
          </w:tcPr>
          <w:p w14:paraId="642AC0AE">
            <w:pPr>
              <w:widowControl/>
              <w:adjustRightInd w:val="0"/>
              <w:snapToGrid w:val="0"/>
              <w:ind w:left="-105" w:leftChars="-50" w:right="-105" w:rightChars="-50"/>
              <w:jc w:val="center"/>
              <w:rPr>
                <w:color w:val="000000"/>
                <w:kern w:val="0"/>
                <w:sz w:val="22"/>
                <w:szCs w:val="22"/>
              </w:rPr>
            </w:pPr>
            <w:r>
              <w:rPr>
                <w:rFonts w:eastAsia="等线"/>
                <w:color w:val="000000"/>
                <w:sz w:val="22"/>
                <w:szCs w:val="22"/>
              </w:rPr>
              <w:t>0.2</w:t>
            </w:r>
          </w:p>
        </w:tc>
        <w:tc>
          <w:tcPr>
            <w:tcW w:w="611" w:type="dxa"/>
            <w:tcBorders>
              <w:top w:val="nil"/>
              <w:left w:val="nil"/>
              <w:bottom w:val="single" w:color="auto" w:sz="4" w:space="0"/>
              <w:right w:val="single" w:color="auto" w:sz="4" w:space="0"/>
            </w:tcBorders>
            <w:noWrap/>
            <w:vAlign w:val="center"/>
          </w:tcPr>
          <w:p w14:paraId="572ECB2C">
            <w:pPr>
              <w:widowControl/>
              <w:adjustRightInd w:val="0"/>
              <w:snapToGrid w:val="0"/>
              <w:ind w:left="-105" w:leftChars="-50" w:right="-105" w:rightChars="-50"/>
              <w:jc w:val="center"/>
              <w:rPr>
                <w:color w:val="000000"/>
                <w:kern w:val="0"/>
                <w:sz w:val="22"/>
                <w:szCs w:val="22"/>
              </w:rPr>
            </w:pPr>
            <w:r>
              <w:rPr>
                <w:rFonts w:eastAsia="等线"/>
                <w:color w:val="000000"/>
                <w:sz w:val="22"/>
                <w:szCs w:val="22"/>
              </w:rPr>
              <w:t>10.5</w:t>
            </w:r>
          </w:p>
        </w:tc>
      </w:tr>
      <w:tr w14:paraId="6ABF7A81">
        <w:tblPrEx>
          <w:tblCellMar>
            <w:top w:w="0" w:type="dxa"/>
            <w:left w:w="108" w:type="dxa"/>
            <w:bottom w:w="0" w:type="dxa"/>
            <w:right w:w="108" w:type="dxa"/>
          </w:tblCellMar>
        </w:tblPrEx>
        <w:trPr>
          <w:trHeight w:val="454" w:hRule="atLeast"/>
        </w:trPr>
        <w:tc>
          <w:tcPr>
            <w:tcW w:w="1099" w:type="dxa"/>
            <w:tcBorders>
              <w:top w:val="nil"/>
              <w:left w:val="single" w:color="auto" w:sz="4" w:space="0"/>
              <w:bottom w:val="single" w:color="auto" w:sz="4" w:space="0"/>
              <w:right w:val="single" w:color="auto" w:sz="4" w:space="0"/>
            </w:tcBorders>
            <w:vAlign w:val="center"/>
          </w:tcPr>
          <w:p w14:paraId="47824D21">
            <w:pPr>
              <w:widowControl/>
              <w:adjustRightInd w:val="0"/>
              <w:snapToGrid w:val="0"/>
              <w:ind w:left="-105" w:leftChars="-50" w:right="-105" w:rightChars="-50"/>
              <w:jc w:val="center"/>
              <w:rPr>
                <w:color w:val="000000"/>
                <w:kern w:val="0"/>
                <w:sz w:val="22"/>
                <w:szCs w:val="22"/>
              </w:rPr>
            </w:pPr>
            <w:r>
              <w:rPr>
                <w:color w:val="000000"/>
                <w:kern w:val="0"/>
                <w:sz w:val="22"/>
                <w:szCs w:val="22"/>
              </w:rPr>
              <w:t>洪范池镇</w:t>
            </w:r>
          </w:p>
        </w:tc>
        <w:tc>
          <w:tcPr>
            <w:tcW w:w="2268" w:type="dxa"/>
            <w:tcBorders>
              <w:top w:val="nil"/>
              <w:left w:val="nil"/>
              <w:bottom w:val="single" w:color="auto" w:sz="4" w:space="0"/>
              <w:right w:val="single" w:color="auto" w:sz="4" w:space="0"/>
            </w:tcBorders>
            <w:noWrap/>
            <w:vAlign w:val="center"/>
          </w:tcPr>
          <w:p w14:paraId="6CD5B65D">
            <w:pPr>
              <w:widowControl/>
              <w:adjustRightInd w:val="0"/>
              <w:snapToGrid w:val="0"/>
              <w:ind w:left="-105" w:leftChars="-50" w:right="-105" w:rightChars="-50"/>
              <w:jc w:val="center"/>
              <w:rPr>
                <w:color w:val="000000"/>
                <w:kern w:val="0"/>
                <w:sz w:val="22"/>
                <w:szCs w:val="22"/>
              </w:rPr>
            </w:pPr>
            <w:r>
              <w:rPr>
                <w:color w:val="000000"/>
                <w:kern w:val="0"/>
                <w:sz w:val="22"/>
                <w:szCs w:val="22"/>
              </w:rPr>
              <w:t>洪范池镇污水处理厂</w:t>
            </w:r>
          </w:p>
        </w:tc>
        <w:tc>
          <w:tcPr>
            <w:tcW w:w="1134" w:type="dxa"/>
            <w:tcBorders>
              <w:top w:val="nil"/>
              <w:left w:val="nil"/>
              <w:bottom w:val="single" w:color="auto" w:sz="4" w:space="0"/>
              <w:right w:val="single" w:color="auto" w:sz="4" w:space="0"/>
            </w:tcBorders>
            <w:noWrap/>
            <w:vAlign w:val="center"/>
          </w:tcPr>
          <w:p w14:paraId="5DC203A5">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1134" w:type="dxa"/>
            <w:tcBorders>
              <w:top w:val="nil"/>
              <w:left w:val="nil"/>
              <w:bottom w:val="single" w:color="auto" w:sz="4" w:space="0"/>
              <w:right w:val="single" w:color="auto" w:sz="4" w:space="0"/>
            </w:tcBorders>
            <w:vAlign w:val="center"/>
          </w:tcPr>
          <w:p w14:paraId="7712C680">
            <w:pPr>
              <w:widowControl/>
              <w:adjustRightInd w:val="0"/>
              <w:snapToGrid w:val="0"/>
              <w:ind w:left="-105" w:leftChars="-50" w:right="-105" w:rightChars="-50"/>
              <w:jc w:val="center"/>
              <w:rPr>
                <w:color w:val="000000"/>
                <w:kern w:val="0"/>
                <w:sz w:val="22"/>
                <w:szCs w:val="22"/>
              </w:rPr>
            </w:pPr>
            <w:r>
              <w:rPr>
                <w:rFonts w:eastAsia="等线"/>
                <w:color w:val="000000"/>
                <w:sz w:val="22"/>
                <w:szCs w:val="22"/>
              </w:rPr>
              <w:t>7.3</w:t>
            </w:r>
          </w:p>
        </w:tc>
        <w:tc>
          <w:tcPr>
            <w:tcW w:w="1405" w:type="dxa"/>
            <w:tcBorders>
              <w:top w:val="nil"/>
              <w:left w:val="nil"/>
              <w:bottom w:val="single" w:color="auto" w:sz="4" w:space="0"/>
              <w:right w:val="single" w:color="auto" w:sz="4" w:space="0"/>
            </w:tcBorders>
            <w:noWrap/>
            <w:vAlign w:val="center"/>
          </w:tcPr>
          <w:p w14:paraId="26561C7B">
            <w:pPr>
              <w:widowControl/>
              <w:adjustRightInd w:val="0"/>
              <w:snapToGrid w:val="0"/>
              <w:ind w:left="-105" w:leftChars="-50" w:right="-105" w:rightChars="-50"/>
              <w:jc w:val="center"/>
              <w:rPr>
                <w:color w:val="000000"/>
                <w:kern w:val="0"/>
                <w:sz w:val="22"/>
                <w:szCs w:val="22"/>
              </w:rPr>
            </w:pPr>
            <w:r>
              <w:rPr>
                <w:rFonts w:eastAsia="等线"/>
                <w:color w:val="000000"/>
                <w:sz w:val="22"/>
                <w:szCs w:val="22"/>
              </w:rPr>
              <w:t>0</w:t>
            </w:r>
          </w:p>
        </w:tc>
        <w:tc>
          <w:tcPr>
            <w:tcW w:w="0" w:type="auto"/>
            <w:tcBorders>
              <w:top w:val="nil"/>
              <w:left w:val="nil"/>
              <w:bottom w:val="single" w:color="auto" w:sz="4" w:space="0"/>
              <w:right w:val="single" w:color="auto" w:sz="4" w:space="0"/>
            </w:tcBorders>
            <w:noWrap/>
            <w:vAlign w:val="center"/>
          </w:tcPr>
          <w:p w14:paraId="508F5773">
            <w:pPr>
              <w:widowControl/>
              <w:adjustRightInd w:val="0"/>
              <w:snapToGrid w:val="0"/>
              <w:ind w:left="-105" w:leftChars="-50" w:right="-105" w:rightChars="-50"/>
              <w:jc w:val="center"/>
              <w:rPr>
                <w:color w:val="000000"/>
                <w:kern w:val="0"/>
                <w:sz w:val="22"/>
                <w:szCs w:val="22"/>
              </w:rPr>
            </w:pPr>
            <w:r>
              <w:rPr>
                <w:rFonts w:eastAsia="等线"/>
                <w:color w:val="000000"/>
                <w:sz w:val="22"/>
                <w:szCs w:val="22"/>
              </w:rPr>
              <w:t>0.1</w:t>
            </w:r>
          </w:p>
        </w:tc>
        <w:tc>
          <w:tcPr>
            <w:tcW w:w="611" w:type="dxa"/>
            <w:tcBorders>
              <w:top w:val="nil"/>
              <w:left w:val="nil"/>
              <w:bottom w:val="single" w:color="auto" w:sz="4" w:space="0"/>
              <w:right w:val="single" w:color="auto" w:sz="4" w:space="0"/>
            </w:tcBorders>
            <w:noWrap/>
            <w:vAlign w:val="center"/>
          </w:tcPr>
          <w:p w14:paraId="261ABC88">
            <w:pPr>
              <w:widowControl/>
              <w:adjustRightInd w:val="0"/>
              <w:snapToGrid w:val="0"/>
              <w:ind w:left="-105" w:leftChars="-50" w:right="-105" w:rightChars="-50"/>
              <w:jc w:val="center"/>
              <w:rPr>
                <w:color w:val="000000"/>
                <w:kern w:val="0"/>
                <w:sz w:val="22"/>
                <w:szCs w:val="22"/>
              </w:rPr>
            </w:pPr>
            <w:r>
              <w:rPr>
                <w:rFonts w:eastAsia="等线"/>
                <w:color w:val="000000"/>
                <w:sz w:val="22"/>
                <w:szCs w:val="22"/>
              </w:rPr>
              <w:t>7.4</w:t>
            </w:r>
          </w:p>
        </w:tc>
      </w:tr>
      <w:tr w14:paraId="1B12820E">
        <w:tblPrEx>
          <w:tblCellMar>
            <w:top w:w="0" w:type="dxa"/>
            <w:left w:w="108" w:type="dxa"/>
            <w:bottom w:w="0" w:type="dxa"/>
            <w:right w:w="108" w:type="dxa"/>
          </w:tblCellMar>
        </w:tblPrEx>
        <w:trPr>
          <w:trHeight w:val="454" w:hRule="atLeast"/>
        </w:trPr>
        <w:tc>
          <w:tcPr>
            <w:tcW w:w="3367" w:type="dxa"/>
            <w:gridSpan w:val="2"/>
            <w:tcBorders>
              <w:top w:val="single" w:color="auto" w:sz="4" w:space="0"/>
              <w:left w:val="single" w:color="auto" w:sz="4" w:space="0"/>
              <w:bottom w:val="single" w:color="auto" w:sz="4" w:space="0"/>
              <w:right w:val="single" w:color="auto" w:sz="4" w:space="0"/>
            </w:tcBorders>
            <w:vAlign w:val="center"/>
          </w:tcPr>
          <w:p w14:paraId="4ECBA38B">
            <w:pPr>
              <w:widowControl/>
              <w:adjustRightInd w:val="0"/>
              <w:snapToGrid w:val="0"/>
              <w:ind w:left="-105" w:leftChars="-50" w:right="-105" w:rightChars="-50"/>
              <w:jc w:val="center"/>
              <w:rPr>
                <w:color w:val="000000"/>
                <w:kern w:val="0"/>
                <w:sz w:val="22"/>
                <w:szCs w:val="22"/>
              </w:rPr>
            </w:pPr>
            <w:r>
              <w:rPr>
                <w:color w:val="000000"/>
                <w:kern w:val="0"/>
                <w:sz w:val="22"/>
                <w:szCs w:val="22"/>
              </w:rPr>
              <w:t>合计</w:t>
            </w:r>
          </w:p>
        </w:tc>
        <w:tc>
          <w:tcPr>
            <w:tcW w:w="1134" w:type="dxa"/>
            <w:tcBorders>
              <w:top w:val="nil"/>
              <w:left w:val="nil"/>
              <w:bottom w:val="single" w:color="auto" w:sz="4" w:space="0"/>
              <w:right w:val="single" w:color="auto" w:sz="4" w:space="0"/>
            </w:tcBorders>
            <w:noWrap/>
            <w:vAlign w:val="center"/>
          </w:tcPr>
          <w:p w14:paraId="754DEEEC">
            <w:pPr>
              <w:widowControl/>
              <w:adjustRightInd w:val="0"/>
              <w:snapToGrid w:val="0"/>
              <w:ind w:left="-105" w:leftChars="-50" w:right="-105" w:rightChars="-50"/>
              <w:jc w:val="center"/>
              <w:rPr>
                <w:color w:val="000000"/>
                <w:kern w:val="0"/>
                <w:sz w:val="22"/>
                <w:szCs w:val="22"/>
              </w:rPr>
            </w:pPr>
            <w:r>
              <w:rPr>
                <w:rFonts w:eastAsia="等线"/>
                <w:color w:val="000000"/>
                <w:sz w:val="22"/>
                <w:szCs w:val="22"/>
              </w:rPr>
              <w:t>715.4</w:t>
            </w:r>
          </w:p>
        </w:tc>
        <w:tc>
          <w:tcPr>
            <w:tcW w:w="1134" w:type="dxa"/>
            <w:tcBorders>
              <w:top w:val="nil"/>
              <w:left w:val="nil"/>
              <w:bottom w:val="single" w:color="auto" w:sz="4" w:space="0"/>
              <w:right w:val="single" w:color="auto" w:sz="4" w:space="0"/>
            </w:tcBorders>
            <w:noWrap/>
            <w:vAlign w:val="center"/>
          </w:tcPr>
          <w:p w14:paraId="49D3D55C">
            <w:pPr>
              <w:widowControl/>
              <w:adjustRightInd w:val="0"/>
              <w:snapToGrid w:val="0"/>
              <w:ind w:left="-105" w:leftChars="-50" w:right="-105" w:rightChars="-50"/>
              <w:jc w:val="center"/>
              <w:rPr>
                <w:color w:val="000000"/>
                <w:kern w:val="0"/>
                <w:sz w:val="22"/>
                <w:szCs w:val="22"/>
              </w:rPr>
            </w:pPr>
            <w:r>
              <w:rPr>
                <w:rFonts w:eastAsia="等线"/>
                <w:color w:val="000000"/>
                <w:sz w:val="22"/>
                <w:szCs w:val="22"/>
              </w:rPr>
              <w:t>429.2</w:t>
            </w:r>
          </w:p>
        </w:tc>
        <w:tc>
          <w:tcPr>
            <w:tcW w:w="1405" w:type="dxa"/>
            <w:tcBorders>
              <w:top w:val="nil"/>
              <w:left w:val="nil"/>
              <w:bottom w:val="single" w:color="auto" w:sz="4" w:space="0"/>
              <w:right w:val="single" w:color="auto" w:sz="4" w:space="0"/>
            </w:tcBorders>
            <w:noWrap/>
            <w:vAlign w:val="center"/>
          </w:tcPr>
          <w:p w14:paraId="5EAD0D8D">
            <w:pPr>
              <w:widowControl/>
              <w:adjustRightInd w:val="0"/>
              <w:snapToGrid w:val="0"/>
              <w:ind w:left="-105" w:leftChars="-50" w:right="-105" w:rightChars="-50"/>
              <w:jc w:val="center"/>
              <w:rPr>
                <w:color w:val="000000"/>
                <w:kern w:val="0"/>
                <w:sz w:val="22"/>
                <w:szCs w:val="22"/>
              </w:rPr>
            </w:pPr>
            <w:r>
              <w:rPr>
                <w:rFonts w:eastAsia="等线"/>
                <w:color w:val="000000"/>
                <w:sz w:val="22"/>
                <w:szCs w:val="22"/>
              </w:rPr>
              <w:t>700</w:t>
            </w:r>
          </w:p>
        </w:tc>
        <w:tc>
          <w:tcPr>
            <w:tcW w:w="0" w:type="auto"/>
            <w:tcBorders>
              <w:top w:val="nil"/>
              <w:left w:val="nil"/>
              <w:bottom w:val="single" w:color="auto" w:sz="4" w:space="0"/>
              <w:right w:val="single" w:color="auto" w:sz="4" w:space="0"/>
            </w:tcBorders>
            <w:noWrap/>
            <w:vAlign w:val="center"/>
          </w:tcPr>
          <w:p w14:paraId="2FEDBFFA">
            <w:pPr>
              <w:widowControl/>
              <w:adjustRightInd w:val="0"/>
              <w:snapToGrid w:val="0"/>
              <w:ind w:left="-105" w:leftChars="-50" w:right="-105" w:rightChars="-50"/>
              <w:jc w:val="center"/>
              <w:rPr>
                <w:color w:val="000000"/>
                <w:kern w:val="0"/>
                <w:sz w:val="22"/>
                <w:szCs w:val="22"/>
              </w:rPr>
            </w:pPr>
            <w:r>
              <w:rPr>
                <w:rFonts w:eastAsia="等线"/>
                <w:color w:val="000000"/>
                <w:sz w:val="22"/>
                <w:szCs w:val="22"/>
              </w:rPr>
              <w:t>37.6</w:t>
            </w:r>
          </w:p>
        </w:tc>
        <w:tc>
          <w:tcPr>
            <w:tcW w:w="611" w:type="dxa"/>
            <w:tcBorders>
              <w:top w:val="nil"/>
              <w:left w:val="nil"/>
              <w:bottom w:val="single" w:color="auto" w:sz="4" w:space="0"/>
              <w:right w:val="single" w:color="auto" w:sz="4" w:space="0"/>
            </w:tcBorders>
            <w:noWrap/>
            <w:vAlign w:val="center"/>
          </w:tcPr>
          <w:p w14:paraId="4EEAA6EC">
            <w:pPr>
              <w:widowControl/>
              <w:adjustRightInd w:val="0"/>
              <w:snapToGrid w:val="0"/>
              <w:ind w:left="-105" w:leftChars="-50" w:right="-105" w:rightChars="-50"/>
              <w:jc w:val="center"/>
              <w:rPr>
                <w:color w:val="000000"/>
                <w:kern w:val="0"/>
                <w:sz w:val="22"/>
                <w:szCs w:val="22"/>
              </w:rPr>
            </w:pPr>
            <w:r>
              <w:rPr>
                <w:rFonts w:hint="eastAsia"/>
                <w:color w:val="000000"/>
                <w:kern w:val="0"/>
                <w:sz w:val="22"/>
                <w:szCs w:val="22"/>
              </w:rPr>
              <w:t>1882.2</w:t>
            </w:r>
          </w:p>
        </w:tc>
      </w:tr>
    </w:tbl>
    <w:p w14:paraId="56DF1166">
      <w:pPr>
        <w:autoSpaceDE w:val="0"/>
        <w:autoSpaceDN w:val="0"/>
        <w:jc w:val="center"/>
        <w:textAlignment w:val="baseline"/>
        <w:rPr>
          <w:b/>
          <w:bCs/>
          <w:color w:val="000000" w:themeColor="text1"/>
          <w:sz w:val="24"/>
          <w:szCs w:val="32"/>
        </w:rPr>
      </w:pPr>
      <w:r>
        <w:drawing>
          <wp:inline distT="0" distB="0" distL="0" distR="0">
            <wp:extent cx="5083175" cy="8500110"/>
            <wp:effectExtent l="0" t="0" r="0" b="0"/>
            <wp:docPr id="1013831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31473"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086770" cy="8505918"/>
                    </a:xfrm>
                    <a:prstGeom prst="rect">
                      <a:avLst/>
                    </a:prstGeom>
                    <a:noFill/>
                    <a:ln>
                      <a:noFill/>
                    </a:ln>
                  </pic:spPr>
                </pic:pic>
              </a:graphicData>
            </a:graphic>
          </wp:inline>
        </w:drawing>
      </w:r>
    </w:p>
    <w:p w14:paraId="68C4A0DE">
      <w:pPr>
        <w:autoSpaceDE w:val="0"/>
        <w:autoSpaceDN w:val="0"/>
        <w:spacing w:before="120" w:beforeLines="50"/>
        <w:jc w:val="center"/>
        <w:textAlignment w:val="baseline"/>
        <w:rPr>
          <w:color w:val="000000" w:themeColor="text1"/>
          <w:sz w:val="28"/>
          <w:szCs w:val="36"/>
        </w:rPr>
      </w:pPr>
      <w:r>
        <w:rPr>
          <w:rFonts w:hint="eastAsia"/>
          <w:b/>
          <w:bCs/>
          <w:color w:val="000000" w:themeColor="text1"/>
          <w:sz w:val="24"/>
          <w:szCs w:val="32"/>
        </w:rPr>
        <w:t>图6.3-3  平阴县2035年再生水供水水源配置图</w:t>
      </w:r>
    </w:p>
    <w:p w14:paraId="7470344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w:t>
      </w:r>
      <w:r>
        <w:rPr>
          <w:color w:val="000000" w:themeColor="text1"/>
          <w:sz w:val="28"/>
          <w:szCs w:val="36"/>
        </w:rPr>
        <w:t>035</w:t>
      </w:r>
      <w:r>
        <w:rPr>
          <w:rFonts w:hint="eastAsia"/>
          <w:color w:val="000000" w:themeColor="text1"/>
          <w:sz w:val="28"/>
          <w:szCs w:val="36"/>
        </w:rPr>
        <w:t>年平阴县结合各分区再生水利用需求和可利用情况，优化辖区内再生水配置，深入推进跨区域再生水调水工程建设，加大再生水利用。2</w:t>
      </w:r>
      <w:r>
        <w:rPr>
          <w:color w:val="000000" w:themeColor="text1"/>
          <w:sz w:val="28"/>
          <w:szCs w:val="36"/>
        </w:rPr>
        <w:t>035</w:t>
      </w:r>
      <w:r>
        <w:rPr>
          <w:rFonts w:hint="eastAsia"/>
          <w:color w:val="000000" w:themeColor="text1"/>
          <w:sz w:val="28"/>
          <w:szCs w:val="36"/>
        </w:rPr>
        <w:t>年平阴县再生水配置水量满足再生水需水量，即1882.2万m</w:t>
      </w:r>
      <w:r>
        <w:rPr>
          <w:rFonts w:hint="eastAsia"/>
          <w:color w:val="000000" w:themeColor="text1"/>
          <w:sz w:val="28"/>
          <w:szCs w:val="36"/>
          <w:vertAlign w:val="superscript"/>
        </w:rPr>
        <w:t>3</w:t>
      </w:r>
      <w:r>
        <w:rPr>
          <w:rFonts w:hint="eastAsia"/>
          <w:color w:val="000000" w:themeColor="text1"/>
          <w:sz w:val="28"/>
          <w:szCs w:val="36"/>
        </w:rPr>
        <w:t>。</w:t>
      </w:r>
    </w:p>
    <w:p w14:paraId="20D39AA4">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4</w:t>
      </w:r>
      <w:r>
        <w:rPr>
          <w:rFonts w:hint="eastAsia"/>
          <w:color w:val="000000" w:themeColor="text1"/>
          <w:sz w:val="28"/>
          <w:szCs w:val="36"/>
        </w:rPr>
        <w:t>、再生水配置方案合理性分析</w:t>
      </w:r>
    </w:p>
    <w:p w14:paraId="4A36BB04">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平阴县再生水利用现状以景观河生态补水为主，其次为工业用水和绿化灌溉及道路喷洒等城市杂用水，而且工业利用再生水属于外调水。原因是平阴县再生水厂及供水管网等配套设施建设未达到用水要求，无法满足工业企业的用水水量和水质要求，导致工业利用相邻肥城市石横热电厂的再生水。</w:t>
      </w:r>
    </w:p>
    <w:p w14:paraId="1C3C1DDE">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规划年平阴县随着社会经济发展需水量日益增加，为缓解当地水资源供需矛盾，推进污水资源化，加大再生水利用，配套建设再生水利用工程。同时结合各行业再生水利用要求配置再生水，进而减少新鲜水用水量。</w:t>
      </w:r>
    </w:p>
    <w:p w14:paraId="06F2CCA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w:t>
      </w:r>
      <w:r>
        <w:rPr>
          <w:color w:val="000000" w:themeColor="text1"/>
          <w:sz w:val="28"/>
          <w:szCs w:val="36"/>
        </w:rPr>
        <w:t>0</w:t>
      </w:r>
      <w:r>
        <w:rPr>
          <w:rFonts w:hint="eastAsia"/>
          <w:color w:val="000000" w:themeColor="text1"/>
          <w:sz w:val="28"/>
          <w:szCs w:val="36"/>
        </w:rPr>
        <w:t>30年，平阴县再生水用途依次为生态环境用水、工业用水和城市杂用水，经计算2</w:t>
      </w:r>
      <w:r>
        <w:rPr>
          <w:color w:val="000000" w:themeColor="text1"/>
          <w:sz w:val="28"/>
          <w:szCs w:val="36"/>
        </w:rPr>
        <w:t>0</w:t>
      </w:r>
      <w:r>
        <w:rPr>
          <w:rFonts w:hint="eastAsia"/>
          <w:color w:val="000000" w:themeColor="text1"/>
          <w:sz w:val="28"/>
          <w:szCs w:val="36"/>
        </w:rPr>
        <w:t>30年平阴县城市再生水利用率为70.7</w:t>
      </w:r>
      <w:r>
        <w:rPr>
          <w:color w:val="000000" w:themeColor="text1"/>
          <w:sz w:val="28"/>
          <w:szCs w:val="36"/>
        </w:rPr>
        <w:t>%</w:t>
      </w:r>
      <w:r>
        <w:rPr>
          <w:rFonts w:hint="eastAsia"/>
          <w:color w:val="000000" w:themeColor="text1"/>
          <w:sz w:val="28"/>
          <w:szCs w:val="36"/>
        </w:rPr>
        <w:t>。近期主要考虑再生水供水工程配套建设和各行业的用水需求，即以生态环境补水为主，同时优先考虑目前已配置再生水的工业企业及园区的用水需求。</w:t>
      </w:r>
    </w:p>
    <w:p w14:paraId="7F694EA9">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w:t>
      </w:r>
      <w:r>
        <w:rPr>
          <w:color w:val="000000" w:themeColor="text1"/>
          <w:sz w:val="28"/>
          <w:szCs w:val="36"/>
        </w:rPr>
        <w:t>035</w:t>
      </w:r>
      <w:r>
        <w:rPr>
          <w:rFonts w:hint="eastAsia"/>
          <w:color w:val="000000" w:themeColor="text1"/>
          <w:sz w:val="28"/>
          <w:szCs w:val="36"/>
        </w:rPr>
        <w:t>年，平阴县再生水用途依次为工业用水、生态环境补水和城市杂用水，较2</w:t>
      </w:r>
      <w:r>
        <w:rPr>
          <w:color w:val="000000" w:themeColor="text1"/>
          <w:sz w:val="28"/>
          <w:szCs w:val="36"/>
        </w:rPr>
        <w:t>0</w:t>
      </w:r>
      <w:r>
        <w:rPr>
          <w:rFonts w:hint="eastAsia"/>
          <w:color w:val="000000" w:themeColor="text1"/>
          <w:sz w:val="28"/>
          <w:szCs w:val="36"/>
        </w:rPr>
        <w:t>30年增加了481.2万</w:t>
      </w:r>
      <w:r>
        <w:rPr>
          <w:color w:val="000000" w:themeColor="text1"/>
          <w:sz w:val="28"/>
          <w:szCs w:val="36"/>
        </w:rPr>
        <w:t>m</w:t>
      </w:r>
      <w:r>
        <w:rPr>
          <w:rFonts w:hint="eastAsia"/>
          <w:bCs/>
          <w:color w:val="000000" w:themeColor="text1"/>
          <w:kern w:val="44"/>
          <w:sz w:val="28"/>
          <w:szCs w:val="28"/>
          <w:vertAlign w:val="superscript"/>
        </w:rPr>
        <w:t>3</w:t>
      </w:r>
      <w:r>
        <w:rPr>
          <w:rFonts w:hint="eastAsia"/>
          <w:color w:val="000000" w:themeColor="text1"/>
          <w:sz w:val="28"/>
          <w:szCs w:val="36"/>
        </w:rPr>
        <w:t>；经计算2</w:t>
      </w:r>
      <w:r>
        <w:rPr>
          <w:color w:val="000000" w:themeColor="text1"/>
          <w:sz w:val="28"/>
          <w:szCs w:val="36"/>
        </w:rPr>
        <w:t>035</w:t>
      </w:r>
      <w:r>
        <w:rPr>
          <w:rFonts w:hint="eastAsia"/>
          <w:color w:val="000000" w:themeColor="text1"/>
          <w:sz w:val="28"/>
          <w:szCs w:val="36"/>
        </w:rPr>
        <w:t>年平阴县城市再生水利用率为77.3</w:t>
      </w:r>
      <w:r>
        <w:rPr>
          <w:color w:val="000000" w:themeColor="text1"/>
          <w:sz w:val="28"/>
          <w:szCs w:val="36"/>
        </w:rPr>
        <w:t>%</w:t>
      </w:r>
      <w:r>
        <w:rPr>
          <w:rFonts w:hint="eastAsia"/>
          <w:color w:val="000000" w:themeColor="text1"/>
          <w:sz w:val="28"/>
          <w:szCs w:val="36"/>
        </w:rPr>
        <w:t>。远期规划平阴县继续加大推进再生水利用，配套建设再生水跨区域供水工程；提高辖区内具有再生水利用条件的工业企业对再生水的利用，如中心城区的热电产业、孔村镇的炭素产业等；同时兼顾城市杂用水和生态环境补水，其中绿化灌溉和道路喷洒全部采用再生水。通过全县各行业利用再生水，全面提升污水资源化和再生水利用水平，减少常规水资源的利用量，深挖平阴县节水潜力。</w:t>
      </w:r>
    </w:p>
    <w:p w14:paraId="4A541A2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综上分析，平阴县规划年再生水</w:t>
      </w:r>
      <w:r>
        <w:rPr>
          <w:color w:val="000000" w:themeColor="text1"/>
          <w:sz w:val="28"/>
          <w:szCs w:val="36"/>
        </w:rPr>
        <w:t>配置遵循总量控制、有效性、公平性、可持续性和协调性的基本原则，在微观角度上，水资源配置还应遵循优水优用原则，在需水预测、供水预测的基础上，按照总量控制、节约优先、统筹调配原则，</w:t>
      </w:r>
      <w:r>
        <w:rPr>
          <w:rFonts w:hint="eastAsia"/>
          <w:color w:val="000000" w:themeColor="text1"/>
          <w:sz w:val="28"/>
          <w:szCs w:val="36"/>
        </w:rPr>
        <w:t>规划</w:t>
      </w:r>
      <w:r>
        <w:rPr>
          <w:color w:val="000000" w:themeColor="text1"/>
          <w:sz w:val="28"/>
          <w:szCs w:val="36"/>
        </w:rPr>
        <w:t>进行分</w:t>
      </w:r>
      <w:r>
        <w:rPr>
          <w:rFonts w:hint="eastAsia"/>
          <w:color w:val="000000" w:themeColor="text1"/>
          <w:sz w:val="28"/>
          <w:szCs w:val="36"/>
        </w:rPr>
        <w:t>区域、分</w:t>
      </w:r>
      <w:r>
        <w:rPr>
          <w:color w:val="000000" w:themeColor="text1"/>
          <w:sz w:val="28"/>
          <w:szCs w:val="36"/>
        </w:rPr>
        <w:t>用户、分</w:t>
      </w:r>
      <w:r>
        <w:rPr>
          <w:rFonts w:hint="eastAsia"/>
          <w:color w:val="000000" w:themeColor="text1"/>
          <w:sz w:val="28"/>
          <w:szCs w:val="36"/>
        </w:rPr>
        <w:t>可利用</w:t>
      </w:r>
      <w:r>
        <w:rPr>
          <w:color w:val="000000" w:themeColor="text1"/>
          <w:sz w:val="28"/>
          <w:szCs w:val="36"/>
        </w:rPr>
        <w:t>水源</w:t>
      </w:r>
      <w:r>
        <w:rPr>
          <w:rFonts w:hint="eastAsia"/>
          <w:color w:val="000000" w:themeColor="text1"/>
          <w:sz w:val="28"/>
          <w:szCs w:val="36"/>
        </w:rPr>
        <w:t>进行再生水供水</w:t>
      </w:r>
      <w:r>
        <w:rPr>
          <w:color w:val="000000" w:themeColor="text1"/>
          <w:sz w:val="28"/>
          <w:szCs w:val="36"/>
        </w:rPr>
        <w:t>配置。</w:t>
      </w:r>
      <w:r>
        <w:rPr>
          <w:rFonts w:hint="eastAsia"/>
          <w:color w:val="000000" w:themeColor="text1"/>
          <w:sz w:val="28"/>
          <w:szCs w:val="36"/>
        </w:rPr>
        <w:t>同时本规划的再生水配置方案</w:t>
      </w:r>
      <w:r>
        <w:rPr>
          <w:color w:val="000000" w:themeColor="text1"/>
          <w:sz w:val="28"/>
          <w:szCs w:val="36"/>
        </w:rPr>
        <w:t>在遵循</w:t>
      </w:r>
      <w:r>
        <w:rPr>
          <w:rFonts w:hint="eastAsia"/>
          <w:color w:val="000000" w:themeColor="text1"/>
          <w:sz w:val="28"/>
          <w:szCs w:val="36"/>
        </w:rPr>
        <w:t>配置</w:t>
      </w:r>
      <w:r>
        <w:rPr>
          <w:color w:val="000000" w:themeColor="text1"/>
          <w:sz w:val="28"/>
          <w:szCs w:val="36"/>
        </w:rPr>
        <w:t>原则的</w:t>
      </w:r>
      <w:r>
        <w:rPr>
          <w:rFonts w:hint="eastAsia"/>
          <w:color w:val="000000" w:themeColor="text1"/>
          <w:sz w:val="28"/>
          <w:szCs w:val="36"/>
        </w:rPr>
        <w:t>基础上</w:t>
      </w:r>
      <w:r>
        <w:rPr>
          <w:color w:val="000000" w:themeColor="text1"/>
          <w:sz w:val="28"/>
          <w:szCs w:val="36"/>
        </w:rPr>
        <w:t>，还结合了</w:t>
      </w:r>
      <w:r>
        <w:rPr>
          <w:rFonts w:hint="eastAsia"/>
          <w:color w:val="000000" w:themeColor="text1"/>
          <w:sz w:val="28"/>
          <w:szCs w:val="36"/>
        </w:rPr>
        <w:t>平阴县各区域的</w:t>
      </w:r>
      <w:r>
        <w:rPr>
          <w:color w:val="000000" w:themeColor="text1"/>
          <w:sz w:val="28"/>
          <w:szCs w:val="36"/>
        </w:rPr>
        <w:t>现状</w:t>
      </w:r>
      <w:r>
        <w:rPr>
          <w:rFonts w:hint="eastAsia"/>
          <w:color w:val="000000" w:themeColor="text1"/>
          <w:sz w:val="28"/>
          <w:szCs w:val="36"/>
        </w:rPr>
        <w:t>再生水</w:t>
      </w:r>
      <w:r>
        <w:rPr>
          <w:color w:val="000000" w:themeColor="text1"/>
          <w:sz w:val="28"/>
          <w:szCs w:val="36"/>
        </w:rPr>
        <w:t>配置</w:t>
      </w:r>
      <w:r>
        <w:rPr>
          <w:rFonts w:hint="eastAsia"/>
          <w:color w:val="000000" w:themeColor="text1"/>
          <w:sz w:val="28"/>
          <w:szCs w:val="36"/>
        </w:rPr>
        <w:t>、再生水可利用</w:t>
      </w:r>
      <w:r>
        <w:rPr>
          <w:color w:val="000000" w:themeColor="text1"/>
          <w:sz w:val="28"/>
          <w:szCs w:val="36"/>
        </w:rPr>
        <w:t>情况，并将</w:t>
      </w:r>
      <w:r>
        <w:rPr>
          <w:rFonts w:hint="eastAsia"/>
          <w:color w:val="000000" w:themeColor="text1"/>
          <w:sz w:val="28"/>
          <w:szCs w:val="36"/>
        </w:rPr>
        <w:t>规划建设的再生水供水工程、跨区域供水等</w:t>
      </w:r>
      <w:r>
        <w:rPr>
          <w:color w:val="000000" w:themeColor="text1"/>
          <w:sz w:val="28"/>
          <w:szCs w:val="36"/>
        </w:rPr>
        <w:t>作为</w:t>
      </w:r>
      <w:r>
        <w:rPr>
          <w:rFonts w:hint="eastAsia"/>
          <w:color w:val="000000" w:themeColor="text1"/>
          <w:sz w:val="28"/>
          <w:szCs w:val="36"/>
        </w:rPr>
        <w:t>本次配置方案</w:t>
      </w:r>
      <w:r>
        <w:rPr>
          <w:color w:val="000000" w:themeColor="text1"/>
          <w:sz w:val="28"/>
          <w:szCs w:val="36"/>
        </w:rPr>
        <w:t>的依据</w:t>
      </w:r>
      <w:r>
        <w:rPr>
          <w:rFonts w:hint="eastAsia"/>
          <w:color w:val="000000" w:themeColor="text1"/>
          <w:sz w:val="28"/>
          <w:szCs w:val="36"/>
        </w:rPr>
        <w:t>。规划年平阴县再生水利用符合再生水利用率目标要求。平阴县</w:t>
      </w:r>
      <w:r>
        <w:rPr>
          <w:color w:val="000000" w:themeColor="text1"/>
          <w:sz w:val="28"/>
          <w:szCs w:val="36"/>
        </w:rPr>
        <w:t>规划年</w:t>
      </w:r>
      <w:r>
        <w:rPr>
          <w:rFonts w:hint="eastAsia"/>
          <w:color w:val="000000" w:themeColor="text1"/>
          <w:sz w:val="28"/>
          <w:szCs w:val="36"/>
        </w:rPr>
        <w:t>再生水</w:t>
      </w:r>
      <w:r>
        <w:rPr>
          <w:color w:val="000000" w:themeColor="text1"/>
          <w:sz w:val="28"/>
          <w:szCs w:val="36"/>
        </w:rPr>
        <w:t>配置</w:t>
      </w:r>
      <w:r>
        <w:rPr>
          <w:rFonts w:hint="eastAsia"/>
          <w:color w:val="000000" w:themeColor="text1"/>
          <w:sz w:val="28"/>
          <w:szCs w:val="36"/>
        </w:rPr>
        <w:t>方案</w:t>
      </w:r>
      <w:r>
        <w:rPr>
          <w:color w:val="000000" w:themeColor="text1"/>
          <w:sz w:val="28"/>
          <w:szCs w:val="36"/>
        </w:rPr>
        <w:t>确保</w:t>
      </w:r>
      <w:r>
        <w:rPr>
          <w:rFonts w:hint="eastAsia"/>
          <w:color w:val="000000" w:themeColor="text1"/>
          <w:sz w:val="28"/>
          <w:szCs w:val="36"/>
        </w:rPr>
        <w:t>了</w:t>
      </w:r>
      <w:r>
        <w:rPr>
          <w:color w:val="000000" w:themeColor="text1"/>
          <w:sz w:val="28"/>
          <w:szCs w:val="36"/>
        </w:rPr>
        <w:t>各水源供水量皆在可供水总量</w:t>
      </w:r>
      <w:r>
        <w:rPr>
          <w:rFonts w:hint="eastAsia"/>
          <w:color w:val="000000" w:themeColor="text1"/>
          <w:sz w:val="28"/>
          <w:szCs w:val="36"/>
        </w:rPr>
        <w:t>范围之内</w:t>
      </w:r>
      <w:r>
        <w:rPr>
          <w:color w:val="000000" w:themeColor="text1"/>
          <w:sz w:val="28"/>
          <w:szCs w:val="36"/>
        </w:rPr>
        <w:t>，各水源</w:t>
      </w:r>
      <w:r>
        <w:rPr>
          <w:rFonts w:hint="eastAsia"/>
          <w:color w:val="000000" w:themeColor="text1"/>
          <w:sz w:val="28"/>
          <w:szCs w:val="36"/>
        </w:rPr>
        <w:t>的</w:t>
      </w:r>
      <w:r>
        <w:rPr>
          <w:color w:val="000000" w:themeColor="text1"/>
          <w:sz w:val="28"/>
          <w:szCs w:val="36"/>
        </w:rPr>
        <w:t>水质可满足</w:t>
      </w:r>
      <w:r>
        <w:rPr>
          <w:rFonts w:hint="eastAsia"/>
          <w:color w:val="000000" w:themeColor="text1"/>
          <w:sz w:val="28"/>
          <w:szCs w:val="36"/>
        </w:rPr>
        <w:t>各用水户的用水</w:t>
      </w:r>
      <w:r>
        <w:rPr>
          <w:color w:val="000000" w:themeColor="text1"/>
          <w:sz w:val="28"/>
          <w:szCs w:val="36"/>
        </w:rPr>
        <w:t>要求，</w:t>
      </w:r>
      <w:r>
        <w:rPr>
          <w:rFonts w:hint="eastAsia"/>
          <w:color w:val="000000" w:themeColor="text1"/>
          <w:sz w:val="28"/>
          <w:szCs w:val="36"/>
        </w:rPr>
        <w:t>再生水</w:t>
      </w:r>
      <w:r>
        <w:rPr>
          <w:color w:val="000000" w:themeColor="text1"/>
          <w:sz w:val="28"/>
          <w:szCs w:val="36"/>
        </w:rPr>
        <w:t>配置</w:t>
      </w:r>
      <w:r>
        <w:rPr>
          <w:rFonts w:hint="eastAsia"/>
          <w:color w:val="000000" w:themeColor="text1"/>
          <w:sz w:val="28"/>
          <w:szCs w:val="36"/>
        </w:rPr>
        <w:t>方案科学</w:t>
      </w:r>
      <w:r>
        <w:rPr>
          <w:color w:val="000000" w:themeColor="text1"/>
          <w:sz w:val="28"/>
          <w:szCs w:val="36"/>
        </w:rPr>
        <w:t>合理。</w:t>
      </w:r>
    </w:p>
    <w:p w14:paraId="40A5FB7E">
      <w:pPr>
        <w:autoSpaceDE w:val="0"/>
        <w:autoSpaceDN w:val="0"/>
        <w:spacing w:line="600" w:lineRule="exact"/>
        <w:ind w:firstLine="560" w:firstLineChars="200"/>
        <w:textAlignment w:val="baseline"/>
        <w:rPr>
          <w:color w:val="000000" w:themeColor="text1"/>
          <w:sz w:val="28"/>
          <w:szCs w:val="36"/>
        </w:rPr>
      </w:pPr>
    </w:p>
    <w:p w14:paraId="73FC0AD6">
      <w:pPr>
        <w:autoSpaceDE w:val="0"/>
        <w:autoSpaceDN w:val="0"/>
        <w:spacing w:line="600" w:lineRule="exact"/>
        <w:ind w:firstLine="560" w:firstLineChars="200"/>
        <w:textAlignment w:val="baseline"/>
        <w:rPr>
          <w:color w:val="000000" w:themeColor="text1"/>
          <w:sz w:val="28"/>
          <w:szCs w:val="36"/>
        </w:rPr>
      </w:pPr>
    </w:p>
    <w:p w14:paraId="1C9582AB">
      <w:pPr>
        <w:ind w:firstLine="560" w:firstLineChars="200"/>
        <w:rPr>
          <w:color w:val="000000" w:themeColor="text1"/>
          <w:sz w:val="28"/>
          <w:szCs w:val="36"/>
        </w:rPr>
      </w:pPr>
    </w:p>
    <w:p w14:paraId="271665BE">
      <w:pPr>
        <w:autoSpaceDE w:val="0"/>
        <w:autoSpaceDN w:val="0"/>
        <w:spacing w:line="600" w:lineRule="exact"/>
        <w:ind w:firstLine="560" w:firstLineChars="200"/>
        <w:textAlignment w:val="baseline"/>
        <w:rPr>
          <w:color w:val="000000" w:themeColor="text1"/>
          <w:sz w:val="28"/>
          <w:szCs w:val="28"/>
        </w:rPr>
        <w:sectPr>
          <w:pgSz w:w="11906" w:h="16838"/>
          <w:pgMar w:top="1440" w:right="1800" w:bottom="1440" w:left="1800" w:header="1020" w:footer="992" w:gutter="0"/>
          <w:cols w:space="425" w:num="1"/>
          <w:docGrid w:linePitch="312" w:charSpace="0"/>
        </w:sectPr>
      </w:pPr>
    </w:p>
    <w:p w14:paraId="025F0F30">
      <w:pPr>
        <w:tabs>
          <w:tab w:val="center" w:pos="4535"/>
          <w:tab w:val="right" w:pos="9070"/>
        </w:tabs>
        <w:spacing w:before="240" w:beforeLines="100" w:after="360" w:afterLines="150" w:line="600" w:lineRule="exact"/>
        <w:jc w:val="center"/>
        <w:outlineLvl w:val="0"/>
        <w:rPr>
          <w:b/>
          <w:color w:val="000000" w:themeColor="text1"/>
          <w:sz w:val="44"/>
          <w:szCs w:val="36"/>
        </w:rPr>
      </w:pPr>
      <w:bookmarkStart w:id="181" w:name="_Toc55920557"/>
      <w:bookmarkStart w:id="182" w:name="_Toc181472944"/>
      <w:bookmarkStart w:id="183" w:name="_Toc144243740"/>
      <w:r>
        <w:rPr>
          <w:b/>
          <w:color w:val="000000" w:themeColor="text1"/>
          <w:sz w:val="44"/>
          <w:szCs w:val="36"/>
        </w:rPr>
        <w:t>第</w:t>
      </w:r>
      <w:r>
        <w:rPr>
          <w:rFonts w:hint="eastAsia"/>
          <w:b/>
          <w:color w:val="000000" w:themeColor="text1"/>
          <w:sz w:val="44"/>
          <w:szCs w:val="36"/>
        </w:rPr>
        <w:t>七</w:t>
      </w:r>
      <w:r>
        <w:rPr>
          <w:b/>
          <w:color w:val="000000" w:themeColor="text1"/>
          <w:sz w:val="44"/>
          <w:szCs w:val="36"/>
        </w:rPr>
        <w:t xml:space="preserve">章  </w:t>
      </w:r>
      <w:bookmarkEnd w:id="181"/>
      <w:r>
        <w:rPr>
          <w:b/>
          <w:color w:val="000000" w:themeColor="text1"/>
          <w:sz w:val="44"/>
          <w:szCs w:val="36"/>
        </w:rPr>
        <w:t>再生水利用工程布局</w:t>
      </w:r>
      <w:bookmarkEnd w:id="182"/>
      <w:bookmarkEnd w:id="183"/>
    </w:p>
    <w:p w14:paraId="2B7FCE28">
      <w:pPr>
        <w:snapToGrid w:val="0"/>
        <w:spacing w:before="120" w:beforeLines="50" w:after="120" w:afterLines="50" w:line="600" w:lineRule="exact"/>
        <w:outlineLvl w:val="1"/>
        <w:rPr>
          <w:b/>
          <w:color w:val="000000" w:themeColor="text1"/>
          <w:sz w:val="30"/>
          <w:szCs w:val="30"/>
        </w:rPr>
      </w:pPr>
      <w:bookmarkStart w:id="184" w:name="_Toc144243741"/>
      <w:bookmarkStart w:id="185" w:name="_Toc181472945"/>
      <w:r>
        <w:rPr>
          <w:b/>
          <w:color w:val="000000" w:themeColor="text1"/>
          <w:sz w:val="30"/>
          <w:szCs w:val="30"/>
        </w:rPr>
        <w:t>7.1 再生水利用工程总体布局</w:t>
      </w:r>
      <w:bookmarkEnd w:id="184"/>
      <w:bookmarkEnd w:id="185"/>
    </w:p>
    <w:p w14:paraId="24F0BB36">
      <w:pPr>
        <w:autoSpaceDE w:val="0"/>
        <w:autoSpaceDN w:val="0"/>
        <w:adjustRightInd w:val="0"/>
        <w:snapToGrid w:val="0"/>
        <w:spacing w:line="600" w:lineRule="exact"/>
        <w:textAlignment w:val="bottom"/>
        <w:outlineLvl w:val="2"/>
        <w:rPr>
          <w:b/>
          <w:color w:val="000000" w:themeColor="text1"/>
          <w:sz w:val="28"/>
          <w:szCs w:val="28"/>
        </w:rPr>
      </w:pPr>
      <w:bookmarkStart w:id="186" w:name="_Toc144243742"/>
      <w:bookmarkStart w:id="187" w:name="_Toc143780513"/>
      <w:r>
        <w:rPr>
          <w:b/>
          <w:color w:val="000000" w:themeColor="text1"/>
          <w:sz w:val="28"/>
          <w:szCs w:val="28"/>
        </w:rPr>
        <w:t xml:space="preserve">7.1.1 </w:t>
      </w:r>
      <w:r>
        <w:rPr>
          <w:rFonts w:hint="eastAsia"/>
          <w:b/>
          <w:color w:val="000000" w:themeColor="text1"/>
          <w:sz w:val="28"/>
          <w:szCs w:val="28"/>
        </w:rPr>
        <w:t>再生水利用模式</w:t>
      </w:r>
      <w:bookmarkEnd w:id="186"/>
      <w:bookmarkEnd w:id="187"/>
    </w:p>
    <w:p w14:paraId="7626BF3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据调查，再生水利用模式有集中再生水处理、分散再生水处理两种。</w:t>
      </w:r>
    </w:p>
    <w:p w14:paraId="2C6F1C1D">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1</w:t>
      </w:r>
      <w:r>
        <w:rPr>
          <w:rFonts w:hint="eastAsia"/>
          <w:color w:val="000000" w:themeColor="text1"/>
          <w:sz w:val="28"/>
          <w:szCs w:val="36"/>
        </w:rPr>
        <w:t>、集中模式</w:t>
      </w:r>
    </w:p>
    <w:p w14:paraId="4E2980CE">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集中模式是将污水通过市政污水管道排放至相应的污水处理厂，污水经净化处理后出水再经深度处理，根据利用用途，通过市政统一敷设的再生水管道送至利用地点，满足工业企业、市政绿化、道路浇洒等方面使用。</w:t>
      </w:r>
    </w:p>
    <w:p w14:paraId="0B29510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2、分散模式</w:t>
      </w:r>
    </w:p>
    <w:p w14:paraId="2E2695F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分散模式是指居住小区、大型公共建筑、学校、宾馆等大型场所实行污水就地收集，就地利用，以满足绿化、冲厕的用水需求。</w:t>
      </w:r>
    </w:p>
    <w:p w14:paraId="049BF9A4">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通过实地调研，结合平阴县各区域的再生水可利用情况和各行业的需水情况，就平阴县两种再生水利用模式加以方案比较，方案比较如表</w:t>
      </w:r>
      <w:r>
        <w:rPr>
          <w:color w:val="000000" w:themeColor="text1"/>
          <w:sz w:val="28"/>
          <w:szCs w:val="36"/>
        </w:rPr>
        <w:t>7.1-1</w:t>
      </w:r>
      <w:r>
        <w:rPr>
          <w:rFonts w:hint="eastAsia"/>
          <w:color w:val="000000" w:themeColor="text1"/>
          <w:sz w:val="28"/>
          <w:szCs w:val="36"/>
        </w:rPr>
        <w:t>所示。</w:t>
      </w:r>
    </w:p>
    <w:p w14:paraId="0C6C6263">
      <w:pPr>
        <w:autoSpaceDE w:val="0"/>
        <w:autoSpaceDN w:val="0"/>
        <w:spacing w:line="600" w:lineRule="exact"/>
        <w:jc w:val="center"/>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 xml:space="preserve">7.1-1  </w:t>
      </w:r>
      <w:r>
        <w:rPr>
          <w:rFonts w:hint="eastAsia"/>
          <w:b/>
          <w:bCs/>
          <w:color w:val="000000" w:themeColor="text1"/>
          <w:sz w:val="24"/>
          <w:szCs w:val="32"/>
        </w:rPr>
        <w:t>平阴县再生水利用模式对比表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693"/>
        <w:gridCol w:w="4728"/>
      </w:tblGrid>
      <w:tr w14:paraId="29048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101" w:type="dxa"/>
            <w:vAlign w:val="center"/>
          </w:tcPr>
          <w:p w14:paraId="302B39A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项目</w:t>
            </w:r>
          </w:p>
        </w:tc>
        <w:tc>
          <w:tcPr>
            <w:tcW w:w="2693" w:type="dxa"/>
            <w:vAlign w:val="center"/>
          </w:tcPr>
          <w:p w14:paraId="054F56F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集中模式</w:t>
            </w:r>
          </w:p>
        </w:tc>
        <w:tc>
          <w:tcPr>
            <w:tcW w:w="4728" w:type="dxa"/>
            <w:vAlign w:val="center"/>
          </w:tcPr>
          <w:p w14:paraId="4FC739E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分散模式</w:t>
            </w:r>
          </w:p>
        </w:tc>
      </w:tr>
      <w:tr w14:paraId="29ED8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01" w:type="dxa"/>
            <w:vAlign w:val="center"/>
          </w:tcPr>
          <w:p w14:paraId="2DC51DD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模式类别</w:t>
            </w:r>
          </w:p>
        </w:tc>
        <w:tc>
          <w:tcPr>
            <w:tcW w:w="2693" w:type="dxa"/>
            <w:vAlign w:val="center"/>
          </w:tcPr>
          <w:p w14:paraId="7E1632B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政府统一规划建设污水收集及处理厂站，污水统一收集至污水</w:t>
            </w:r>
            <w:r>
              <w:rPr>
                <w:rFonts w:hint="eastAsia"/>
                <w:color w:val="000000" w:themeColor="text1"/>
                <w:kern w:val="0"/>
                <w:sz w:val="22"/>
                <w:szCs w:val="22"/>
              </w:rPr>
              <w:t>处理</w:t>
            </w:r>
            <w:r>
              <w:rPr>
                <w:color w:val="000000" w:themeColor="text1"/>
                <w:kern w:val="0"/>
                <w:sz w:val="22"/>
                <w:szCs w:val="22"/>
              </w:rPr>
              <w:t>厂，统一利用</w:t>
            </w:r>
          </w:p>
        </w:tc>
        <w:tc>
          <w:tcPr>
            <w:tcW w:w="4728" w:type="dxa"/>
            <w:vAlign w:val="center"/>
          </w:tcPr>
          <w:p w14:paraId="34A49B7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污水分散收集至再生水站，分散利用</w:t>
            </w:r>
          </w:p>
        </w:tc>
      </w:tr>
      <w:tr w14:paraId="72878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01" w:type="dxa"/>
            <w:vAlign w:val="center"/>
          </w:tcPr>
          <w:p w14:paraId="177C682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适用条件</w:t>
            </w:r>
          </w:p>
        </w:tc>
        <w:tc>
          <w:tcPr>
            <w:tcW w:w="2693" w:type="dxa"/>
            <w:vAlign w:val="center"/>
          </w:tcPr>
          <w:p w14:paraId="1AB45BE3">
            <w:pPr>
              <w:widowControl/>
              <w:adjustRightInd w:val="0"/>
              <w:snapToGrid w:val="0"/>
              <w:ind w:left="-105" w:leftChars="-50" w:right="-105" w:rightChars="-50"/>
              <w:rPr>
                <w:color w:val="000000" w:themeColor="text1"/>
                <w:kern w:val="0"/>
                <w:sz w:val="22"/>
                <w:szCs w:val="22"/>
              </w:rPr>
            </w:pPr>
            <w:r>
              <w:rPr>
                <w:color w:val="000000" w:themeColor="text1"/>
                <w:kern w:val="0"/>
                <w:sz w:val="22"/>
                <w:szCs w:val="22"/>
              </w:rPr>
              <w:t>平阴县排水管网覆盖中心城区及各城镇，远期规划范围，具备集中利用模式条件。</w:t>
            </w:r>
          </w:p>
        </w:tc>
        <w:tc>
          <w:tcPr>
            <w:tcW w:w="4728" w:type="dxa"/>
            <w:vAlign w:val="center"/>
          </w:tcPr>
          <w:p w14:paraId="55FDC9D4">
            <w:pPr>
              <w:widowControl/>
              <w:adjustRightInd w:val="0"/>
              <w:snapToGrid w:val="0"/>
              <w:ind w:left="-105" w:leftChars="-50" w:right="-105" w:rightChars="-50"/>
              <w:rPr>
                <w:color w:val="000000" w:themeColor="text1"/>
                <w:kern w:val="0"/>
                <w:sz w:val="22"/>
                <w:szCs w:val="22"/>
              </w:rPr>
            </w:pPr>
            <w:r>
              <w:rPr>
                <w:color w:val="000000" w:themeColor="text1"/>
                <w:kern w:val="0"/>
                <w:sz w:val="22"/>
                <w:szCs w:val="22"/>
              </w:rPr>
              <w:t>1、污水管网及再生水管网未覆盖的孤立区域；</w:t>
            </w:r>
          </w:p>
          <w:p w14:paraId="76364F6C">
            <w:pPr>
              <w:widowControl/>
              <w:adjustRightInd w:val="0"/>
              <w:snapToGrid w:val="0"/>
              <w:ind w:left="-105" w:leftChars="-50" w:right="-105" w:rightChars="-50"/>
              <w:rPr>
                <w:color w:val="000000" w:themeColor="text1"/>
                <w:kern w:val="0"/>
                <w:sz w:val="22"/>
                <w:szCs w:val="22"/>
              </w:rPr>
            </w:pPr>
            <w:r>
              <w:rPr>
                <w:color w:val="000000" w:themeColor="text1"/>
                <w:kern w:val="0"/>
                <w:sz w:val="22"/>
                <w:szCs w:val="22"/>
              </w:rPr>
              <w:t>2、新建小区，建筑面积2万m</w:t>
            </w:r>
            <w:r>
              <w:rPr>
                <w:color w:val="000000" w:themeColor="text1"/>
                <w:kern w:val="0"/>
                <w:sz w:val="22"/>
                <w:szCs w:val="22"/>
                <w:vertAlign w:val="superscript"/>
              </w:rPr>
              <w:t>2</w:t>
            </w:r>
            <w:r>
              <w:rPr>
                <w:color w:val="000000" w:themeColor="text1"/>
                <w:kern w:val="0"/>
                <w:sz w:val="22"/>
                <w:szCs w:val="22"/>
              </w:rPr>
              <w:t>以上的用水部门，如大中专院校等；</w:t>
            </w:r>
          </w:p>
          <w:p w14:paraId="1435E464">
            <w:pPr>
              <w:widowControl/>
              <w:adjustRightInd w:val="0"/>
              <w:snapToGrid w:val="0"/>
              <w:ind w:left="-105" w:leftChars="-50" w:right="-105" w:rightChars="-50"/>
              <w:rPr>
                <w:color w:val="000000" w:themeColor="text1"/>
                <w:kern w:val="0"/>
                <w:sz w:val="22"/>
                <w:szCs w:val="22"/>
              </w:rPr>
            </w:pPr>
            <w:r>
              <w:rPr>
                <w:color w:val="000000" w:themeColor="text1"/>
                <w:kern w:val="0"/>
                <w:sz w:val="22"/>
                <w:szCs w:val="22"/>
              </w:rPr>
              <w:t>3、水量超过一定数量的独立工业企业及成片开发工业区</w:t>
            </w:r>
            <w:r>
              <w:rPr>
                <w:rFonts w:hint="eastAsia"/>
                <w:color w:val="000000" w:themeColor="text1"/>
                <w:kern w:val="0"/>
                <w:sz w:val="22"/>
                <w:szCs w:val="22"/>
              </w:rPr>
              <w:t>。</w:t>
            </w:r>
          </w:p>
        </w:tc>
      </w:tr>
      <w:tr w14:paraId="7B95A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01" w:type="dxa"/>
            <w:vAlign w:val="center"/>
          </w:tcPr>
          <w:p w14:paraId="54D53C2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投资</w:t>
            </w:r>
          </w:p>
        </w:tc>
        <w:tc>
          <w:tcPr>
            <w:tcW w:w="2693" w:type="dxa"/>
            <w:vAlign w:val="center"/>
          </w:tcPr>
          <w:p w14:paraId="13708626">
            <w:pPr>
              <w:widowControl/>
              <w:adjustRightInd w:val="0"/>
              <w:snapToGrid w:val="0"/>
              <w:ind w:left="-105" w:leftChars="-50" w:right="-105" w:rightChars="-50"/>
              <w:rPr>
                <w:color w:val="000000" w:themeColor="text1"/>
                <w:kern w:val="0"/>
                <w:sz w:val="22"/>
                <w:szCs w:val="22"/>
              </w:rPr>
            </w:pPr>
            <w:r>
              <w:rPr>
                <w:color w:val="000000" w:themeColor="text1"/>
                <w:kern w:val="0"/>
                <w:sz w:val="22"/>
                <w:szCs w:val="22"/>
              </w:rPr>
              <w:t>污水</w:t>
            </w:r>
            <w:r>
              <w:rPr>
                <w:rFonts w:hint="eastAsia"/>
                <w:color w:val="000000" w:themeColor="text1"/>
                <w:kern w:val="0"/>
                <w:sz w:val="22"/>
                <w:szCs w:val="22"/>
              </w:rPr>
              <w:t>处理</w:t>
            </w:r>
            <w:r>
              <w:rPr>
                <w:color w:val="000000" w:themeColor="text1"/>
                <w:kern w:val="0"/>
                <w:sz w:val="22"/>
                <w:szCs w:val="22"/>
              </w:rPr>
              <w:t>厂投资＋再生水厂投资＋污水收集管道建设费＋再生水供水管道建设费，政府一次性投资大</w:t>
            </w:r>
          </w:p>
        </w:tc>
        <w:tc>
          <w:tcPr>
            <w:tcW w:w="4728" w:type="dxa"/>
            <w:vAlign w:val="center"/>
          </w:tcPr>
          <w:p w14:paraId="5ED71035">
            <w:pPr>
              <w:widowControl/>
              <w:adjustRightInd w:val="0"/>
              <w:snapToGrid w:val="0"/>
              <w:ind w:left="-105" w:leftChars="-50" w:right="-105" w:rightChars="-50"/>
              <w:rPr>
                <w:color w:val="000000" w:themeColor="text1"/>
                <w:kern w:val="0"/>
                <w:sz w:val="22"/>
                <w:szCs w:val="22"/>
              </w:rPr>
            </w:pPr>
            <w:r>
              <w:rPr>
                <w:color w:val="000000" w:themeColor="text1"/>
                <w:kern w:val="0"/>
                <w:sz w:val="22"/>
                <w:szCs w:val="22"/>
              </w:rPr>
              <w:t>再生水站投资＋小区内污水收集管道建设费＋再生水供水管道建设费，资金转移至开发商，一次性投资小</w:t>
            </w:r>
          </w:p>
        </w:tc>
      </w:tr>
      <w:tr w14:paraId="6730F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01" w:type="dxa"/>
            <w:vAlign w:val="center"/>
          </w:tcPr>
          <w:p w14:paraId="375FE2E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运行管理</w:t>
            </w:r>
          </w:p>
        </w:tc>
        <w:tc>
          <w:tcPr>
            <w:tcW w:w="2693" w:type="dxa"/>
            <w:vAlign w:val="center"/>
          </w:tcPr>
          <w:p w14:paraId="749003B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集中统一管理，效率高</w:t>
            </w:r>
          </w:p>
        </w:tc>
        <w:tc>
          <w:tcPr>
            <w:tcW w:w="4728" w:type="dxa"/>
            <w:vAlign w:val="center"/>
          </w:tcPr>
          <w:p w14:paraId="53EA865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分散管理，效率低</w:t>
            </w:r>
          </w:p>
        </w:tc>
      </w:tr>
      <w:tr w14:paraId="51BB6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01" w:type="dxa"/>
            <w:vAlign w:val="center"/>
          </w:tcPr>
          <w:p w14:paraId="5C9963A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安全卫生</w:t>
            </w:r>
          </w:p>
        </w:tc>
        <w:tc>
          <w:tcPr>
            <w:tcW w:w="2693" w:type="dxa"/>
            <w:vAlign w:val="center"/>
          </w:tcPr>
          <w:p w14:paraId="03921C4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水质等有保障</w:t>
            </w:r>
          </w:p>
        </w:tc>
        <w:tc>
          <w:tcPr>
            <w:tcW w:w="4728" w:type="dxa"/>
            <w:vAlign w:val="center"/>
          </w:tcPr>
          <w:p w14:paraId="1752776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卫生保障低，有安全风险</w:t>
            </w:r>
          </w:p>
        </w:tc>
      </w:tr>
    </w:tbl>
    <w:p w14:paraId="46BAC073">
      <w:pPr>
        <w:autoSpaceDE w:val="0"/>
        <w:autoSpaceDN w:val="0"/>
        <w:adjustRightInd w:val="0"/>
        <w:snapToGrid w:val="0"/>
        <w:spacing w:line="600" w:lineRule="exact"/>
        <w:textAlignment w:val="bottom"/>
        <w:outlineLvl w:val="2"/>
        <w:rPr>
          <w:b/>
          <w:color w:val="000000" w:themeColor="text1"/>
          <w:sz w:val="28"/>
          <w:szCs w:val="28"/>
        </w:rPr>
      </w:pPr>
      <w:bookmarkStart w:id="188" w:name="_Toc144243743"/>
      <w:bookmarkStart w:id="189" w:name="_Toc143780514"/>
      <w:r>
        <w:rPr>
          <w:b/>
          <w:color w:val="000000" w:themeColor="text1"/>
          <w:sz w:val="28"/>
          <w:szCs w:val="28"/>
        </w:rPr>
        <w:t xml:space="preserve">7.1.2 </w:t>
      </w:r>
      <w:r>
        <w:rPr>
          <w:rFonts w:hint="eastAsia"/>
          <w:b/>
          <w:color w:val="000000" w:themeColor="text1"/>
          <w:sz w:val="28"/>
          <w:szCs w:val="28"/>
        </w:rPr>
        <w:t>再生水利用分区</w:t>
      </w:r>
      <w:bookmarkEnd w:id="188"/>
      <w:bookmarkEnd w:id="189"/>
    </w:p>
    <w:p w14:paraId="50115214">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为系统全面、技术可行、经济合理地制定再生水用户规划，宜按照分期（近、远期）、分区的原则进行。在分区制定时，综合考虑平阴县行政区划及自然地理条件，将全县划分为一区六镇，其中：</w:t>
      </w:r>
    </w:p>
    <w:p w14:paraId="27E75D2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一区是指：平阴县中心城区，行政区划包括锦水街道和榆山街道。</w:t>
      </w:r>
    </w:p>
    <w:p w14:paraId="633D531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六镇是指：结合行政区划和地理条件，分为安城镇、玫瑰镇、东阿镇、孔村镇、孝直镇和洪范池镇。</w:t>
      </w:r>
    </w:p>
    <w:p w14:paraId="68F3F72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平阴县再生水利用分区详见表</w:t>
      </w:r>
      <w:r>
        <w:rPr>
          <w:color w:val="000000" w:themeColor="text1"/>
          <w:sz w:val="28"/>
          <w:szCs w:val="36"/>
        </w:rPr>
        <w:t>7.1-2</w:t>
      </w:r>
      <w:r>
        <w:rPr>
          <w:rFonts w:hint="eastAsia"/>
          <w:color w:val="000000" w:themeColor="text1"/>
          <w:sz w:val="28"/>
          <w:szCs w:val="36"/>
        </w:rPr>
        <w:t>所示。</w:t>
      </w:r>
    </w:p>
    <w:p w14:paraId="00FBF78E">
      <w:pPr>
        <w:autoSpaceDE w:val="0"/>
        <w:autoSpaceDN w:val="0"/>
        <w:spacing w:line="600" w:lineRule="exact"/>
        <w:jc w:val="center"/>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 xml:space="preserve">7.1-2  </w:t>
      </w:r>
      <w:r>
        <w:rPr>
          <w:rFonts w:hint="eastAsia"/>
          <w:b/>
          <w:bCs/>
          <w:color w:val="000000" w:themeColor="text1"/>
          <w:sz w:val="24"/>
          <w:szCs w:val="32"/>
        </w:rPr>
        <w:t>平阴县再生水利用分区统计表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2366"/>
        <w:gridCol w:w="4740"/>
      </w:tblGrid>
      <w:tr w14:paraId="26D01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177A6EB0">
            <w:pPr>
              <w:widowControl/>
              <w:adjustRightInd w:val="0"/>
              <w:snapToGrid w:val="0"/>
              <w:jc w:val="center"/>
              <w:rPr>
                <w:color w:val="000000" w:themeColor="text1"/>
                <w:kern w:val="0"/>
                <w:sz w:val="22"/>
                <w:szCs w:val="22"/>
              </w:rPr>
            </w:pPr>
            <w:r>
              <w:rPr>
                <w:color w:val="000000" w:themeColor="text1"/>
                <w:kern w:val="0"/>
                <w:sz w:val="22"/>
                <w:szCs w:val="22"/>
              </w:rPr>
              <w:t>序号</w:t>
            </w:r>
          </w:p>
        </w:tc>
        <w:tc>
          <w:tcPr>
            <w:tcW w:w="1388" w:type="pct"/>
            <w:noWrap/>
            <w:vAlign w:val="center"/>
          </w:tcPr>
          <w:p w14:paraId="4EF50F8F">
            <w:pPr>
              <w:widowControl/>
              <w:adjustRightInd w:val="0"/>
              <w:snapToGrid w:val="0"/>
              <w:jc w:val="center"/>
              <w:rPr>
                <w:color w:val="000000" w:themeColor="text1"/>
                <w:kern w:val="0"/>
                <w:sz w:val="22"/>
                <w:szCs w:val="22"/>
              </w:rPr>
            </w:pPr>
            <w:r>
              <w:rPr>
                <w:color w:val="000000" w:themeColor="text1"/>
                <w:kern w:val="0"/>
                <w:sz w:val="22"/>
                <w:szCs w:val="22"/>
              </w:rPr>
              <w:t>分区</w:t>
            </w:r>
          </w:p>
        </w:tc>
        <w:tc>
          <w:tcPr>
            <w:tcW w:w="2781" w:type="pct"/>
            <w:noWrap/>
            <w:vAlign w:val="center"/>
          </w:tcPr>
          <w:p w14:paraId="2A62AE94">
            <w:pPr>
              <w:widowControl/>
              <w:adjustRightInd w:val="0"/>
              <w:snapToGrid w:val="0"/>
              <w:jc w:val="center"/>
              <w:rPr>
                <w:color w:val="000000" w:themeColor="text1"/>
                <w:kern w:val="0"/>
                <w:sz w:val="22"/>
                <w:szCs w:val="22"/>
              </w:rPr>
            </w:pPr>
            <w:r>
              <w:rPr>
                <w:color w:val="000000" w:themeColor="text1"/>
                <w:kern w:val="0"/>
                <w:sz w:val="22"/>
                <w:szCs w:val="22"/>
              </w:rPr>
              <w:t>所</w:t>
            </w:r>
            <w:r>
              <w:rPr>
                <w:rFonts w:hint="eastAsia"/>
                <w:color w:val="000000" w:themeColor="text1"/>
                <w:kern w:val="0"/>
                <w:sz w:val="22"/>
                <w:szCs w:val="22"/>
                <w:lang w:val="en-US" w:eastAsia="zh-CN"/>
              </w:rPr>
              <w:t>属</w:t>
            </w:r>
            <w:r>
              <w:rPr>
                <w:color w:val="000000" w:themeColor="text1"/>
                <w:kern w:val="0"/>
                <w:sz w:val="22"/>
                <w:szCs w:val="22"/>
              </w:rPr>
              <w:t>行政区划</w:t>
            </w:r>
          </w:p>
        </w:tc>
      </w:tr>
      <w:tr w14:paraId="421EA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1920EB4D">
            <w:pPr>
              <w:widowControl/>
              <w:adjustRightInd w:val="0"/>
              <w:snapToGrid w:val="0"/>
              <w:jc w:val="center"/>
              <w:rPr>
                <w:color w:val="000000" w:themeColor="text1"/>
                <w:kern w:val="0"/>
                <w:sz w:val="22"/>
                <w:szCs w:val="22"/>
              </w:rPr>
            </w:pPr>
            <w:r>
              <w:rPr>
                <w:color w:val="000000" w:themeColor="text1"/>
                <w:kern w:val="0"/>
                <w:sz w:val="22"/>
                <w:szCs w:val="22"/>
              </w:rPr>
              <w:t>1</w:t>
            </w:r>
          </w:p>
        </w:tc>
        <w:tc>
          <w:tcPr>
            <w:tcW w:w="1388" w:type="pct"/>
            <w:noWrap/>
            <w:vAlign w:val="center"/>
          </w:tcPr>
          <w:p w14:paraId="1EEFA07F">
            <w:pPr>
              <w:widowControl/>
              <w:adjustRightInd w:val="0"/>
              <w:snapToGrid w:val="0"/>
              <w:jc w:val="center"/>
              <w:rPr>
                <w:color w:val="000000" w:themeColor="text1"/>
                <w:kern w:val="0"/>
                <w:sz w:val="22"/>
                <w:szCs w:val="22"/>
              </w:rPr>
            </w:pPr>
            <w:r>
              <w:rPr>
                <w:color w:val="000000" w:themeColor="text1"/>
                <w:kern w:val="0"/>
                <w:sz w:val="22"/>
                <w:szCs w:val="22"/>
              </w:rPr>
              <w:t>中心城区</w:t>
            </w:r>
          </w:p>
        </w:tc>
        <w:tc>
          <w:tcPr>
            <w:tcW w:w="2781" w:type="pct"/>
            <w:noWrap/>
            <w:vAlign w:val="center"/>
          </w:tcPr>
          <w:p w14:paraId="69ECF277">
            <w:pPr>
              <w:widowControl/>
              <w:adjustRightInd w:val="0"/>
              <w:snapToGrid w:val="0"/>
              <w:jc w:val="center"/>
              <w:rPr>
                <w:color w:val="000000" w:themeColor="text1"/>
                <w:kern w:val="0"/>
                <w:sz w:val="22"/>
                <w:szCs w:val="22"/>
              </w:rPr>
            </w:pPr>
            <w:r>
              <w:rPr>
                <w:color w:val="000000" w:themeColor="text1"/>
                <w:kern w:val="0"/>
                <w:sz w:val="22"/>
                <w:szCs w:val="22"/>
              </w:rPr>
              <w:t>锦水街道、榆山街道</w:t>
            </w:r>
          </w:p>
        </w:tc>
      </w:tr>
      <w:tr w14:paraId="42764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2BF70CCC">
            <w:pPr>
              <w:widowControl/>
              <w:adjustRightInd w:val="0"/>
              <w:snapToGrid w:val="0"/>
              <w:jc w:val="center"/>
              <w:rPr>
                <w:color w:val="000000" w:themeColor="text1"/>
                <w:kern w:val="0"/>
                <w:sz w:val="22"/>
                <w:szCs w:val="22"/>
              </w:rPr>
            </w:pPr>
            <w:r>
              <w:rPr>
                <w:color w:val="000000" w:themeColor="text1"/>
                <w:kern w:val="0"/>
                <w:sz w:val="22"/>
                <w:szCs w:val="22"/>
              </w:rPr>
              <w:t>2</w:t>
            </w:r>
          </w:p>
        </w:tc>
        <w:tc>
          <w:tcPr>
            <w:tcW w:w="1388" w:type="pct"/>
            <w:noWrap/>
            <w:vAlign w:val="center"/>
          </w:tcPr>
          <w:p w14:paraId="3FB2BB83">
            <w:pPr>
              <w:widowControl/>
              <w:adjustRightInd w:val="0"/>
              <w:snapToGrid w:val="0"/>
              <w:jc w:val="center"/>
              <w:rPr>
                <w:color w:val="000000" w:themeColor="text1"/>
                <w:kern w:val="0"/>
                <w:sz w:val="22"/>
                <w:szCs w:val="22"/>
              </w:rPr>
            </w:pPr>
            <w:r>
              <w:rPr>
                <w:color w:val="000000" w:themeColor="text1"/>
                <w:kern w:val="0"/>
                <w:sz w:val="22"/>
                <w:szCs w:val="22"/>
              </w:rPr>
              <w:t>安城镇</w:t>
            </w:r>
          </w:p>
        </w:tc>
        <w:tc>
          <w:tcPr>
            <w:tcW w:w="2781" w:type="pct"/>
            <w:noWrap/>
            <w:vAlign w:val="center"/>
          </w:tcPr>
          <w:p w14:paraId="46D05C6B">
            <w:pPr>
              <w:widowControl/>
              <w:adjustRightInd w:val="0"/>
              <w:snapToGrid w:val="0"/>
              <w:jc w:val="center"/>
              <w:rPr>
                <w:color w:val="000000" w:themeColor="text1"/>
                <w:kern w:val="0"/>
                <w:sz w:val="22"/>
                <w:szCs w:val="22"/>
              </w:rPr>
            </w:pPr>
            <w:r>
              <w:rPr>
                <w:color w:val="000000" w:themeColor="text1"/>
                <w:kern w:val="0"/>
                <w:sz w:val="22"/>
                <w:szCs w:val="22"/>
              </w:rPr>
              <w:t>安城镇</w:t>
            </w:r>
          </w:p>
        </w:tc>
      </w:tr>
      <w:tr w14:paraId="5C886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4EADF9B0">
            <w:pPr>
              <w:widowControl/>
              <w:adjustRightInd w:val="0"/>
              <w:snapToGrid w:val="0"/>
              <w:jc w:val="center"/>
              <w:rPr>
                <w:color w:val="000000" w:themeColor="text1"/>
                <w:kern w:val="0"/>
                <w:sz w:val="22"/>
                <w:szCs w:val="22"/>
              </w:rPr>
            </w:pPr>
            <w:r>
              <w:rPr>
                <w:color w:val="000000" w:themeColor="text1"/>
                <w:kern w:val="0"/>
                <w:sz w:val="22"/>
                <w:szCs w:val="22"/>
              </w:rPr>
              <w:t>3</w:t>
            </w:r>
          </w:p>
        </w:tc>
        <w:tc>
          <w:tcPr>
            <w:tcW w:w="1388" w:type="pct"/>
            <w:vAlign w:val="center"/>
          </w:tcPr>
          <w:p w14:paraId="0350A9D6">
            <w:pPr>
              <w:widowControl/>
              <w:adjustRightInd w:val="0"/>
              <w:snapToGrid w:val="0"/>
              <w:jc w:val="center"/>
              <w:rPr>
                <w:color w:val="000000" w:themeColor="text1"/>
                <w:kern w:val="0"/>
                <w:sz w:val="22"/>
                <w:szCs w:val="22"/>
              </w:rPr>
            </w:pPr>
            <w:r>
              <w:rPr>
                <w:color w:val="000000" w:themeColor="text1"/>
                <w:kern w:val="0"/>
                <w:sz w:val="22"/>
                <w:szCs w:val="22"/>
              </w:rPr>
              <w:t>东阿镇</w:t>
            </w:r>
          </w:p>
        </w:tc>
        <w:tc>
          <w:tcPr>
            <w:tcW w:w="2781" w:type="pct"/>
            <w:vAlign w:val="center"/>
          </w:tcPr>
          <w:p w14:paraId="48902280">
            <w:pPr>
              <w:widowControl/>
              <w:adjustRightInd w:val="0"/>
              <w:snapToGrid w:val="0"/>
              <w:jc w:val="center"/>
              <w:rPr>
                <w:color w:val="000000" w:themeColor="text1"/>
                <w:kern w:val="0"/>
                <w:sz w:val="22"/>
                <w:szCs w:val="22"/>
              </w:rPr>
            </w:pPr>
            <w:r>
              <w:rPr>
                <w:color w:val="000000" w:themeColor="text1"/>
                <w:kern w:val="0"/>
                <w:sz w:val="22"/>
                <w:szCs w:val="22"/>
              </w:rPr>
              <w:t>东阿镇</w:t>
            </w:r>
          </w:p>
        </w:tc>
      </w:tr>
      <w:tr w14:paraId="27436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77A4871B">
            <w:pPr>
              <w:widowControl/>
              <w:adjustRightInd w:val="0"/>
              <w:snapToGrid w:val="0"/>
              <w:jc w:val="center"/>
              <w:rPr>
                <w:color w:val="000000" w:themeColor="text1"/>
                <w:kern w:val="0"/>
                <w:sz w:val="22"/>
                <w:szCs w:val="22"/>
              </w:rPr>
            </w:pPr>
            <w:r>
              <w:rPr>
                <w:color w:val="000000" w:themeColor="text1"/>
                <w:kern w:val="0"/>
                <w:sz w:val="22"/>
                <w:szCs w:val="22"/>
              </w:rPr>
              <w:t>4</w:t>
            </w:r>
          </w:p>
        </w:tc>
        <w:tc>
          <w:tcPr>
            <w:tcW w:w="1388" w:type="pct"/>
            <w:vAlign w:val="center"/>
          </w:tcPr>
          <w:p w14:paraId="7DE0021A">
            <w:pPr>
              <w:widowControl/>
              <w:adjustRightInd w:val="0"/>
              <w:snapToGrid w:val="0"/>
              <w:jc w:val="center"/>
              <w:rPr>
                <w:color w:val="000000" w:themeColor="text1"/>
                <w:kern w:val="0"/>
                <w:sz w:val="22"/>
                <w:szCs w:val="22"/>
              </w:rPr>
            </w:pPr>
            <w:r>
              <w:rPr>
                <w:color w:val="000000" w:themeColor="text1"/>
                <w:kern w:val="0"/>
                <w:sz w:val="22"/>
                <w:szCs w:val="22"/>
              </w:rPr>
              <w:t>孔村镇</w:t>
            </w:r>
          </w:p>
        </w:tc>
        <w:tc>
          <w:tcPr>
            <w:tcW w:w="2781" w:type="pct"/>
            <w:vAlign w:val="center"/>
          </w:tcPr>
          <w:p w14:paraId="15BDA3D9">
            <w:pPr>
              <w:widowControl/>
              <w:adjustRightInd w:val="0"/>
              <w:snapToGrid w:val="0"/>
              <w:jc w:val="center"/>
              <w:rPr>
                <w:color w:val="000000" w:themeColor="text1"/>
                <w:kern w:val="0"/>
                <w:sz w:val="22"/>
                <w:szCs w:val="22"/>
              </w:rPr>
            </w:pPr>
            <w:r>
              <w:rPr>
                <w:color w:val="000000" w:themeColor="text1"/>
                <w:kern w:val="0"/>
                <w:sz w:val="22"/>
                <w:szCs w:val="22"/>
              </w:rPr>
              <w:t>孔村镇</w:t>
            </w:r>
          </w:p>
        </w:tc>
      </w:tr>
      <w:tr w14:paraId="44FA2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60D87DF5">
            <w:pPr>
              <w:widowControl/>
              <w:adjustRightInd w:val="0"/>
              <w:snapToGrid w:val="0"/>
              <w:jc w:val="center"/>
              <w:rPr>
                <w:color w:val="000000" w:themeColor="text1"/>
                <w:kern w:val="0"/>
                <w:sz w:val="22"/>
                <w:szCs w:val="22"/>
              </w:rPr>
            </w:pPr>
            <w:r>
              <w:rPr>
                <w:color w:val="000000" w:themeColor="text1"/>
                <w:kern w:val="0"/>
                <w:sz w:val="22"/>
                <w:szCs w:val="22"/>
              </w:rPr>
              <w:t>5</w:t>
            </w:r>
          </w:p>
        </w:tc>
        <w:tc>
          <w:tcPr>
            <w:tcW w:w="1388" w:type="pct"/>
            <w:vAlign w:val="center"/>
          </w:tcPr>
          <w:p w14:paraId="6C64FF16">
            <w:pPr>
              <w:widowControl/>
              <w:adjustRightInd w:val="0"/>
              <w:snapToGrid w:val="0"/>
              <w:jc w:val="center"/>
              <w:rPr>
                <w:color w:val="000000" w:themeColor="text1"/>
                <w:kern w:val="0"/>
                <w:sz w:val="22"/>
                <w:szCs w:val="22"/>
              </w:rPr>
            </w:pPr>
            <w:r>
              <w:rPr>
                <w:color w:val="000000" w:themeColor="text1"/>
                <w:kern w:val="0"/>
                <w:sz w:val="22"/>
                <w:szCs w:val="22"/>
              </w:rPr>
              <w:t>孝直镇</w:t>
            </w:r>
          </w:p>
        </w:tc>
        <w:tc>
          <w:tcPr>
            <w:tcW w:w="2781" w:type="pct"/>
            <w:vAlign w:val="center"/>
          </w:tcPr>
          <w:p w14:paraId="799ADC16">
            <w:pPr>
              <w:widowControl/>
              <w:adjustRightInd w:val="0"/>
              <w:snapToGrid w:val="0"/>
              <w:jc w:val="center"/>
              <w:rPr>
                <w:color w:val="000000" w:themeColor="text1"/>
                <w:kern w:val="0"/>
                <w:sz w:val="22"/>
                <w:szCs w:val="22"/>
              </w:rPr>
            </w:pPr>
            <w:r>
              <w:rPr>
                <w:color w:val="000000" w:themeColor="text1"/>
                <w:kern w:val="0"/>
                <w:sz w:val="22"/>
                <w:szCs w:val="22"/>
              </w:rPr>
              <w:t>孝直镇</w:t>
            </w:r>
          </w:p>
        </w:tc>
      </w:tr>
      <w:tr w14:paraId="64DFC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4B3CCB16">
            <w:pPr>
              <w:widowControl/>
              <w:adjustRightInd w:val="0"/>
              <w:snapToGrid w:val="0"/>
              <w:jc w:val="center"/>
              <w:rPr>
                <w:color w:val="000000" w:themeColor="text1"/>
                <w:kern w:val="0"/>
                <w:sz w:val="22"/>
                <w:szCs w:val="22"/>
              </w:rPr>
            </w:pPr>
            <w:r>
              <w:rPr>
                <w:color w:val="000000" w:themeColor="text1"/>
                <w:kern w:val="0"/>
                <w:sz w:val="22"/>
                <w:szCs w:val="22"/>
              </w:rPr>
              <w:t>6</w:t>
            </w:r>
          </w:p>
        </w:tc>
        <w:tc>
          <w:tcPr>
            <w:tcW w:w="1388" w:type="pct"/>
            <w:vAlign w:val="center"/>
          </w:tcPr>
          <w:p w14:paraId="7647F3BD">
            <w:pPr>
              <w:widowControl/>
              <w:adjustRightInd w:val="0"/>
              <w:snapToGrid w:val="0"/>
              <w:jc w:val="center"/>
              <w:rPr>
                <w:color w:val="000000" w:themeColor="text1"/>
                <w:kern w:val="0"/>
                <w:sz w:val="22"/>
                <w:szCs w:val="22"/>
              </w:rPr>
            </w:pPr>
            <w:r>
              <w:rPr>
                <w:color w:val="000000" w:themeColor="text1"/>
                <w:kern w:val="0"/>
                <w:sz w:val="22"/>
                <w:szCs w:val="22"/>
              </w:rPr>
              <w:t>玫瑰镇</w:t>
            </w:r>
          </w:p>
        </w:tc>
        <w:tc>
          <w:tcPr>
            <w:tcW w:w="2781" w:type="pct"/>
            <w:vAlign w:val="center"/>
          </w:tcPr>
          <w:p w14:paraId="415E9751">
            <w:pPr>
              <w:widowControl/>
              <w:adjustRightInd w:val="0"/>
              <w:snapToGrid w:val="0"/>
              <w:jc w:val="center"/>
              <w:rPr>
                <w:color w:val="000000" w:themeColor="text1"/>
                <w:kern w:val="0"/>
                <w:sz w:val="22"/>
                <w:szCs w:val="22"/>
              </w:rPr>
            </w:pPr>
            <w:r>
              <w:rPr>
                <w:color w:val="000000" w:themeColor="text1"/>
                <w:kern w:val="0"/>
                <w:sz w:val="22"/>
                <w:szCs w:val="22"/>
              </w:rPr>
              <w:t>玫瑰镇</w:t>
            </w:r>
          </w:p>
        </w:tc>
      </w:tr>
      <w:tr w14:paraId="75338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noWrap/>
            <w:vAlign w:val="center"/>
          </w:tcPr>
          <w:p w14:paraId="783F53FA">
            <w:pPr>
              <w:widowControl/>
              <w:adjustRightInd w:val="0"/>
              <w:snapToGrid w:val="0"/>
              <w:jc w:val="center"/>
              <w:rPr>
                <w:color w:val="000000" w:themeColor="text1"/>
                <w:kern w:val="0"/>
                <w:sz w:val="22"/>
                <w:szCs w:val="22"/>
              </w:rPr>
            </w:pPr>
            <w:r>
              <w:rPr>
                <w:color w:val="000000" w:themeColor="text1"/>
                <w:kern w:val="0"/>
                <w:sz w:val="22"/>
                <w:szCs w:val="22"/>
              </w:rPr>
              <w:t>7</w:t>
            </w:r>
          </w:p>
        </w:tc>
        <w:tc>
          <w:tcPr>
            <w:tcW w:w="1388" w:type="pct"/>
            <w:vAlign w:val="center"/>
          </w:tcPr>
          <w:p w14:paraId="3085A7EA">
            <w:pPr>
              <w:widowControl/>
              <w:adjustRightInd w:val="0"/>
              <w:snapToGrid w:val="0"/>
              <w:jc w:val="center"/>
              <w:rPr>
                <w:color w:val="000000" w:themeColor="text1"/>
                <w:kern w:val="0"/>
                <w:sz w:val="22"/>
                <w:szCs w:val="22"/>
              </w:rPr>
            </w:pPr>
            <w:r>
              <w:rPr>
                <w:color w:val="000000" w:themeColor="text1"/>
                <w:kern w:val="0"/>
                <w:sz w:val="22"/>
                <w:szCs w:val="22"/>
              </w:rPr>
              <w:t>洪范池镇</w:t>
            </w:r>
          </w:p>
        </w:tc>
        <w:tc>
          <w:tcPr>
            <w:tcW w:w="2781" w:type="pct"/>
            <w:vAlign w:val="center"/>
          </w:tcPr>
          <w:p w14:paraId="12878CDC">
            <w:pPr>
              <w:widowControl/>
              <w:adjustRightInd w:val="0"/>
              <w:snapToGrid w:val="0"/>
              <w:jc w:val="center"/>
              <w:rPr>
                <w:color w:val="000000" w:themeColor="text1"/>
                <w:kern w:val="0"/>
                <w:sz w:val="22"/>
                <w:szCs w:val="22"/>
              </w:rPr>
            </w:pPr>
            <w:r>
              <w:rPr>
                <w:color w:val="000000" w:themeColor="text1"/>
                <w:kern w:val="0"/>
                <w:sz w:val="22"/>
                <w:szCs w:val="22"/>
              </w:rPr>
              <w:t>洪范池镇</w:t>
            </w:r>
          </w:p>
        </w:tc>
      </w:tr>
    </w:tbl>
    <w:p w14:paraId="671DE621">
      <w:pPr>
        <w:keepNext/>
        <w:autoSpaceDE w:val="0"/>
        <w:autoSpaceDN w:val="0"/>
        <w:adjustRightInd w:val="0"/>
        <w:snapToGrid w:val="0"/>
        <w:spacing w:line="600" w:lineRule="exact"/>
        <w:textAlignment w:val="bottom"/>
        <w:outlineLvl w:val="2"/>
        <w:rPr>
          <w:b/>
          <w:color w:val="000000" w:themeColor="text1"/>
          <w:sz w:val="28"/>
          <w:szCs w:val="28"/>
        </w:rPr>
      </w:pPr>
      <w:bookmarkStart w:id="190" w:name="_Toc143780515"/>
      <w:bookmarkStart w:id="191" w:name="_Toc144243744"/>
      <w:r>
        <w:rPr>
          <w:b/>
          <w:color w:val="000000" w:themeColor="text1"/>
          <w:sz w:val="28"/>
          <w:szCs w:val="28"/>
        </w:rPr>
        <w:t xml:space="preserve">7.1.3 </w:t>
      </w:r>
      <w:r>
        <w:rPr>
          <w:rFonts w:hint="eastAsia"/>
          <w:b/>
          <w:color w:val="000000" w:themeColor="text1"/>
          <w:sz w:val="28"/>
          <w:szCs w:val="28"/>
        </w:rPr>
        <w:t>分期建设规划</w:t>
      </w:r>
      <w:bookmarkEnd w:id="190"/>
      <w:bookmarkEnd w:id="191"/>
    </w:p>
    <w:p w14:paraId="61A76ED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按照平阴县已确定的再生水利用分区情况，各片区内需均有一座污水处理厂（其中玫瑰镇和洪范池镇再分别新建污水处理厂），规划对各污水处理厂附建再生水厂，集中向该片区内的再生水用水户供水。</w:t>
      </w:r>
    </w:p>
    <w:p w14:paraId="1993D363">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w:t>
      </w:r>
      <w:r>
        <w:rPr>
          <w:color w:val="000000" w:themeColor="text1"/>
          <w:sz w:val="28"/>
          <w:szCs w:val="36"/>
        </w:rPr>
        <w:t>1</w:t>
      </w:r>
      <w:r>
        <w:rPr>
          <w:rFonts w:hint="eastAsia"/>
          <w:color w:val="000000" w:themeColor="text1"/>
          <w:sz w:val="28"/>
          <w:szCs w:val="36"/>
        </w:rPr>
        <w:t>）近期建设规划</w:t>
      </w:r>
    </w:p>
    <w:p w14:paraId="7EC1C42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根据确定的平阴县再生水利用配置方案，近期在基础条件较好的中心城区、安城镇、孔村镇优先开展再生水供水工程规划建设。结合平阴县各污水处理厂的净水处理工艺和出水水质分析，出水水质符合再生水回用标准要求的则直接向用水户供水，仅需配套建设供水泵站和供水管网，如中心城区的平阴水务发展有限公司（一厂）和锦水河西支综合治理工程（新建污水处理厂）、安城镇的平阴水务发展有限公司（二厂）、孔村镇的平阴县中环水务有限公司则需要配套建设再生水厂及供水泵站和供水管网；同时规划建设平阴再生水调水工程，即由中心城区向孔村镇调供再生水。</w:t>
      </w:r>
    </w:p>
    <w:p w14:paraId="153A099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w:t>
      </w:r>
      <w:r>
        <w:rPr>
          <w:color w:val="000000" w:themeColor="text1"/>
          <w:sz w:val="28"/>
          <w:szCs w:val="36"/>
        </w:rPr>
        <w:t>2</w:t>
      </w:r>
      <w:r>
        <w:rPr>
          <w:rFonts w:hint="eastAsia"/>
          <w:color w:val="000000" w:themeColor="text1"/>
          <w:sz w:val="28"/>
          <w:szCs w:val="36"/>
        </w:rPr>
        <w:t>）远期建设规划</w:t>
      </w:r>
    </w:p>
    <w:p w14:paraId="3CA2149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远期平阴县将扩大污水再生利用工程，对近期规划建设的再生水厂实施扩建，并在中心城区、东阿镇、孝直镇、玫瑰镇和洪范池镇开展再生水回用，新建东阿镇再生水供水工程、孝直镇再生水供水工程、玫瑰镇再生水供水工程和洪范池镇再生水供水工程。</w:t>
      </w:r>
    </w:p>
    <w:p w14:paraId="5A2818E9">
      <w:pPr>
        <w:autoSpaceDE w:val="0"/>
        <w:autoSpaceDN w:val="0"/>
        <w:adjustRightInd w:val="0"/>
        <w:snapToGrid w:val="0"/>
        <w:spacing w:line="600" w:lineRule="exact"/>
        <w:textAlignment w:val="bottom"/>
        <w:outlineLvl w:val="2"/>
        <w:rPr>
          <w:b/>
          <w:color w:val="000000" w:themeColor="text1"/>
          <w:sz w:val="28"/>
          <w:szCs w:val="28"/>
        </w:rPr>
      </w:pPr>
      <w:bookmarkStart w:id="192" w:name="_Toc143780516"/>
      <w:bookmarkStart w:id="193" w:name="_Toc144243745"/>
      <w:r>
        <w:rPr>
          <w:b/>
          <w:color w:val="000000" w:themeColor="text1"/>
          <w:sz w:val="28"/>
          <w:szCs w:val="28"/>
        </w:rPr>
        <w:t xml:space="preserve">7.1.4 </w:t>
      </w:r>
      <w:r>
        <w:rPr>
          <w:rFonts w:hint="eastAsia"/>
          <w:b/>
          <w:color w:val="000000" w:themeColor="text1"/>
          <w:sz w:val="28"/>
          <w:szCs w:val="28"/>
        </w:rPr>
        <w:t>工程布局</w:t>
      </w:r>
      <w:bookmarkEnd w:id="192"/>
      <w:bookmarkEnd w:id="193"/>
    </w:p>
    <w:p w14:paraId="46DC6693">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1、中心城区</w:t>
      </w:r>
    </w:p>
    <w:p w14:paraId="3B8FE16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36"/>
        </w:rPr>
        <w:t>目前，中心城区已建成再生水回用工程，即玫城湿地及再生水供水工程，由</w:t>
      </w:r>
      <w:r>
        <w:rPr>
          <w:bCs/>
          <w:color w:val="000000" w:themeColor="text1"/>
          <w:kern w:val="44"/>
          <w:sz w:val="28"/>
          <w:szCs w:val="28"/>
        </w:rPr>
        <w:t>平阴北控水环境开发有限公司</w:t>
      </w:r>
      <w:r>
        <w:rPr>
          <w:rFonts w:hint="eastAsia"/>
          <w:bCs/>
          <w:color w:val="000000" w:themeColor="text1"/>
          <w:kern w:val="44"/>
          <w:sz w:val="28"/>
          <w:szCs w:val="28"/>
        </w:rPr>
        <w:t>负责运维，设计规模为2</w:t>
      </w:r>
      <w:r>
        <w:rPr>
          <w:bCs/>
          <w:color w:val="000000" w:themeColor="text1"/>
          <w:kern w:val="44"/>
          <w:sz w:val="28"/>
          <w:szCs w:val="28"/>
        </w:rPr>
        <w:t>.0</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，主要向城区景观河生态补水</w:t>
      </w:r>
      <w:r>
        <w:rPr>
          <w:color w:val="000000" w:themeColor="text1"/>
          <w:sz w:val="28"/>
          <w:szCs w:val="28"/>
        </w:rPr>
        <w:t>。</w:t>
      </w:r>
    </w:p>
    <w:p w14:paraId="2FD9A47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近期规划年（2</w:t>
      </w:r>
      <w:r>
        <w:rPr>
          <w:color w:val="000000" w:themeColor="text1"/>
          <w:sz w:val="28"/>
          <w:szCs w:val="36"/>
        </w:rPr>
        <w:t>0</w:t>
      </w:r>
      <w:r>
        <w:rPr>
          <w:rFonts w:hint="eastAsia"/>
          <w:color w:val="000000" w:themeColor="text1"/>
          <w:sz w:val="28"/>
          <w:szCs w:val="36"/>
        </w:rPr>
        <w:t>30年），平阴县规划建设城区供热污水源热泵项目，即以平阴水务发展有限公司（一厂）的外排水为水源，采用污水源热泵技术为城市集中供热系统供应热量；同时配套建设中水处理设施对中水进行二次处理，作为城市供热系统的补水。</w:t>
      </w:r>
    </w:p>
    <w:p w14:paraId="3EBD10F1">
      <w:pPr>
        <w:autoSpaceDE w:val="0"/>
        <w:autoSpaceDN w:val="0"/>
        <w:spacing w:line="600" w:lineRule="exact"/>
        <w:ind w:firstLine="560" w:firstLineChars="200"/>
        <w:textAlignment w:val="baseline"/>
        <w:rPr>
          <w:color w:val="000000" w:themeColor="text1"/>
          <w:sz w:val="28"/>
          <w:szCs w:val="36"/>
        </w:rPr>
      </w:pPr>
      <w:r>
        <w:rPr>
          <w:rFonts w:hint="eastAsia"/>
          <w:bCs/>
          <w:color w:val="000000" w:themeColor="text1"/>
          <w:kern w:val="44"/>
          <w:sz w:val="28"/>
          <w:szCs w:val="28"/>
        </w:rPr>
        <w:t>规划建设城区再生水利用工程，增加供水泵站和供水管网铺设，供水规模将达到</w:t>
      </w:r>
      <w:r>
        <w:rPr>
          <w:bCs/>
          <w:color w:val="000000" w:themeColor="text1"/>
          <w:kern w:val="44"/>
          <w:sz w:val="28"/>
          <w:szCs w:val="28"/>
        </w:rPr>
        <w:t>2.0</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该工程主要负责向山东齐发药业有限公司等企业提供工业生产用水。</w:t>
      </w:r>
    </w:p>
    <w:p w14:paraId="239F4167">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规划建设锦水河西支再生水利用工程，其是以锦水河西支综合治理及下游水系连通工程为基础，配套建设污水处理厂和再生水利用工程，规模为4.0</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w:t>
      </w:r>
      <w:r>
        <w:rPr>
          <w:rFonts w:hint="eastAsia"/>
          <w:color w:val="000000" w:themeColor="text1"/>
          <w:sz w:val="28"/>
          <w:szCs w:val="36"/>
        </w:rPr>
        <w:t>对当地城乡居民生活污水和企业废水进行净化处理回用，可作为景观补水。</w:t>
      </w:r>
    </w:p>
    <w:p w14:paraId="1C53CA49">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28"/>
        </w:rPr>
        <w:t>规划建设平阴再生水调水工程，以</w:t>
      </w:r>
      <w:r>
        <w:rPr>
          <w:rFonts w:hint="eastAsia"/>
          <w:color w:val="000000" w:themeColor="text1"/>
          <w:sz w:val="28"/>
          <w:szCs w:val="36"/>
        </w:rPr>
        <w:t>平阴水务发展有限公司（一厂）的再生水为水源，总</w:t>
      </w:r>
      <w:r>
        <w:rPr>
          <w:rFonts w:hint="eastAsia"/>
          <w:color w:val="000000" w:themeColor="text1"/>
          <w:sz w:val="28"/>
          <w:szCs w:val="28"/>
        </w:rPr>
        <w:t>设计供水规模为2</w:t>
      </w:r>
      <w:r>
        <w:rPr>
          <w:color w:val="000000" w:themeColor="text1"/>
          <w:sz w:val="28"/>
          <w:szCs w:val="28"/>
        </w:rPr>
        <w:t>.0万m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，近期规模为1.0</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，用于孔村镇的工业用水</w:t>
      </w:r>
      <w:r>
        <w:rPr>
          <w:color w:val="000000" w:themeColor="text1"/>
          <w:sz w:val="28"/>
          <w:szCs w:val="28"/>
        </w:rPr>
        <w:t>。</w:t>
      </w:r>
      <w:r>
        <w:rPr>
          <w:rFonts w:hint="eastAsia"/>
          <w:color w:val="000000" w:themeColor="text1"/>
          <w:sz w:val="28"/>
          <w:szCs w:val="28"/>
        </w:rPr>
        <w:t>因此，中心城区远期规划年再生水负责向中心城区的工业用水、城市杂用水和景观河生态补水供水以及孔村镇工业用水供水。</w:t>
      </w:r>
    </w:p>
    <w:p w14:paraId="5722B86A">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36"/>
        </w:rPr>
        <w:t>远期规划年（2</w:t>
      </w:r>
      <w:r>
        <w:rPr>
          <w:color w:val="000000" w:themeColor="text1"/>
          <w:sz w:val="28"/>
          <w:szCs w:val="36"/>
        </w:rPr>
        <w:t>035</w:t>
      </w:r>
      <w:r>
        <w:rPr>
          <w:rFonts w:hint="eastAsia"/>
          <w:color w:val="000000" w:themeColor="text1"/>
          <w:sz w:val="28"/>
          <w:szCs w:val="36"/>
        </w:rPr>
        <w:t>年），</w:t>
      </w:r>
      <w:r>
        <w:rPr>
          <w:bCs/>
          <w:color w:val="000000" w:themeColor="text1"/>
          <w:kern w:val="44"/>
          <w:sz w:val="28"/>
          <w:szCs w:val="28"/>
        </w:rPr>
        <w:t>平阴</w:t>
      </w:r>
      <w:r>
        <w:rPr>
          <w:rFonts w:hint="eastAsia"/>
          <w:bCs/>
          <w:color w:val="000000" w:themeColor="text1"/>
          <w:kern w:val="44"/>
          <w:sz w:val="28"/>
          <w:szCs w:val="28"/>
        </w:rPr>
        <w:t>县对现有再生水供水工程进行扩建，以满足中心城区和孔村镇规划年用水需求</w:t>
      </w:r>
      <w:r>
        <w:rPr>
          <w:color w:val="000000" w:themeColor="text1"/>
          <w:sz w:val="28"/>
          <w:szCs w:val="28"/>
        </w:rPr>
        <w:t>。</w:t>
      </w:r>
    </w:p>
    <w:p w14:paraId="0352F293">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2、安城镇</w:t>
      </w:r>
    </w:p>
    <w:p w14:paraId="6054E3BE">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近期规划年（2</w:t>
      </w:r>
      <w:r>
        <w:rPr>
          <w:color w:val="000000" w:themeColor="text1"/>
          <w:sz w:val="28"/>
          <w:szCs w:val="36"/>
        </w:rPr>
        <w:t>0</w:t>
      </w:r>
      <w:r>
        <w:rPr>
          <w:rFonts w:hint="eastAsia"/>
          <w:color w:val="000000" w:themeColor="text1"/>
          <w:sz w:val="28"/>
          <w:szCs w:val="36"/>
        </w:rPr>
        <w:t>30年），安城镇</w:t>
      </w:r>
      <w:r>
        <w:rPr>
          <w:rFonts w:hint="eastAsia"/>
          <w:color w:val="000000" w:themeColor="text1"/>
          <w:sz w:val="28"/>
          <w:szCs w:val="28"/>
        </w:rPr>
        <w:t>配套建设</w:t>
      </w:r>
      <w:r>
        <w:rPr>
          <w:rFonts w:hint="eastAsia"/>
          <w:color w:val="000000" w:themeColor="text1"/>
          <w:sz w:val="28"/>
          <w:szCs w:val="36"/>
        </w:rPr>
        <w:t>安城镇再生水供水工程，以平阴水务发展有限公司（二厂）的外排水为水源，结合规划年用水需求，设计供水规模为1</w:t>
      </w:r>
      <w:r>
        <w:rPr>
          <w:color w:val="000000" w:themeColor="text1"/>
          <w:sz w:val="28"/>
          <w:szCs w:val="36"/>
        </w:rPr>
        <w:t>.0</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，主要负责向山东平阴经济开发区东区和北区供水，</w:t>
      </w:r>
      <w:r>
        <w:rPr>
          <w:rFonts w:hint="eastAsia"/>
          <w:color w:val="000000" w:themeColor="text1"/>
          <w:sz w:val="28"/>
          <w:szCs w:val="28"/>
        </w:rPr>
        <w:t>同时负责向安城镇的城市杂用水和景观河生态补水供水。</w:t>
      </w:r>
    </w:p>
    <w:p w14:paraId="4728C3B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远期规划年（2</w:t>
      </w:r>
      <w:r>
        <w:rPr>
          <w:color w:val="000000" w:themeColor="text1"/>
          <w:sz w:val="28"/>
          <w:szCs w:val="36"/>
        </w:rPr>
        <w:t>0</w:t>
      </w:r>
      <w:r>
        <w:rPr>
          <w:rFonts w:hint="eastAsia"/>
          <w:color w:val="000000" w:themeColor="text1"/>
          <w:sz w:val="28"/>
          <w:szCs w:val="36"/>
        </w:rPr>
        <w:t>35年），安城镇结合当地污废水处理需求规划对平阴水务发展有限公司（二厂）进行扩建，处理规模为2</w:t>
      </w:r>
      <w:r>
        <w:rPr>
          <w:color w:val="000000" w:themeColor="text1"/>
          <w:sz w:val="28"/>
          <w:szCs w:val="36"/>
        </w:rPr>
        <w:t>.0</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；对</w:t>
      </w:r>
      <w:r>
        <w:rPr>
          <w:rFonts w:hint="eastAsia"/>
          <w:color w:val="000000" w:themeColor="text1"/>
          <w:sz w:val="28"/>
          <w:szCs w:val="36"/>
        </w:rPr>
        <w:t>安城镇再生水供水工程进行扩建，供水规模达到</w:t>
      </w:r>
      <w:r>
        <w:rPr>
          <w:color w:val="000000" w:themeColor="text1"/>
          <w:sz w:val="28"/>
          <w:szCs w:val="36"/>
        </w:rPr>
        <w:t>2.0</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w:t>
      </w:r>
      <w:r>
        <w:rPr>
          <w:rFonts w:hint="eastAsia"/>
          <w:color w:val="000000" w:themeColor="text1"/>
          <w:sz w:val="28"/>
          <w:szCs w:val="28"/>
        </w:rPr>
        <w:t>安城镇再生水负责向当地工业用水、城市杂用水和景观河生态补水供水。</w:t>
      </w:r>
    </w:p>
    <w:p w14:paraId="4A927197">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3</w:t>
      </w:r>
      <w:r>
        <w:rPr>
          <w:rFonts w:hint="eastAsia"/>
          <w:color w:val="000000" w:themeColor="text1"/>
          <w:sz w:val="28"/>
          <w:szCs w:val="36"/>
        </w:rPr>
        <w:t>、孔村镇</w:t>
      </w:r>
    </w:p>
    <w:p w14:paraId="2B44515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36"/>
        </w:rPr>
        <w:t>近期规划年（2</w:t>
      </w:r>
      <w:r>
        <w:rPr>
          <w:color w:val="000000" w:themeColor="text1"/>
          <w:sz w:val="28"/>
          <w:szCs w:val="36"/>
        </w:rPr>
        <w:t>0</w:t>
      </w:r>
      <w:r>
        <w:rPr>
          <w:rFonts w:hint="eastAsia"/>
          <w:color w:val="000000" w:themeColor="text1"/>
          <w:sz w:val="28"/>
          <w:szCs w:val="36"/>
        </w:rPr>
        <w:t>30年），孔村镇结合当地污废水处理需求规划对平阴县中环水务有限公司（孔村厂）进行扩建，处理规模为</w:t>
      </w:r>
      <w:r>
        <w:rPr>
          <w:color w:val="000000" w:themeColor="text1"/>
          <w:sz w:val="28"/>
          <w:szCs w:val="36"/>
        </w:rPr>
        <w:t>0.8</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；新建</w:t>
      </w:r>
      <w:r>
        <w:rPr>
          <w:rFonts w:hint="eastAsia"/>
          <w:color w:val="000000" w:themeColor="text1"/>
          <w:sz w:val="28"/>
          <w:szCs w:val="36"/>
        </w:rPr>
        <w:t>孔村镇再生水供水工程，以平阴县中环水务有限公司（孔村厂）的外排水为水源，设计供水规模为</w:t>
      </w:r>
      <w:r>
        <w:rPr>
          <w:color w:val="000000" w:themeColor="text1"/>
          <w:sz w:val="28"/>
          <w:szCs w:val="36"/>
        </w:rPr>
        <w:t>0.</w:t>
      </w:r>
      <w:r>
        <w:rPr>
          <w:rFonts w:hint="eastAsia"/>
          <w:color w:val="000000" w:themeColor="text1"/>
          <w:sz w:val="28"/>
          <w:szCs w:val="36"/>
        </w:rPr>
        <w:t>8万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，主要负责向山东平阴经济开发区南区及当地工业生产供水</w:t>
      </w:r>
      <w:r>
        <w:rPr>
          <w:rFonts w:hint="eastAsia"/>
          <w:color w:val="000000" w:themeColor="text1"/>
          <w:sz w:val="28"/>
          <w:szCs w:val="28"/>
        </w:rPr>
        <w:t>。</w:t>
      </w:r>
    </w:p>
    <w:p w14:paraId="57FE3C0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为满足孔村镇工业再生水用水需求，规划建设</w:t>
      </w:r>
      <w:r>
        <w:rPr>
          <w:rFonts w:hint="eastAsia"/>
          <w:color w:val="000000" w:themeColor="text1"/>
          <w:sz w:val="28"/>
          <w:szCs w:val="28"/>
        </w:rPr>
        <w:t>中心城区向孔村镇的再生水供水工程，设计供水规模为1</w:t>
      </w:r>
      <w:r>
        <w:rPr>
          <w:color w:val="000000" w:themeColor="text1"/>
          <w:sz w:val="28"/>
          <w:szCs w:val="28"/>
        </w:rPr>
        <w:t>.0万m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36"/>
        </w:rPr>
        <w:t>孔村镇</w:t>
      </w:r>
      <w:r>
        <w:rPr>
          <w:rFonts w:hint="eastAsia"/>
          <w:color w:val="000000" w:themeColor="text1"/>
          <w:sz w:val="28"/>
          <w:szCs w:val="28"/>
        </w:rPr>
        <w:t>再生水负责向当地工业用水、城市杂用水供水。</w:t>
      </w:r>
    </w:p>
    <w:p w14:paraId="374EC9A7">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远期规划年（2</w:t>
      </w:r>
      <w:r>
        <w:rPr>
          <w:color w:val="000000" w:themeColor="text1"/>
          <w:sz w:val="28"/>
          <w:szCs w:val="36"/>
        </w:rPr>
        <w:t>035</w:t>
      </w:r>
      <w:r>
        <w:rPr>
          <w:rFonts w:hint="eastAsia"/>
          <w:color w:val="000000" w:themeColor="text1"/>
          <w:sz w:val="28"/>
          <w:szCs w:val="36"/>
        </w:rPr>
        <w:t>年），孔村镇结合当地再生水处理需求规划对</w:t>
      </w:r>
      <w:r>
        <w:rPr>
          <w:rFonts w:hint="eastAsia"/>
          <w:color w:val="000000" w:themeColor="text1"/>
          <w:sz w:val="28"/>
          <w:szCs w:val="28"/>
        </w:rPr>
        <w:t>原有的再生水供水工程进行改扩建，以提升产水效率和出水水质</w:t>
      </w:r>
      <w:r>
        <w:rPr>
          <w:rFonts w:hint="eastAsia"/>
          <w:color w:val="000000" w:themeColor="text1"/>
          <w:sz w:val="28"/>
          <w:szCs w:val="36"/>
        </w:rPr>
        <w:t>。对</w:t>
      </w:r>
      <w:r>
        <w:rPr>
          <w:rFonts w:hint="eastAsia"/>
          <w:color w:val="000000" w:themeColor="text1"/>
          <w:sz w:val="28"/>
          <w:szCs w:val="28"/>
        </w:rPr>
        <w:t>中心城区向孔村镇的再生水供水工程进行扩建，设计总供水规模为2</w:t>
      </w:r>
      <w:r>
        <w:rPr>
          <w:color w:val="000000" w:themeColor="text1"/>
          <w:sz w:val="28"/>
          <w:szCs w:val="28"/>
        </w:rPr>
        <w:t>.0万m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36"/>
        </w:rPr>
        <w:t>孔村镇</w:t>
      </w:r>
      <w:r>
        <w:rPr>
          <w:rFonts w:hint="eastAsia"/>
          <w:color w:val="000000" w:themeColor="text1"/>
          <w:sz w:val="28"/>
          <w:szCs w:val="28"/>
        </w:rPr>
        <w:t>再生水负责向当地工业用水、城市杂用水供水。</w:t>
      </w:r>
    </w:p>
    <w:p w14:paraId="2EA0CA3F">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4</w:t>
      </w:r>
      <w:r>
        <w:rPr>
          <w:rFonts w:hint="eastAsia"/>
          <w:color w:val="000000" w:themeColor="text1"/>
          <w:sz w:val="28"/>
          <w:szCs w:val="36"/>
        </w:rPr>
        <w:t>、东阿镇</w:t>
      </w:r>
    </w:p>
    <w:p w14:paraId="697B963F">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近期规划年（2</w:t>
      </w:r>
      <w:r>
        <w:rPr>
          <w:color w:val="000000" w:themeColor="text1"/>
          <w:sz w:val="28"/>
          <w:szCs w:val="36"/>
        </w:rPr>
        <w:t>0</w:t>
      </w:r>
      <w:r>
        <w:rPr>
          <w:rFonts w:hint="eastAsia"/>
          <w:color w:val="000000" w:themeColor="text1"/>
          <w:sz w:val="28"/>
          <w:szCs w:val="36"/>
        </w:rPr>
        <w:t>30年），新建东阿镇再生水供水工程，以平阴水务发展有限公司（三厂）的外排水为水源，设计供水规模为</w:t>
      </w:r>
      <w:r>
        <w:rPr>
          <w:color w:val="000000" w:themeColor="text1"/>
          <w:sz w:val="28"/>
          <w:szCs w:val="36"/>
        </w:rPr>
        <w:t>0.3</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，主要负责向东阿镇的城市杂用水供水</w:t>
      </w:r>
      <w:r>
        <w:rPr>
          <w:rFonts w:hint="eastAsia"/>
          <w:color w:val="000000" w:themeColor="text1"/>
          <w:sz w:val="28"/>
          <w:szCs w:val="28"/>
        </w:rPr>
        <w:t>。</w:t>
      </w:r>
    </w:p>
    <w:p w14:paraId="453FD40A">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远期规划年（2</w:t>
      </w:r>
      <w:r>
        <w:rPr>
          <w:color w:val="000000" w:themeColor="text1"/>
          <w:sz w:val="28"/>
          <w:szCs w:val="36"/>
        </w:rPr>
        <w:t>035</w:t>
      </w:r>
      <w:r>
        <w:rPr>
          <w:rFonts w:hint="eastAsia"/>
          <w:color w:val="000000" w:themeColor="text1"/>
          <w:sz w:val="28"/>
          <w:szCs w:val="36"/>
        </w:rPr>
        <w:t>年），东阿镇结合当地污废水处理需求规划对平阴水务发展有限公司（三厂）进行扩建，处理规模为</w:t>
      </w:r>
      <w:r>
        <w:rPr>
          <w:color w:val="000000" w:themeColor="text1"/>
          <w:sz w:val="28"/>
          <w:szCs w:val="36"/>
        </w:rPr>
        <w:t>0.6</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；同时再生水厂按照</w:t>
      </w:r>
      <w:r>
        <w:rPr>
          <w:rFonts w:hint="eastAsia"/>
          <w:color w:val="000000" w:themeColor="text1"/>
          <w:sz w:val="28"/>
          <w:szCs w:val="36"/>
        </w:rPr>
        <w:t>平阴水务发展有限公司（三厂）的规模</w:t>
      </w:r>
      <w:r>
        <w:rPr>
          <w:rFonts w:hint="eastAsia"/>
          <w:color w:val="000000" w:themeColor="text1"/>
          <w:sz w:val="28"/>
          <w:szCs w:val="28"/>
        </w:rPr>
        <w:t>进行扩建，</w:t>
      </w:r>
      <w:r>
        <w:rPr>
          <w:rFonts w:hint="eastAsia"/>
          <w:color w:val="000000" w:themeColor="text1"/>
          <w:sz w:val="28"/>
          <w:szCs w:val="36"/>
        </w:rPr>
        <w:t>供水规模达到0</w:t>
      </w:r>
      <w:r>
        <w:rPr>
          <w:color w:val="000000" w:themeColor="text1"/>
          <w:sz w:val="28"/>
          <w:szCs w:val="36"/>
        </w:rPr>
        <w:t>.6</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。东阿镇</w:t>
      </w:r>
      <w:r>
        <w:rPr>
          <w:rFonts w:hint="eastAsia"/>
          <w:color w:val="000000" w:themeColor="text1"/>
          <w:sz w:val="28"/>
          <w:szCs w:val="28"/>
        </w:rPr>
        <w:t>再生水负责向当地城市杂用水供水。</w:t>
      </w:r>
    </w:p>
    <w:p w14:paraId="7C1F305D">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5</w:t>
      </w:r>
      <w:r>
        <w:rPr>
          <w:rFonts w:hint="eastAsia"/>
          <w:color w:val="000000" w:themeColor="text1"/>
          <w:sz w:val="28"/>
          <w:szCs w:val="36"/>
        </w:rPr>
        <w:t>、孝直镇</w:t>
      </w:r>
    </w:p>
    <w:p w14:paraId="538F623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近期规划年（2</w:t>
      </w:r>
      <w:r>
        <w:rPr>
          <w:color w:val="000000" w:themeColor="text1"/>
          <w:sz w:val="28"/>
          <w:szCs w:val="36"/>
        </w:rPr>
        <w:t>0</w:t>
      </w:r>
      <w:r>
        <w:rPr>
          <w:rFonts w:hint="eastAsia"/>
          <w:color w:val="000000" w:themeColor="text1"/>
          <w:sz w:val="28"/>
          <w:szCs w:val="36"/>
        </w:rPr>
        <w:t>30年），新建孝直镇再生水供水工程，以</w:t>
      </w:r>
      <w:r>
        <w:rPr>
          <w:rFonts w:hint="eastAsia"/>
          <w:color w:val="000000" w:themeColor="text1"/>
          <w:sz w:val="28"/>
          <w:szCs w:val="28"/>
        </w:rPr>
        <w:t>平阴县中环水务有限公司（孝直厂）</w:t>
      </w:r>
      <w:r>
        <w:rPr>
          <w:rFonts w:hint="eastAsia"/>
          <w:color w:val="000000" w:themeColor="text1"/>
          <w:sz w:val="28"/>
          <w:szCs w:val="36"/>
        </w:rPr>
        <w:t>的外排水为水源，设计供水规模为</w:t>
      </w:r>
      <w:r>
        <w:rPr>
          <w:color w:val="000000" w:themeColor="text1"/>
          <w:sz w:val="28"/>
          <w:szCs w:val="36"/>
        </w:rPr>
        <w:t>0.3</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，主要负责向孝直镇的城市杂用水供水</w:t>
      </w:r>
      <w:r>
        <w:rPr>
          <w:rFonts w:hint="eastAsia"/>
          <w:color w:val="000000" w:themeColor="text1"/>
          <w:sz w:val="28"/>
          <w:szCs w:val="28"/>
        </w:rPr>
        <w:t>。</w:t>
      </w:r>
    </w:p>
    <w:p w14:paraId="6E280DE7">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远期规划年（2</w:t>
      </w:r>
      <w:r>
        <w:rPr>
          <w:color w:val="000000" w:themeColor="text1"/>
          <w:sz w:val="28"/>
          <w:szCs w:val="36"/>
        </w:rPr>
        <w:t>035</w:t>
      </w:r>
      <w:r>
        <w:rPr>
          <w:rFonts w:hint="eastAsia"/>
          <w:color w:val="000000" w:themeColor="text1"/>
          <w:sz w:val="28"/>
          <w:szCs w:val="36"/>
        </w:rPr>
        <w:t>年），孝直镇结合当地污废水处理需求规划对</w:t>
      </w:r>
      <w:r>
        <w:rPr>
          <w:rFonts w:hint="eastAsia"/>
          <w:color w:val="000000" w:themeColor="text1"/>
          <w:sz w:val="28"/>
          <w:szCs w:val="28"/>
        </w:rPr>
        <w:t>平阴县中环水务有限公司（孝直厂）</w:t>
      </w:r>
      <w:r>
        <w:rPr>
          <w:rFonts w:hint="eastAsia"/>
          <w:color w:val="000000" w:themeColor="text1"/>
          <w:sz w:val="28"/>
          <w:szCs w:val="36"/>
        </w:rPr>
        <w:t>进行扩建，处理规模为</w:t>
      </w:r>
      <w:r>
        <w:rPr>
          <w:color w:val="000000" w:themeColor="text1"/>
          <w:sz w:val="28"/>
          <w:szCs w:val="36"/>
        </w:rPr>
        <w:t>0.6</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；同时再生水厂按照平阴县中环水务有限公司（孝直厂）</w:t>
      </w:r>
      <w:r>
        <w:rPr>
          <w:rFonts w:hint="eastAsia"/>
          <w:color w:val="000000" w:themeColor="text1"/>
          <w:sz w:val="28"/>
          <w:szCs w:val="36"/>
        </w:rPr>
        <w:t>的规模</w:t>
      </w:r>
      <w:r>
        <w:rPr>
          <w:rFonts w:hint="eastAsia"/>
          <w:color w:val="000000" w:themeColor="text1"/>
          <w:sz w:val="28"/>
          <w:szCs w:val="28"/>
        </w:rPr>
        <w:t>进行扩建，</w:t>
      </w:r>
      <w:r>
        <w:rPr>
          <w:rFonts w:hint="eastAsia"/>
          <w:color w:val="000000" w:themeColor="text1"/>
          <w:sz w:val="28"/>
          <w:szCs w:val="36"/>
        </w:rPr>
        <w:t>供水规模达到0</w:t>
      </w:r>
      <w:r>
        <w:rPr>
          <w:color w:val="000000" w:themeColor="text1"/>
          <w:sz w:val="28"/>
          <w:szCs w:val="36"/>
        </w:rPr>
        <w:t>.6</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。孝直镇</w:t>
      </w:r>
      <w:r>
        <w:rPr>
          <w:rFonts w:hint="eastAsia"/>
          <w:color w:val="000000" w:themeColor="text1"/>
          <w:sz w:val="28"/>
          <w:szCs w:val="28"/>
        </w:rPr>
        <w:t>再生水负责向当地城市杂用水供水。</w:t>
      </w:r>
    </w:p>
    <w:p w14:paraId="01313E2B">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6</w:t>
      </w:r>
      <w:r>
        <w:rPr>
          <w:rFonts w:hint="eastAsia"/>
          <w:color w:val="000000" w:themeColor="text1"/>
          <w:sz w:val="28"/>
          <w:szCs w:val="36"/>
        </w:rPr>
        <w:t>、玫瑰镇</w:t>
      </w:r>
    </w:p>
    <w:p w14:paraId="592A9A50">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近期规划年（2</w:t>
      </w:r>
      <w:r>
        <w:rPr>
          <w:color w:val="000000" w:themeColor="text1"/>
          <w:sz w:val="28"/>
          <w:szCs w:val="36"/>
        </w:rPr>
        <w:t>0</w:t>
      </w:r>
      <w:r>
        <w:rPr>
          <w:rFonts w:hint="eastAsia"/>
          <w:color w:val="000000" w:themeColor="text1"/>
          <w:sz w:val="28"/>
          <w:szCs w:val="36"/>
        </w:rPr>
        <w:t>30年），新建玫瑰镇污水处理厂并配套建设再生水供水工程，玫瑰镇污水处理厂处理规模为0</w:t>
      </w:r>
      <w:r>
        <w:rPr>
          <w:color w:val="000000" w:themeColor="text1"/>
          <w:sz w:val="28"/>
          <w:szCs w:val="36"/>
        </w:rPr>
        <w:t>.1</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；再生水供水工程以玫瑰镇污水处理厂的外排水为水源，设计供水规模为</w:t>
      </w:r>
      <w:r>
        <w:rPr>
          <w:color w:val="000000" w:themeColor="text1"/>
          <w:sz w:val="28"/>
          <w:szCs w:val="36"/>
        </w:rPr>
        <w:t>0.1</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，主要负责向玫瑰镇的城市杂用水供水</w:t>
      </w:r>
      <w:r>
        <w:rPr>
          <w:rFonts w:hint="eastAsia"/>
          <w:color w:val="000000" w:themeColor="text1"/>
          <w:sz w:val="28"/>
          <w:szCs w:val="28"/>
        </w:rPr>
        <w:t>。</w:t>
      </w:r>
    </w:p>
    <w:p w14:paraId="67F864F4">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远期规划年（2</w:t>
      </w:r>
      <w:r>
        <w:rPr>
          <w:color w:val="000000" w:themeColor="text1"/>
          <w:sz w:val="28"/>
          <w:szCs w:val="36"/>
        </w:rPr>
        <w:t>035</w:t>
      </w:r>
      <w:r>
        <w:rPr>
          <w:rFonts w:hint="eastAsia"/>
          <w:color w:val="000000" w:themeColor="text1"/>
          <w:sz w:val="28"/>
          <w:szCs w:val="36"/>
        </w:rPr>
        <w:t>年），玫瑰镇结合当地污废水处理需求规划对玫瑰镇污水处理厂进行扩建，处理规模为</w:t>
      </w:r>
      <w:r>
        <w:rPr>
          <w:color w:val="000000" w:themeColor="text1"/>
          <w:sz w:val="28"/>
          <w:szCs w:val="36"/>
        </w:rPr>
        <w:t>0.7</w:t>
      </w:r>
      <w:r>
        <w:rPr>
          <w:color w:val="000000" w:themeColor="text1"/>
          <w:sz w:val="28"/>
          <w:szCs w:val="28"/>
        </w:rPr>
        <w:t>万m</w:t>
      </w:r>
      <w:r>
        <w:rPr>
          <w:color w:val="000000" w:themeColor="text1"/>
          <w:sz w:val="28"/>
          <w:szCs w:val="28"/>
          <w:vertAlign w:val="superscript"/>
        </w:rPr>
        <w:t>3</w:t>
      </w:r>
      <w:r>
        <w:rPr>
          <w:color w:val="000000" w:themeColor="text1"/>
          <w:sz w:val="28"/>
          <w:szCs w:val="28"/>
        </w:rPr>
        <w:t>/d</w:t>
      </w:r>
      <w:r>
        <w:rPr>
          <w:rFonts w:hint="eastAsia"/>
          <w:color w:val="000000" w:themeColor="text1"/>
          <w:sz w:val="28"/>
          <w:szCs w:val="28"/>
        </w:rPr>
        <w:t>；同时再生水厂按照</w:t>
      </w:r>
      <w:r>
        <w:rPr>
          <w:rFonts w:hint="eastAsia"/>
          <w:color w:val="000000" w:themeColor="text1"/>
          <w:sz w:val="28"/>
          <w:szCs w:val="36"/>
        </w:rPr>
        <w:t>玫瑰镇污水处理厂的规模</w:t>
      </w:r>
      <w:r>
        <w:rPr>
          <w:rFonts w:hint="eastAsia"/>
          <w:color w:val="000000" w:themeColor="text1"/>
          <w:sz w:val="28"/>
          <w:szCs w:val="28"/>
        </w:rPr>
        <w:t>进行扩建，</w:t>
      </w:r>
      <w:r>
        <w:rPr>
          <w:rFonts w:hint="eastAsia"/>
          <w:color w:val="000000" w:themeColor="text1"/>
          <w:sz w:val="28"/>
          <w:szCs w:val="36"/>
        </w:rPr>
        <w:t>供水规模达到0</w:t>
      </w:r>
      <w:r>
        <w:rPr>
          <w:color w:val="000000" w:themeColor="text1"/>
          <w:sz w:val="28"/>
          <w:szCs w:val="36"/>
        </w:rPr>
        <w:t>.7</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。玫瑰镇</w:t>
      </w:r>
      <w:r>
        <w:rPr>
          <w:rFonts w:hint="eastAsia"/>
          <w:color w:val="000000" w:themeColor="text1"/>
          <w:sz w:val="28"/>
          <w:szCs w:val="28"/>
        </w:rPr>
        <w:t>再生水用于当地城市杂用水。</w:t>
      </w:r>
    </w:p>
    <w:p w14:paraId="02C1C3A0">
      <w:pPr>
        <w:autoSpaceDE w:val="0"/>
        <w:autoSpaceDN w:val="0"/>
        <w:spacing w:line="600" w:lineRule="exact"/>
        <w:ind w:firstLine="560" w:firstLineChars="200"/>
        <w:textAlignment w:val="baseline"/>
        <w:rPr>
          <w:color w:val="000000" w:themeColor="text1"/>
          <w:sz w:val="28"/>
          <w:szCs w:val="36"/>
        </w:rPr>
      </w:pPr>
      <w:r>
        <w:rPr>
          <w:color w:val="000000" w:themeColor="text1"/>
          <w:sz w:val="28"/>
          <w:szCs w:val="36"/>
        </w:rPr>
        <w:t>7</w:t>
      </w:r>
      <w:r>
        <w:rPr>
          <w:rFonts w:hint="eastAsia"/>
          <w:color w:val="000000" w:themeColor="text1"/>
          <w:sz w:val="28"/>
          <w:szCs w:val="36"/>
        </w:rPr>
        <w:t>、洪范池镇</w:t>
      </w:r>
    </w:p>
    <w:p w14:paraId="5E7A771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近期规划年（2</w:t>
      </w:r>
      <w:r>
        <w:rPr>
          <w:color w:val="000000" w:themeColor="text1"/>
          <w:sz w:val="28"/>
          <w:szCs w:val="36"/>
        </w:rPr>
        <w:t>0</w:t>
      </w:r>
      <w:r>
        <w:rPr>
          <w:rFonts w:hint="eastAsia"/>
          <w:color w:val="000000" w:themeColor="text1"/>
          <w:sz w:val="28"/>
          <w:szCs w:val="36"/>
        </w:rPr>
        <w:t>30年），洪范池镇结合当地污废水处理需求规划新建洪范池镇污水处理厂，配套建设再生水供水工程；洪范池镇污水处理厂处理规模为0</w:t>
      </w:r>
      <w:r>
        <w:rPr>
          <w:color w:val="000000" w:themeColor="text1"/>
          <w:sz w:val="28"/>
          <w:szCs w:val="36"/>
        </w:rPr>
        <w:t>.</w:t>
      </w:r>
      <w:r>
        <w:rPr>
          <w:rFonts w:hint="eastAsia"/>
          <w:color w:val="000000" w:themeColor="text1"/>
          <w:sz w:val="28"/>
          <w:szCs w:val="36"/>
        </w:rPr>
        <w:t>2万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，再生水供水工程以洪范池镇污水处理厂的外排水为水源，设计供水规模为</w:t>
      </w:r>
      <w:r>
        <w:rPr>
          <w:color w:val="000000" w:themeColor="text1"/>
          <w:sz w:val="28"/>
          <w:szCs w:val="36"/>
        </w:rPr>
        <w:t>0.</w:t>
      </w:r>
      <w:r>
        <w:rPr>
          <w:rFonts w:hint="eastAsia"/>
          <w:color w:val="000000" w:themeColor="text1"/>
          <w:sz w:val="28"/>
          <w:szCs w:val="36"/>
        </w:rPr>
        <w:t>2万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，主要负责向洪范池镇的城市杂用水供水</w:t>
      </w:r>
      <w:r>
        <w:rPr>
          <w:rFonts w:hint="eastAsia"/>
          <w:color w:val="000000" w:themeColor="text1"/>
          <w:sz w:val="28"/>
          <w:szCs w:val="28"/>
        </w:rPr>
        <w:t>。</w:t>
      </w:r>
    </w:p>
    <w:p w14:paraId="5D44216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远期规划年（2</w:t>
      </w:r>
      <w:r>
        <w:rPr>
          <w:color w:val="000000" w:themeColor="text1"/>
          <w:sz w:val="28"/>
          <w:szCs w:val="36"/>
        </w:rPr>
        <w:t>035</w:t>
      </w:r>
      <w:r>
        <w:rPr>
          <w:rFonts w:hint="eastAsia"/>
          <w:color w:val="000000" w:themeColor="text1"/>
          <w:sz w:val="28"/>
          <w:szCs w:val="36"/>
        </w:rPr>
        <w:t>年），洪范池镇进一步优化提升</w:t>
      </w:r>
      <w:r>
        <w:rPr>
          <w:rFonts w:hint="eastAsia"/>
          <w:color w:val="000000" w:themeColor="text1"/>
          <w:sz w:val="28"/>
          <w:szCs w:val="28"/>
        </w:rPr>
        <w:t>再生水厂的处理工艺，提升净水效率，</w:t>
      </w:r>
      <w:r>
        <w:rPr>
          <w:rFonts w:hint="eastAsia"/>
          <w:color w:val="000000" w:themeColor="text1"/>
          <w:sz w:val="28"/>
          <w:szCs w:val="36"/>
        </w:rPr>
        <w:t>供水规模仍为0</w:t>
      </w:r>
      <w:r>
        <w:rPr>
          <w:color w:val="000000" w:themeColor="text1"/>
          <w:sz w:val="28"/>
          <w:szCs w:val="36"/>
        </w:rPr>
        <w:t>.2</w:t>
      </w:r>
      <w:r>
        <w:rPr>
          <w:rFonts w:hint="eastAsia"/>
          <w:color w:val="000000" w:themeColor="text1"/>
          <w:sz w:val="28"/>
          <w:szCs w:val="36"/>
        </w:rPr>
        <w:t>万</w:t>
      </w:r>
      <w:r>
        <w:rPr>
          <w:color w:val="000000" w:themeColor="text1"/>
          <w:sz w:val="28"/>
          <w:szCs w:val="36"/>
        </w:rPr>
        <w:t>m</w:t>
      </w:r>
      <w:r>
        <w:rPr>
          <w:color w:val="000000" w:themeColor="text1"/>
          <w:sz w:val="28"/>
          <w:szCs w:val="36"/>
          <w:vertAlign w:val="superscript"/>
        </w:rPr>
        <w:t>3</w:t>
      </w:r>
      <w:r>
        <w:rPr>
          <w:color w:val="000000" w:themeColor="text1"/>
          <w:sz w:val="28"/>
          <w:szCs w:val="36"/>
        </w:rPr>
        <w:t>/d</w:t>
      </w:r>
      <w:r>
        <w:rPr>
          <w:rFonts w:hint="eastAsia"/>
          <w:color w:val="000000" w:themeColor="text1"/>
          <w:sz w:val="28"/>
          <w:szCs w:val="36"/>
        </w:rPr>
        <w:t>。洪范池镇</w:t>
      </w:r>
      <w:r>
        <w:rPr>
          <w:rFonts w:hint="eastAsia"/>
          <w:color w:val="000000" w:themeColor="text1"/>
          <w:sz w:val="28"/>
          <w:szCs w:val="28"/>
        </w:rPr>
        <w:t>再生水负责向当地城市杂用水供水。</w:t>
      </w:r>
    </w:p>
    <w:p w14:paraId="56EB395E">
      <w:pPr>
        <w:snapToGrid w:val="0"/>
        <w:spacing w:before="120" w:beforeLines="50" w:after="120" w:afterLines="50" w:line="600" w:lineRule="exact"/>
        <w:outlineLvl w:val="1"/>
        <w:rPr>
          <w:b/>
          <w:color w:val="000000" w:themeColor="text1"/>
          <w:sz w:val="30"/>
          <w:szCs w:val="30"/>
        </w:rPr>
      </w:pPr>
      <w:bookmarkStart w:id="194" w:name="_Toc144243746"/>
      <w:bookmarkStart w:id="195" w:name="_Toc181472946"/>
      <w:r>
        <w:rPr>
          <w:b/>
          <w:color w:val="000000" w:themeColor="text1"/>
          <w:sz w:val="30"/>
          <w:szCs w:val="30"/>
        </w:rPr>
        <w:t>7.2 再生水厂</w:t>
      </w:r>
      <w:r>
        <w:rPr>
          <w:rFonts w:hint="eastAsia"/>
          <w:b/>
          <w:color w:val="000000" w:themeColor="text1"/>
          <w:sz w:val="30"/>
          <w:szCs w:val="30"/>
        </w:rPr>
        <w:t>工程规划</w:t>
      </w:r>
      <w:bookmarkEnd w:id="194"/>
      <w:bookmarkEnd w:id="195"/>
    </w:p>
    <w:p w14:paraId="397951B8">
      <w:pPr>
        <w:autoSpaceDE w:val="0"/>
        <w:autoSpaceDN w:val="0"/>
        <w:adjustRightInd w:val="0"/>
        <w:snapToGrid w:val="0"/>
        <w:spacing w:line="600" w:lineRule="exact"/>
        <w:textAlignment w:val="bottom"/>
        <w:outlineLvl w:val="2"/>
        <w:rPr>
          <w:b/>
          <w:color w:val="000000" w:themeColor="text1"/>
          <w:sz w:val="28"/>
          <w:szCs w:val="28"/>
        </w:rPr>
      </w:pPr>
      <w:bookmarkStart w:id="196" w:name="_Toc144243747"/>
      <w:bookmarkStart w:id="197" w:name="_Toc143780518"/>
      <w:r>
        <w:rPr>
          <w:b/>
          <w:color w:val="000000" w:themeColor="text1"/>
          <w:sz w:val="28"/>
          <w:szCs w:val="28"/>
        </w:rPr>
        <w:t xml:space="preserve">7.2.1 </w:t>
      </w:r>
      <w:r>
        <w:rPr>
          <w:rFonts w:hint="eastAsia"/>
          <w:b/>
          <w:color w:val="000000" w:themeColor="text1"/>
          <w:sz w:val="28"/>
          <w:szCs w:val="28"/>
        </w:rPr>
        <w:t>再生水水源</w:t>
      </w:r>
      <w:bookmarkEnd w:id="196"/>
      <w:bookmarkEnd w:id="197"/>
    </w:p>
    <w:p w14:paraId="638E0EB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平阴县各片区的再生水厂以该区域内污水处理厂的出水为再生水水源，平阴县各污水处理厂的出水均达到《城镇污水处理厂污染物排放标准》（GB18918-2002）一级A 标准，部分水厂的出水达到《地表水环境质量标准》（GB3838-2002）Ⅳ类标准，各污水处理厂出水水质标准详见表</w:t>
      </w:r>
      <w:r>
        <w:rPr>
          <w:color w:val="000000" w:themeColor="text1"/>
          <w:sz w:val="28"/>
          <w:szCs w:val="36"/>
        </w:rPr>
        <w:t>7.2-1</w:t>
      </w:r>
      <w:r>
        <w:rPr>
          <w:rFonts w:hint="eastAsia"/>
          <w:color w:val="000000" w:themeColor="text1"/>
          <w:sz w:val="28"/>
          <w:szCs w:val="36"/>
        </w:rPr>
        <w:t>。目前，平阴县各污水处理厂的外排水就近排入附近水体，污水再生回用条件已具备。</w:t>
      </w:r>
    </w:p>
    <w:p w14:paraId="4A020396">
      <w:pPr>
        <w:autoSpaceDE w:val="0"/>
        <w:autoSpaceDN w:val="0"/>
        <w:spacing w:line="600" w:lineRule="exact"/>
        <w:jc w:val="center"/>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 xml:space="preserve">7.2-1  </w:t>
      </w:r>
      <w:r>
        <w:rPr>
          <w:rFonts w:hint="eastAsia"/>
          <w:b/>
          <w:bCs/>
          <w:color w:val="000000" w:themeColor="text1"/>
          <w:sz w:val="24"/>
          <w:szCs w:val="32"/>
        </w:rPr>
        <w:t>平阴县与再生水规划相关污水处理厂的出水水质标准一览表</w:t>
      </w:r>
    </w:p>
    <w:tbl>
      <w:tblPr>
        <w:tblStyle w:val="46"/>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2693"/>
        <w:gridCol w:w="3713"/>
        <w:gridCol w:w="1015"/>
      </w:tblGrid>
      <w:tr w14:paraId="52AA9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noWrap/>
            <w:vAlign w:val="center"/>
          </w:tcPr>
          <w:p w14:paraId="05F9A77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分区</w:t>
            </w:r>
          </w:p>
        </w:tc>
        <w:tc>
          <w:tcPr>
            <w:tcW w:w="2693" w:type="dxa"/>
            <w:noWrap/>
            <w:vAlign w:val="center"/>
          </w:tcPr>
          <w:p w14:paraId="55995B0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污水处理厂名称</w:t>
            </w:r>
          </w:p>
        </w:tc>
        <w:tc>
          <w:tcPr>
            <w:tcW w:w="3713" w:type="dxa"/>
            <w:noWrap/>
            <w:vAlign w:val="center"/>
          </w:tcPr>
          <w:p w14:paraId="77456E6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出水水质标准</w:t>
            </w:r>
          </w:p>
        </w:tc>
        <w:tc>
          <w:tcPr>
            <w:tcW w:w="1015" w:type="dxa"/>
            <w:noWrap/>
            <w:vAlign w:val="center"/>
          </w:tcPr>
          <w:p w14:paraId="3DAA8B3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备注</w:t>
            </w:r>
          </w:p>
        </w:tc>
      </w:tr>
      <w:tr w14:paraId="41CBB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Merge w:val="restart"/>
            <w:vAlign w:val="center"/>
          </w:tcPr>
          <w:p w14:paraId="7628393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中心城区</w:t>
            </w:r>
          </w:p>
        </w:tc>
        <w:tc>
          <w:tcPr>
            <w:tcW w:w="2693" w:type="dxa"/>
            <w:noWrap/>
            <w:vAlign w:val="center"/>
          </w:tcPr>
          <w:p w14:paraId="0027540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平阴水务发展有限公司（一厂）</w:t>
            </w:r>
          </w:p>
        </w:tc>
        <w:tc>
          <w:tcPr>
            <w:tcW w:w="3713" w:type="dxa"/>
            <w:noWrap/>
            <w:vAlign w:val="center"/>
          </w:tcPr>
          <w:p w14:paraId="7FCFB68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《城镇污水处理厂污染物排放标准》（GB18918-2002）一级A 标准</w:t>
            </w:r>
          </w:p>
        </w:tc>
        <w:tc>
          <w:tcPr>
            <w:tcW w:w="1015" w:type="dxa"/>
            <w:noWrap/>
            <w:vAlign w:val="center"/>
          </w:tcPr>
          <w:p w14:paraId="5E997FE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已建</w:t>
            </w:r>
          </w:p>
        </w:tc>
      </w:tr>
      <w:tr w14:paraId="6DB09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Merge w:val="continue"/>
            <w:vAlign w:val="center"/>
          </w:tcPr>
          <w:p w14:paraId="402314B2">
            <w:pPr>
              <w:widowControl/>
              <w:adjustRightInd w:val="0"/>
              <w:snapToGrid w:val="0"/>
              <w:ind w:left="-105" w:leftChars="-50" w:right="-105" w:rightChars="-50"/>
              <w:jc w:val="left"/>
              <w:rPr>
                <w:color w:val="000000" w:themeColor="text1"/>
                <w:kern w:val="0"/>
                <w:sz w:val="22"/>
                <w:szCs w:val="22"/>
              </w:rPr>
            </w:pPr>
          </w:p>
        </w:tc>
        <w:tc>
          <w:tcPr>
            <w:tcW w:w="2693" w:type="dxa"/>
            <w:noWrap/>
            <w:vAlign w:val="center"/>
          </w:tcPr>
          <w:p w14:paraId="1CDDC09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锦水河西支再生水利用工程</w:t>
            </w:r>
          </w:p>
        </w:tc>
        <w:tc>
          <w:tcPr>
            <w:tcW w:w="3713" w:type="dxa"/>
            <w:noWrap/>
            <w:vAlign w:val="center"/>
          </w:tcPr>
          <w:p w14:paraId="0233199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《地表水环境质量标准》（GB3838-2002）Ⅳ类标准</w:t>
            </w:r>
          </w:p>
        </w:tc>
        <w:tc>
          <w:tcPr>
            <w:tcW w:w="1015" w:type="dxa"/>
            <w:noWrap/>
            <w:vAlign w:val="center"/>
          </w:tcPr>
          <w:p w14:paraId="7D6A2F9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近</w:t>
            </w:r>
            <w:r>
              <w:rPr>
                <w:color w:val="000000" w:themeColor="text1"/>
                <w:kern w:val="0"/>
                <w:sz w:val="22"/>
                <w:szCs w:val="22"/>
              </w:rPr>
              <w:t>期规划建设</w:t>
            </w:r>
          </w:p>
        </w:tc>
      </w:tr>
      <w:tr w14:paraId="2B25E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Align w:val="center"/>
          </w:tcPr>
          <w:p w14:paraId="2B91936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安城镇</w:t>
            </w:r>
          </w:p>
        </w:tc>
        <w:tc>
          <w:tcPr>
            <w:tcW w:w="2693" w:type="dxa"/>
            <w:noWrap/>
            <w:vAlign w:val="center"/>
          </w:tcPr>
          <w:p w14:paraId="0AD0030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平阴水务发展有限公司（二厂）</w:t>
            </w:r>
          </w:p>
        </w:tc>
        <w:tc>
          <w:tcPr>
            <w:tcW w:w="3713" w:type="dxa"/>
            <w:noWrap/>
            <w:vAlign w:val="center"/>
          </w:tcPr>
          <w:p w14:paraId="6910D0A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《地表水环境质量标准》（GB3838-2002）Ⅳ类标准</w:t>
            </w:r>
          </w:p>
        </w:tc>
        <w:tc>
          <w:tcPr>
            <w:tcW w:w="1015" w:type="dxa"/>
            <w:noWrap/>
            <w:vAlign w:val="center"/>
          </w:tcPr>
          <w:p w14:paraId="4521577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已建</w:t>
            </w:r>
          </w:p>
        </w:tc>
      </w:tr>
      <w:tr w14:paraId="0DF7F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Align w:val="center"/>
          </w:tcPr>
          <w:p w14:paraId="6845B57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东阿镇</w:t>
            </w:r>
          </w:p>
        </w:tc>
        <w:tc>
          <w:tcPr>
            <w:tcW w:w="2693" w:type="dxa"/>
            <w:noWrap/>
            <w:vAlign w:val="center"/>
          </w:tcPr>
          <w:p w14:paraId="554F5A6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平阴水务发展有限公司（三厂）</w:t>
            </w:r>
          </w:p>
        </w:tc>
        <w:tc>
          <w:tcPr>
            <w:tcW w:w="3713" w:type="dxa"/>
            <w:noWrap/>
            <w:vAlign w:val="center"/>
          </w:tcPr>
          <w:p w14:paraId="604C799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《地表水环境质量标准》（GB3838-2002）Ⅳ类标准</w:t>
            </w:r>
          </w:p>
        </w:tc>
        <w:tc>
          <w:tcPr>
            <w:tcW w:w="1015" w:type="dxa"/>
            <w:noWrap/>
            <w:vAlign w:val="center"/>
          </w:tcPr>
          <w:p w14:paraId="70E14A9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已建</w:t>
            </w:r>
          </w:p>
        </w:tc>
      </w:tr>
      <w:tr w14:paraId="221FA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Align w:val="center"/>
          </w:tcPr>
          <w:p w14:paraId="7BF2E9D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孔村镇</w:t>
            </w:r>
          </w:p>
        </w:tc>
        <w:tc>
          <w:tcPr>
            <w:tcW w:w="2693" w:type="dxa"/>
            <w:noWrap/>
            <w:vAlign w:val="center"/>
          </w:tcPr>
          <w:p w14:paraId="31014594">
            <w:pPr>
              <w:widowControl/>
              <w:adjustRightInd w:val="0"/>
              <w:snapToGrid w:val="0"/>
              <w:ind w:left="-105" w:leftChars="-50" w:right="-105" w:rightChars="-50"/>
              <w:jc w:val="center"/>
              <w:rPr>
                <w:color w:val="000000" w:themeColor="text1"/>
                <w:kern w:val="0"/>
                <w:sz w:val="22"/>
                <w:szCs w:val="22"/>
              </w:rPr>
            </w:pPr>
            <w:r>
              <w:rPr>
                <w:rFonts w:hint="eastAsia"/>
                <w:color w:val="000000"/>
                <w:sz w:val="22"/>
                <w:szCs w:val="22"/>
              </w:rPr>
              <w:t>平阴县中环水务有限公司</w:t>
            </w:r>
            <w:r>
              <w:rPr>
                <w:rFonts w:hint="eastAsia"/>
                <w:color w:val="000000"/>
                <w:sz w:val="22"/>
                <w:szCs w:val="22"/>
                <w:lang w:eastAsia="zh-CN"/>
              </w:rPr>
              <w:t>（</w:t>
            </w:r>
            <w:r>
              <w:rPr>
                <w:rFonts w:hint="eastAsia"/>
                <w:color w:val="000000"/>
                <w:sz w:val="22"/>
                <w:szCs w:val="22"/>
              </w:rPr>
              <w:t>孔村厂）</w:t>
            </w:r>
          </w:p>
        </w:tc>
        <w:tc>
          <w:tcPr>
            <w:tcW w:w="3713" w:type="dxa"/>
            <w:noWrap/>
            <w:vAlign w:val="center"/>
          </w:tcPr>
          <w:p w14:paraId="18D7176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《城镇污水处理厂污染物排放标准》（GB18918-2002）一级A 标准</w:t>
            </w:r>
          </w:p>
        </w:tc>
        <w:tc>
          <w:tcPr>
            <w:tcW w:w="1015" w:type="dxa"/>
            <w:noWrap/>
            <w:vAlign w:val="center"/>
          </w:tcPr>
          <w:p w14:paraId="0EA9C60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已建</w:t>
            </w:r>
          </w:p>
        </w:tc>
      </w:tr>
      <w:tr w14:paraId="33B7F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Align w:val="center"/>
          </w:tcPr>
          <w:p w14:paraId="3495CB6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孝直镇</w:t>
            </w:r>
          </w:p>
        </w:tc>
        <w:tc>
          <w:tcPr>
            <w:tcW w:w="2693" w:type="dxa"/>
            <w:noWrap/>
            <w:vAlign w:val="center"/>
          </w:tcPr>
          <w:p w14:paraId="71A84C56">
            <w:pPr>
              <w:widowControl/>
              <w:adjustRightInd w:val="0"/>
              <w:snapToGrid w:val="0"/>
              <w:ind w:left="-105" w:leftChars="-50" w:right="-105" w:rightChars="-50"/>
              <w:jc w:val="center"/>
              <w:rPr>
                <w:color w:val="000000" w:themeColor="text1"/>
                <w:kern w:val="0"/>
                <w:sz w:val="22"/>
                <w:szCs w:val="22"/>
              </w:rPr>
            </w:pPr>
            <w:r>
              <w:rPr>
                <w:rFonts w:hint="eastAsia"/>
                <w:color w:val="000000"/>
                <w:sz w:val="22"/>
                <w:szCs w:val="22"/>
              </w:rPr>
              <w:t>平阴县中环水务有限公司</w:t>
            </w:r>
            <w:r>
              <w:rPr>
                <w:rFonts w:hint="eastAsia"/>
                <w:color w:val="000000"/>
                <w:sz w:val="22"/>
                <w:szCs w:val="22"/>
                <w:lang w:eastAsia="zh-CN"/>
              </w:rPr>
              <w:t>（</w:t>
            </w:r>
            <w:r>
              <w:rPr>
                <w:rFonts w:hint="eastAsia"/>
                <w:color w:val="000000"/>
                <w:sz w:val="22"/>
                <w:szCs w:val="22"/>
              </w:rPr>
              <w:t>孝直厂）</w:t>
            </w:r>
          </w:p>
        </w:tc>
        <w:tc>
          <w:tcPr>
            <w:tcW w:w="3713" w:type="dxa"/>
            <w:noWrap/>
            <w:vAlign w:val="center"/>
          </w:tcPr>
          <w:p w14:paraId="608561F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《城镇污水处理厂污染物排放标准》（GB18918-2002）一级A 标准</w:t>
            </w:r>
          </w:p>
        </w:tc>
        <w:tc>
          <w:tcPr>
            <w:tcW w:w="1015" w:type="dxa"/>
            <w:noWrap/>
            <w:vAlign w:val="center"/>
          </w:tcPr>
          <w:p w14:paraId="780D5D0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已建</w:t>
            </w:r>
          </w:p>
        </w:tc>
      </w:tr>
      <w:tr w14:paraId="3A928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Align w:val="center"/>
          </w:tcPr>
          <w:p w14:paraId="33B57D1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玫瑰镇</w:t>
            </w:r>
          </w:p>
        </w:tc>
        <w:tc>
          <w:tcPr>
            <w:tcW w:w="2693" w:type="dxa"/>
            <w:noWrap/>
            <w:vAlign w:val="center"/>
          </w:tcPr>
          <w:p w14:paraId="548BF8E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玫瑰镇污水处理厂</w:t>
            </w:r>
          </w:p>
        </w:tc>
        <w:tc>
          <w:tcPr>
            <w:tcW w:w="3713" w:type="dxa"/>
            <w:noWrap/>
            <w:vAlign w:val="center"/>
          </w:tcPr>
          <w:p w14:paraId="18D875D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《地表水环境质量标准》（GB3838-2002）Ⅳ类标准</w:t>
            </w:r>
          </w:p>
        </w:tc>
        <w:tc>
          <w:tcPr>
            <w:tcW w:w="1015" w:type="dxa"/>
            <w:noWrap/>
            <w:vAlign w:val="center"/>
          </w:tcPr>
          <w:p w14:paraId="432D43E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近期规划建设</w:t>
            </w:r>
          </w:p>
        </w:tc>
      </w:tr>
      <w:tr w14:paraId="37E11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988" w:type="dxa"/>
            <w:vAlign w:val="center"/>
          </w:tcPr>
          <w:p w14:paraId="2279343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洪范池镇</w:t>
            </w:r>
          </w:p>
        </w:tc>
        <w:tc>
          <w:tcPr>
            <w:tcW w:w="2693" w:type="dxa"/>
            <w:noWrap/>
            <w:vAlign w:val="center"/>
          </w:tcPr>
          <w:p w14:paraId="1ED5A46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洪范池镇污水处理厂</w:t>
            </w:r>
          </w:p>
        </w:tc>
        <w:tc>
          <w:tcPr>
            <w:tcW w:w="3713" w:type="dxa"/>
            <w:noWrap/>
            <w:vAlign w:val="center"/>
          </w:tcPr>
          <w:p w14:paraId="051115F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《地表水环境质量标准》（GB3838-2002）Ⅳ类标准</w:t>
            </w:r>
          </w:p>
        </w:tc>
        <w:tc>
          <w:tcPr>
            <w:tcW w:w="1015" w:type="dxa"/>
            <w:noWrap/>
            <w:vAlign w:val="center"/>
          </w:tcPr>
          <w:p w14:paraId="7B84FCB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近期规划建设</w:t>
            </w:r>
          </w:p>
        </w:tc>
      </w:tr>
    </w:tbl>
    <w:p w14:paraId="5340D0FD">
      <w:pPr>
        <w:autoSpaceDE w:val="0"/>
        <w:autoSpaceDN w:val="0"/>
        <w:adjustRightInd w:val="0"/>
        <w:snapToGrid w:val="0"/>
        <w:spacing w:line="600" w:lineRule="exact"/>
        <w:textAlignment w:val="bottom"/>
        <w:outlineLvl w:val="2"/>
        <w:rPr>
          <w:b/>
          <w:color w:val="000000" w:themeColor="text1"/>
          <w:sz w:val="28"/>
          <w:szCs w:val="28"/>
        </w:rPr>
      </w:pPr>
      <w:bookmarkStart w:id="198" w:name="_Toc143780519"/>
      <w:bookmarkStart w:id="199" w:name="_Toc144243748"/>
      <w:r>
        <w:rPr>
          <w:b/>
          <w:color w:val="000000" w:themeColor="text1"/>
          <w:sz w:val="28"/>
          <w:szCs w:val="28"/>
        </w:rPr>
        <w:t xml:space="preserve">7.2.2 </w:t>
      </w:r>
      <w:r>
        <w:rPr>
          <w:rFonts w:hint="eastAsia"/>
          <w:b/>
          <w:color w:val="000000" w:themeColor="text1"/>
          <w:sz w:val="28"/>
          <w:szCs w:val="28"/>
        </w:rPr>
        <w:t>再生水厂厂址</w:t>
      </w:r>
      <w:bookmarkEnd w:id="198"/>
      <w:bookmarkEnd w:id="199"/>
    </w:p>
    <w:p w14:paraId="21A56E9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平阴县各污水再生利用系统中规划的再生水厂尽量与现有污水处理厂相结合，污水处理厂厂内有建设条件的，优先选择建设在污水处理厂厂内，厂内没有用地条件的，考虑在紧靠污水处理厂的区域建设，适当征地，以节省建设投资，方便管理。</w:t>
      </w:r>
    </w:p>
    <w:p w14:paraId="20302927">
      <w:pPr>
        <w:autoSpaceDE w:val="0"/>
        <w:autoSpaceDN w:val="0"/>
        <w:adjustRightInd w:val="0"/>
        <w:snapToGrid w:val="0"/>
        <w:spacing w:line="600" w:lineRule="exact"/>
        <w:textAlignment w:val="bottom"/>
        <w:outlineLvl w:val="2"/>
        <w:rPr>
          <w:b/>
          <w:color w:val="000000" w:themeColor="text1"/>
          <w:sz w:val="28"/>
          <w:szCs w:val="28"/>
        </w:rPr>
      </w:pPr>
      <w:bookmarkStart w:id="200" w:name="_Toc144243749"/>
      <w:bookmarkStart w:id="201" w:name="_Toc143780520"/>
      <w:r>
        <w:rPr>
          <w:b/>
          <w:color w:val="000000" w:themeColor="text1"/>
          <w:sz w:val="28"/>
          <w:szCs w:val="28"/>
        </w:rPr>
        <w:t xml:space="preserve">7.2.3 </w:t>
      </w:r>
      <w:r>
        <w:rPr>
          <w:rFonts w:hint="eastAsia"/>
          <w:b/>
          <w:color w:val="000000" w:themeColor="text1"/>
          <w:sz w:val="28"/>
          <w:szCs w:val="28"/>
        </w:rPr>
        <w:t>设计进水水质</w:t>
      </w:r>
      <w:bookmarkEnd w:id="200"/>
      <w:bookmarkEnd w:id="201"/>
    </w:p>
    <w:p w14:paraId="7757FF40">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平阴县规划建设再生水厂以污水处理厂的出水为水源。因此污水处理厂设计出水水质即为再生水厂设计进水水质，即《城镇污水处理厂污染物排放标准》（GB18918-2002）一级A 标准或者《地表水环境质量标准》（GB3838-2002）Ⅳ类标准，主要污染物浓度详见表</w:t>
      </w:r>
      <w:r>
        <w:rPr>
          <w:color w:val="000000" w:themeColor="text1"/>
          <w:sz w:val="28"/>
          <w:szCs w:val="36"/>
        </w:rPr>
        <w:t>7.2-2</w:t>
      </w:r>
      <w:r>
        <w:rPr>
          <w:rFonts w:hint="eastAsia"/>
          <w:color w:val="000000" w:themeColor="text1"/>
          <w:sz w:val="28"/>
          <w:szCs w:val="36"/>
        </w:rPr>
        <w:t>。</w:t>
      </w:r>
    </w:p>
    <w:p w14:paraId="1C0C9FBC">
      <w:pPr>
        <w:autoSpaceDE w:val="0"/>
        <w:autoSpaceDN w:val="0"/>
        <w:spacing w:line="600" w:lineRule="exact"/>
        <w:jc w:val="right"/>
        <w:textAlignment w:val="baseline"/>
        <w:rPr>
          <w:b/>
          <w:bCs/>
          <w:color w:val="000000" w:themeColor="text1"/>
          <w:sz w:val="24"/>
          <w:szCs w:val="32"/>
        </w:rPr>
      </w:pPr>
      <w:r>
        <w:rPr>
          <w:rFonts w:hint="eastAsia"/>
          <w:b/>
          <w:bCs/>
          <w:color w:val="000000" w:themeColor="text1"/>
          <w:sz w:val="24"/>
          <w:szCs w:val="32"/>
        </w:rPr>
        <w:t>表</w:t>
      </w:r>
      <w:r>
        <w:rPr>
          <w:b/>
          <w:bCs/>
          <w:color w:val="000000" w:themeColor="text1"/>
          <w:sz w:val="24"/>
          <w:szCs w:val="32"/>
        </w:rPr>
        <w:t xml:space="preserve">7.2-2  </w:t>
      </w:r>
      <w:r>
        <w:rPr>
          <w:rFonts w:hint="eastAsia"/>
          <w:b/>
          <w:bCs/>
          <w:color w:val="000000" w:themeColor="text1"/>
          <w:sz w:val="24"/>
          <w:szCs w:val="32"/>
        </w:rPr>
        <w:t xml:space="preserve">平阴县再生水厂设计进水主要污染物水质标准 </w:t>
      </w:r>
      <w:r>
        <w:rPr>
          <w:b/>
          <w:bCs/>
          <w:color w:val="000000" w:themeColor="text1"/>
          <w:sz w:val="24"/>
          <w:szCs w:val="32"/>
        </w:rPr>
        <w:t xml:space="preserve">     </w:t>
      </w:r>
      <w:r>
        <w:rPr>
          <w:rFonts w:hint="eastAsia"/>
          <w:b/>
          <w:bCs/>
          <w:color w:val="000000" w:themeColor="text1"/>
          <w:sz w:val="24"/>
          <w:szCs w:val="32"/>
        </w:rPr>
        <w:t>单位：mg</w:t>
      </w:r>
      <w:r>
        <w:rPr>
          <w:b/>
          <w:bCs/>
          <w:color w:val="000000" w:themeColor="text1"/>
          <w:sz w:val="24"/>
          <w:szCs w:val="32"/>
        </w:rPr>
        <w:t>/</w:t>
      </w:r>
      <w:r>
        <w:rPr>
          <w:rFonts w:hint="eastAsia"/>
          <w:b/>
          <w:bCs/>
          <w:color w:val="000000" w:themeColor="text1"/>
          <w:sz w:val="24"/>
          <w:szCs w:val="32"/>
        </w:rPr>
        <w:t>L</w:t>
      </w:r>
    </w:p>
    <w:tbl>
      <w:tblPr>
        <w:tblStyle w:val="46"/>
        <w:tblW w:w="8840" w:type="dxa"/>
        <w:jc w:val="center"/>
        <w:tblLayout w:type="fixed"/>
        <w:tblCellMar>
          <w:top w:w="0" w:type="dxa"/>
          <w:left w:w="108" w:type="dxa"/>
          <w:bottom w:w="0" w:type="dxa"/>
          <w:right w:w="108" w:type="dxa"/>
        </w:tblCellMar>
      </w:tblPr>
      <w:tblGrid>
        <w:gridCol w:w="2961"/>
        <w:gridCol w:w="979"/>
        <w:gridCol w:w="980"/>
        <w:gridCol w:w="980"/>
        <w:gridCol w:w="980"/>
        <w:gridCol w:w="980"/>
        <w:gridCol w:w="980"/>
      </w:tblGrid>
      <w:tr w14:paraId="58EBEAD0">
        <w:tblPrEx>
          <w:tblCellMar>
            <w:top w:w="0" w:type="dxa"/>
            <w:left w:w="108" w:type="dxa"/>
            <w:bottom w:w="0" w:type="dxa"/>
            <w:right w:w="108" w:type="dxa"/>
          </w:tblCellMar>
        </w:tblPrEx>
        <w:trPr>
          <w:trHeight w:val="582" w:hRule="atLeast"/>
          <w:jc w:val="center"/>
        </w:trPr>
        <w:tc>
          <w:tcPr>
            <w:tcW w:w="2961" w:type="dxa"/>
            <w:tcBorders>
              <w:top w:val="single" w:color="auto" w:sz="4" w:space="0"/>
              <w:left w:val="single" w:color="auto" w:sz="4" w:space="0"/>
              <w:bottom w:val="single" w:color="auto" w:sz="4" w:space="0"/>
              <w:right w:val="single" w:color="auto" w:sz="4" w:space="0"/>
            </w:tcBorders>
            <w:noWrap/>
            <w:vAlign w:val="center"/>
          </w:tcPr>
          <w:p w14:paraId="4A78423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指标</w:t>
            </w:r>
          </w:p>
        </w:tc>
        <w:tc>
          <w:tcPr>
            <w:tcW w:w="979" w:type="dxa"/>
            <w:tcBorders>
              <w:top w:val="single" w:color="auto" w:sz="4" w:space="0"/>
              <w:left w:val="nil"/>
              <w:bottom w:val="single" w:color="auto" w:sz="4" w:space="0"/>
              <w:right w:val="single" w:color="auto" w:sz="4" w:space="0"/>
            </w:tcBorders>
            <w:noWrap/>
            <w:vAlign w:val="center"/>
          </w:tcPr>
          <w:p w14:paraId="029079C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BOD</w:t>
            </w:r>
            <w:r>
              <w:rPr>
                <w:color w:val="000000" w:themeColor="text1"/>
                <w:kern w:val="0"/>
                <w:sz w:val="22"/>
                <w:szCs w:val="22"/>
                <w:vertAlign w:val="subscript"/>
              </w:rPr>
              <w:t>5</w:t>
            </w:r>
          </w:p>
        </w:tc>
        <w:tc>
          <w:tcPr>
            <w:tcW w:w="980" w:type="dxa"/>
            <w:tcBorders>
              <w:top w:val="single" w:color="auto" w:sz="4" w:space="0"/>
              <w:left w:val="nil"/>
              <w:bottom w:val="single" w:color="auto" w:sz="4" w:space="0"/>
              <w:right w:val="single" w:color="auto" w:sz="4" w:space="0"/>
            </w:tcBorders>
            <w:noWrap/>
            <w:vAlign w:val="center"/>
          </w:tcPr>
          <w:p w14:paraId="7B9D1D5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COD</w:t>
            </w:r>
            <w:r>
              <w:rPr>
                <w:color w:val="000000" w:themeColor="text1"/>
                <w:kern w:val="0"/>
                <w:sz w:val="22"/>
                <w:szCs w:val="22"/>
                <w:vertAlign w:val="subscript"/>
              </w:rPr>
              <w:t>cr</w:t>
            </w:r>
          </w:p>
        </w:tc>
        <w:tc>
          <w:tcPr>
            <w:tcW w:w="980" w:type="dxa"/>
            <w:tcBorders>
              <w:top w:val="single" w:color="auto" w:sz="4" w:space="0"/>
              <w:left w:val="nil"/>
              <w:bottom w:val="single" w:color="auto" w:sz="4" w:space="0"/>
              <w:right w:val="single" w:color="auto" w:sz="4" w:space="0"/>
            </w:tcBorders>
            <w:vAlign w:val="center"/>
          </w:tcPr>
          <w:p w14:paraId="557C509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NH</w:t>
            </w:r>
            <w:r>
              <w:rPr>
                <w:color w:val="000000" w:themeColor="text1"/>
                <w:kern w:val="0"/>
                <w:sz w:val="22"/>
                <w:szCs w:val="22"/>
                <w:vertAlign w:val="subscript"/>
              </w:rPr>
              <w:t>3</w:t>
            </w:r>
            <w:r>
              <w:rPr>
                <w:color w:val="000000" w:themeColor="text1"/>
                <w:kern w:val="0"/>
                <w:sz w:val="22"/>
                <w:szCs w:val="22"/>
              </w:rPr>
              <w:t>-N</w:t>
            </w:r>
          </w:p>
        </w:tc>
        <w:tc>
          <w:tcPr>
            <w:tcW w:w="980" w:type="dxa"/>
            <w:tcBorders>
              <w:top w:val="single" w:color="auto" w:sz="4" w:space="0"/>
              <w:left w:val="nil"/>
              <w:bottom w:val="single" w:color="auto" w:sz="4" w:space="0"/>
              <w:right w:val="single" w:color="auto" w:sz="4" w:space="0"/>
            </w:tcBorders>
            <w:noWrap/>
            <w:vAlign w:val="center"/>
          </w:tcPr>
          <w:p w14:paraId="1D2D105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TN</w:t>
            </w:r>
          </w:p>
        </w:tc>
        <w:tc>
          <w:tcPr>
            <w:tcW w:w="980" w:type="dxa"/>
            <w:tcBorders>
              <w:top w:val="single" w:color="auto" w:sz="4" w:space="0"/>
              <w:left w:val="nil"/>
              <w:bottom w:val="single" w:color="auto" w:sz="4" w:space="0"/>
              <w:right w:val="single" w:color="auto" w:sz="4" w:space="0"/>
            </w:tcBorders>
            <w:noWrap/>
            <w:vAlign w:val="center"/>
          </w:tcPr>
          <w:p w14:paraId="64D9B99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TP</w:t>
            </w:r>
          </w:p>
        </w:tc>
        <w:tc>
          <w:tcPr>
            <w:tcW w:w="980" w:type="dxa"/>
            <w:tcBorders>
              <w:top w:val="single" w:color="auto" w:sz="4" w:space="0"/>
              <w:left w:val="nil"/>
              <w:bottom w:val="single" w:color="auto" w:sz="4" w:space="0"/>
              <w:right w:val="single" w:color="auto" w:sz="4" w:space="0"/>
            </w:tcBorders>
            <w:noWrap/>
            <w:vAlign w:val="center"/>
          </w:tcPr>
          <w:p w14:paraId="0FB2C99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SS</w:t>
            </w:r>
          </w:p>
        </w:tc>
      </w:tr>
      <w:tr w14:paraId="3F6E92CA">
        <w:tblPrEx>
          <w:tblCellMar>
            <w:top w:w="0" w:type="dxa"/>
            <w:left w:w="108" w:type="dxa"/>
            <w:bottom w:w="0" w:type="dxa"/>
            <w:right w:w="108" w:type="dxa"/>
          </w:tblCellMar>
        </w:tblPrEx>
        <w:trPr>
          <w:trHeight w:val="845" w:hRule="atLeast"/>
          <w:jc w:val="center"/>
        </w:trPr>
        <w:tc>
          <w:tcPr>
            <w:tcW w:w="2961" w:type="dxa"/>
            <w:tcBorders>
              <w:top w:val="nil"/>
              <w:left w:val="single" w:color="auto" w:sz="4" w:space="0"/>
              <w:bottom w:val="single" w:color="auto" w:sz="4" w:space="0"/>
              <w:right w:val="single" w:color="auto" w:sz="4" w:space="0"/>
            </w:tcBorders>
            <w:noWrap/>
            <w:vAlign w:val="center"/>
          </w:tcPr>
          <w:p w14:paraId="6D9C024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《城镇污水处理厂污染物排放标准》（GB18918-2002）一级A 标准</w:t>
            </w:r>
          </w:p>
        </w:tc>
        <w:tc>
          <w:tcPr>
            <w:tcW w:w="979" w:type="dxa"/>
            <w:tcBorders>
              <w:top w:val="nil"/>
              <w:left w:val="nil"/>
              <w:bottom w:val="single" w:color="auto" w:sz="4" w:space="0"/>
              <w:right w:val="single" w:color="auto" w:sz="4" w:space="0"/>
            </w:tcBorders>
            <w:noWrap/>
            <w:vAlign w:val="center"/>
          </w:tcPr>
          <w:p w14:paraId="151154E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80" w:type="dxa"/>
            <w:tcBorders>
              <w:top w:val="nil"/>
              <w:left w:val="nil"/>
              <w:bottom w:val="single" w:color="auto" w:sz="4" w:space="0"/>
              <w:right w:val="single" w:color="auto" w:sz="4" w:space="0"/>
            </w:tcBorders>
            <w:noWrap/>
            <w:vAlign w:val="center"/>
          </w:tcPr>
          <w:p w14:paraId="54F2475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50</w:t>
            </w:r>
          </w:p>
        </w:tc>
        <w:tc>
          <w:tcPr>
            <w:tcW w:w="980" w:type="dxa"/>
            <w:tcBorders>
              <w:top w:val="nil"/>
              <w:left w:val="nil"/>
              <w:bottom w:val="single" w:color="auto" w:sz="4" w:space="0"/>
              <w:right w:val="single" w:color="auto" w:sz="4" w:space="0"/>
            </w:tcBorders>
            <w:noWrap/>
            <w:vAlign w:val="center"/>
          </w:tcPr>
          <w:p w14:paraId="6DA74A9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980" w:type="dxa"/>
            <w:tcBorders>
              <w:top w:val="nil"/>
              <w:left w:val="nil"/>
              <w:bottom w:val="single" w:color="auto" w:sz="4" w:space="0"/>
              <w:right w:val="single" w:color="auto" w:sz="4" w:space="0"/>
            </w:tcBorders>
            <w:noWrap/>
            <w:vAlign w:val="center"/>
          </w:tcPr>
          <w:p w14:paraId="45E4697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980" w:type="dxa"/>
            <w:tcBorders>
              <w:top w:val="nil"/>
              <w:left w:val="nil"/>
              <w:bottom w:val="single" w:color="auto" w:sz="4" w:space="0"/>
              <w:right w:val="single" w:color="auto" w:sz="4" w:space="0"/>
            </w:tcBorders>
            <w:noWrap/>
            <w:vAlign w:val="center"/>
          </w:tcPr>
          <w:p w14:paraId="66AF4E3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c>
          <w:tcPr>
            <w:tcW w:w="980" w:type="dxa"/>
            <w:tcBorders>
              <w:top w:val="nil"/>
              <w:left w:val="nil"/>
              <w:bottom w:val="single" w:color="auto" w:sz="4" w:space="0"/>
              <w:right w:val="single" w:color="auto" w:sz="4" w:space="0"/>
            </w:tcBorders>
            <w:noWrap/>
            <w:vAlign w:val="center"/>
          </w:tcPr>
          <w:p w14:paraId="6E57F56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r>
      <w:tr w14:paraId="089C2B0C">
        <w:tblPrEx>
          <w:tblCellMar>
            <w:top w:w="0" w:type="dxa"/>
            <w:left w:w="108" w:type="dxa"/>
            <w:bottom w:w="0" w:type="dxa"/>
            <w:right w:w="108" w:type="dxa"/>
          </w:tblCellMar>
        </w:tblPrEx>
        <w:trPr>
          <w:trHeight w:val="972" w:hRule="atLeast"/>
          <w:jc w:val="center"/>
        </w:trPr>
        <w:tc>
          <w:tcPr>
            <w:tcW w:w="2961" w:type="dxa"/>
            <w:tcBorders>
              <w:top w:val="nil"/>
              <w:left w:val="single" w:color="auto" w:sz="4" w:space="0"/>
              <w:bottom w:val="single" w:color="auto" w:sz="4" w:space="0"/>
              <w:right w:val="single" w:color="auto" w:sz="4" w:space="0"/>
            </w:tcBorders>
            <w:noWrap/>
            <w:vAlign w:val="center"/>
          </w:tcPr>
          <w:p w14:paraId="10021A8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《地表水环境质量标准》（GB3838-2002）Ⅳ类标准</w:t>
            </w:r>
          </w:p>
        </w:tc>
        <w:tc>
          <w:tcPr>
            <w:tcW w:w="979" w:type="dxa"/>
            <w:tcBorders>
              <w:top w:val="nil"/>
              <w:left w:val="nil"/>
              <w:bottom w:val="single" w:color="auto" w:sz="4" w:space="0"/>
              <w:right w:val="single" w:color="auto" w:sz="4" w:space="0"/>
            </w:tcBorders>
            <w:noWrap/>
            <w:vAlign w:val="center"/>
          </w:tcPr>
          <w:p w14:paraId="3BC0DAB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9</w:t>
            </w:r>
          </w:p>
        </w:tc>
        <w:tc>
          <w:tcPr>
            <w:tcW w:w="980" w:type="dxa"/>
            <w:tcBorders>
              <w:top w:val="nil"/>
              <w:left w:val="nil"/>
              <w:bottom w:val="single" w:color="auto" w:sz="4" w:space="0"/>
              <w:right w:val="single" w:color="auto" w:sz="4" w:space="0"/>
            </w:tcBorders>
            <w:noWrap/>
            <w:vAlign w:val="center"/>
          </w:tcPr>
          <w:p w14:paraId="7093ED0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30</w:t>
            </w:r>
          </w:p>
        </w:tc>
        <w:tc>
          <w:tcPr>
            <w:tcW w:w="980" w:type="dxa"/>
            <w:tcBorders>
              <w:top w:val="nil"/>
              <w:left w:val="nil"/>
              <w:bottom w:val="single" w:color="auto" w:sz="4" w:space="0"/>
              <w:right w:val="single" w:color="auto" w:sz="4" w:space="0"/>
            </w:tcBorders>
            <w:noWrap/>
            <w:vAlign w:val="center"/>
          </w:tcPr>
          <w:p w14:paraId="75FA29F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980" w:type="dxa"/>
            <w:tcBorders>
              <w:top w:val="nil"/>
              <w:left w:val="nil"/>
              <w:bottom w:val="single" w:color="auto" w:sz="4" w:space="0"/>
              <w:right w:val="single" w:color="auto" w:sz="4" w:space="0"/>
            </w:tcBorders>
            <w:noWrap/>
            <w:vAlign w:val="center"/>
          </w:tcPr>
          <w:p w14:paraId="192900E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980" w:type="dxa"/>
            <w:tcBorders>
              <w:top w:val="nil"/>
              <w:left w:val="nil"/>
              <w:bottom w:val="single" w:color="auto" w:sz="4" w:space="0"/>
              <w:right w:val="single" w:color="auto" w:sz="4" w:space="0"/>
            </w:tcBorders>
            <w:noWrap/>
            <w:vAlign w:val="center"/>
          </w:tcPr>
          <w:p w14:paraId="5514C13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980" w:type="dxa"/>
            <w:tcBorders>
              <w:top w:val="nil"/>
              <w:left w:val="nil"/>
              <w:bottom w:val="single" w:color="auto" w:sz="4" w:space="0"/>
              <w:right w:val="single" w:color="auto" w:sz="4" w:space="0"/>
            </w:tcBorders>
            <w:noWrap/>
            <w:vAlign w:val="center"/>
          </w:tcPr>
          <w:p w14:paraId="1844206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bl>
    <w:p w14:paraId="10B7D12D">
      <w:pPr>
        <w:keepNext/>
        <w:autoSpaceDE w:val="0"/>
        <w:autoSpaceDN w:val="0"/>
        <w:adjustRightInd w:val="0"/>
        <w:snapToGrid w:val="0"/>
        <w:spacing w:line="600" w:lineRule="exact"/>
        <w:textAlignment w:val="bottom"/>
        <w:outlineLvl w:val="2"/>
        <w:rPr>
          <w:b/>
          <w:color w:val="000000" w:themeColor="text1"/>
          <w:sz w:val="28"/>
          <w:szCs w:val="28"/>
        </w:rPr>
      </w:pPr>
      <w:bookmarkStart w:id="202" w:name="_Toc144243750"/>
      <w:bookmarkStart w:id="203" w:name="_Toc143780521"/>
      <w:r>
        <w:rPr>
          <w:b/>
          <w:color w:val="000000" w:themeColor="text1"/>
          <w:sz w:val="28"/>
          <w:szCs w:val="28"/>
        </w:rPr>
        <w:t xml:space="preserve">7.2.4 </w:t>
      </w:r>
      <w:r>
        <w:rPr>
          <w:rFonts w:hint="eastAsia"/>
          <w:b/>
          <w:color w:val="000000" w:themeColor="text1"/>
          <w:sz w:val="28"/>
          <w:szCs w:val="28"/>
        </w:rPr>
        <w:t>设计出水水质</w:t>
      </w:r>
      <w:bookmarkEnd w:id="202"/>
      <w:bookmarkEnd w:id="203"/>
    </w:p>
    <w:p w14:paraId="256220C5">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再生水厂设计出水水质的确定需要充分考虑再生水用户对水质的要求，依据不同用途并结合国家相关规范标准确定。</w:t>
      </w:r>
    </w:p>
    <w:p w14:paraId="2682B59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由于污水水质和用水对象情况复杂，使用再生水的范围又非常广阔，为了使再生水水质既满足大多数再生水用水户所要求的水质标准，又要避免因采用过高的标准而导致再生水处理成本增高，不利于污水再生利用工程的推广，国家制定和颁布了以下有关城市污水再生利用的水质标准：</w:t>
      </w:r>
    </w:p>
    <w:p w14:paraId="7A63980F">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－《城市污水再生利用分类》（</w:t>
      </w:r>
      <w:r>
        <w:rPr>
          <w:color w:val="000000" w:themeColor="text1"/>
          <w:sz w:val="28"/>
          <w:szCs w:val="36"/>
        </w:rPr>
        <w:t>GB/T 18919-2002</w:t>
      </w:r>
      <w:r>
        <w:rPr>
          <w:rFonts w:hint="eastAsia"/>
          <w:color w:val="000000" w:themeColor="text1"/>
          <w:sz w:val="28"/>
          <w:szCs w:val="36"/>
        </w:rPr>
        <w:t>）；</w:t>
      </w:r>
    </w:p>
    <w:p w14:paraId="59CD66DE">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 工业用水水质》（</w:t>
      </w:r>
      <w:r>
        <w:rPr>
          <w:color w:val="000000" w:themeColor="text1"/>
          <w:sz w:val="28"/>
          <w:szCs w:val="36"/>
        </w:rPr>
        <w:t>GB/T 19923-20</w:t>
      </w:r>
      <w:r>
        <w:rPr>
          <w:rFonts w:hint="eastAsia"/>
          <w:color w:val="000000" w:themeColor="text1"/>
          <w:sz w:val="28"/>
          <w:szCs w:val="36"/>
        </w:rPr>
        <w:t>24）；</w:t>
      </w:r>
    </w:p>
    <w:p w14:paraId="37F0306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 城市杂用水水质》（</w:t>
      </w:r>
      <w:r>
        <w:rPr>
          <w:color w:val="000000" w:themeColor="text1"/>
          <w:sz w:val="28"/>
          <w:szCs w:val="36"/>
        </w:rPr>
        <w:t>GB/T 18920-20</w:t>
      </w:r>
      <w:r>
        <w:rPr>
          <w:rFonts w:hint="eastAsia"/>
          <w:color w:val="000000" w:themeColor="text1"/>
          <w:sz w:val="28"/>
          <w:szCs w:val="36"/>
        </w:rPr>
        <w:t>20）；</w:t>
      </w:r>
    </w:p>
    <w:p w14:paraId="147D025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 景观环境用水水质》（GB</w:t>
      </w:r>
      <w:r>
        <w:rPr>
          <w:color w:val="000000" w:themeColor="text1"/>
          <w:sz w:val="28"/>
          <w:szCs w:val="36"/>
        </w:rPr>
        <w:t>/</w:t>
      </w:r>
      <w:r>
        <w:rPr>
          <w:rFonts w:hint="eastAsia"/>
          <w:color w:val="000000" w:themeColor="text1"/>
          <w:sz w:val="28"/>
          <w:szCs w:val="36"/>
        </w:rPr>
        <w:t>T 18921-2019）；</w:t>
      </w:r>
    </w:p>
    <w:p w14:paraId="280D6484">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 地下水回灌水质》（</w:t>
      </w:r>
      <w:r>
        <w:rPr>
          <w:color w:val="000000" w:themeColor="text1"/>
          <w:sz w:val="28"/>
          <w:szCs w:val="36"/>
        </w:rPr>
        <w:t>GB/T 19772-2005</w:t>
      </w:r>
      <w:r>
        <w:rPr>
          <w:rFonts w:hint="eastAsia"/>
          <w:color w:val="000000" w:themeColor="text1"/>
          <w:sz w:val="28"/>
          <w:szCs w:val="36"/>
        </w:rPr>
        <w:t>）；</w:t>
      </w:r>
    </w:p>
    <w:p w14:paraId="3CA57C8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 农田灌溉用水水质》（GB</w:t>
      </w:r>
      <w:r>
        <w:rPr>
          <w:color w:val="000000" w:themeColor="text1"/>
          <w:sz w:val="28"/>
          <w:szCs w:val="36"/>
        </w:rPr>
        <w:t>/T</w:t>
      </w:r>
      <w:r>
        <w:rPr>
          <w:rFonts w:hint="eastAsia"/>
          <w:color w:val="000000" w:themeColor="text1"/>
          <w:sz w:val="28"/>
          <w:szCs w:val="36"/>
        </w:rPr>
        <w:t xml:space="preserve"> 20922-2007）。</w:t>
      </w:r>
    </w:p>
    <w:p w14:paraId="503DA15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在污水再生利用的实际工程中，需根据再生水目标用户的相关水质要求，参照城市污水再生利用标准的各类水质指标进行。</w:t>
      </w:r>
    </w:p>
    <w:p w14:paraId="5BB1A2B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1、《城市污水再生利用分类》标准根据不同的用途将再生水利用分为5个类别，详见表</w:t>
      </w:r>
      <w:r>
        <w:rPr>
          <w:color w:val="000000" w:themeColor="text1"/>
          <w:sz w:val="28"/>
          <w:szCs w:val="36"/>
        </w:rPr>
        <w:t>7.2-3</w:t>
      </w:r>
      <w:r>
        <w:rPr>
          <w:rFonts w:hint="eastAsia"/>
          <w:color w:val="000000" w:themeColor="text1"/>
          <w:sz w:val="28"/>
          <w:szCs w:val="36"/>
        </w:rPr>
        <w:t>。</w:t>
      </w:r>
    </w:p>
    <w:p w14:paraId="4719CFE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根据平阴县规划年再生水可利用情况确定，平阴县再生水用户主要为工业用水、城市杂用水（城市绿地、道路浇洒、公厕冲洗、生活杂用）、环境用水三类。</w:t>
      </w:r>
    </w:p>
    <w:p w14:paraId="774EFB0E">
      <w:pPr>
        <w:autoSpaceDE w:val="0"/>
        <w:autoSpaceDN w:val="0"/>
        <w:spacing w:line="600" w:lineRule="exact"/>
        <w:ind w:firstLine="560" w:firstLineChars="200"/>
        <w:textAlignment w:val="baseline"/>
        <w:rPr>
          <w:color w:val="000000" w:themeColor="text1"/>
          <w:sz w:val="28"/>
          <w:szCs w:val="36"/>
        </w:rPr>
      </w:pPr>
    </w:p>
    <w:p w14:paraId="13FD4D37">
      <w:pPr>
        <w:keepNext/>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 xml:space="preserve">7.2-3  </w:t>
      </w:r>
      <w:r>
        <w:rPr>
          <w:rFonts w:hint="eastAsia"/>
          <w:b/>
          <w:bCs/>
          <w:color w:val="000000" w:themeColor="text1"/>
          <w:sz w:val="24"/>
        </w:rPr>
        <w:t>城市污水再生利用类别</w:t>
      </w:r>
    </w:p>
    <w:tbl>
      <w:tblPr>
        <w:tblStyle w:val="46"/>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1157"/>
        <w:gridCol w:w="1702"/>
        <w:gridCol w:w="5012"/>
      </w:tblGrid>
      <w:tr w14:paraId="286EB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626A1514">
            <w:pPr>
              <w:widowControl/>
              <w:ind w:left="-105" w:leftChars="-50" w:right="-105" w:rightChars="-50"/>
              <w:jc w:val="center"/>
              <w:rPr>
                <w:color w:val="000000" w:themeColor="text1"/>
                <w:kern w:val="0"/>
                <w:sz w:val="22"/>
                <w:szCs w:val="22"/>
              </w:rPr>
            </w:pPr>
            <w:r>
              <w:rPr>
                <w:color w:val="000000" w:themeColor="text1"/>
                <w:kern w:val="0"/>
                <w:sz w:val="22"/>
                <w:szCs w:val="22"/>
              </w:rPr>
              <w:t>序号</w:t>
            </w:r>
          </w:p>
        </w:tc>
        <w:tc>
          <w:tcPr>
            <w:tcW w:w="1157" w:type="dxa"/>
            <w:vAlign w:val="center"/>
          </w:tcPr>
          <w:p w14:paraId="1AB788F1">
            <w:pPr>
              <w:widowControl/>
              <w:ind w:left="-105" w:leftChars="-50" w:right="-105" w:rightChars="-50"/>
              <w:jc w:val="center"/>
              <w:rPr>
                <w:color w:val="000000" w:themeColor="text1"/>
                <w:kern w:val="0"/>
                <w:sz w:val="22"/>
                <w:szCs w:val="22"/>
              </w:rPr>
            </w:pPr>
            <w:r>
              <w:rPr>
                <w:color w:val="000000" w:themeColor="text1"/>
                <w:kern w:val="0"/>
                <w:sz w:val="22"/>
                <w:szCs w:val="22"/>
              </w:rPr>
              <w:t>分类</w:t>
            </w:r>
          </w:p>
        </w:tc>
        <w:tc>
          <w:tcPr>
            <w:tcW w:w="1702" w:type="dxa"/>
            <w:vAlign w:val="center"/>
          </w:tcPr>
          <w:p w14:paraId="0E0D55E1">
            <w:pPr>
              <w:widowControl/>
              <w:ind w:left="-105" w:leftChars="-50" w:right="-105" w:rightChars="-50"/>
              <w:jc w:val="center"/>
              <w:rPr>
                <w:color w:val="000000" w:themeColor="text1"/>
                <w:kern w:val="0"/>
                <w:sz w:val="22"/>
                <w:szCs w:val="22"/>
              </w:rPr>
            </w:pPr>
            <w:r>
              <w:rPr>
                <w:color w:val="000000" w:themeColor="text1"/>
                <w:kern w:val="0"/>
                <w:sz w:val="22"/>
                <w:szCs w:val="22"/>
              </w:rPr>
              <w:t>范围</w:t>
            </w:r>
          </w:p>
        </w:tc>
        <w:tc>
          <w:tcPr>
            <w:tcW w:w="5012" w:type="dxa"/>
            <w:vAlign w:val="center"/>
          </w:tcPr>
          <w:p w14:paraId="30A4416D">
            <w:pPr>
              <w:widowControl/>
              <w:ind w:left="-105" w:leftChars="-50" w:right="-105" w:rightChars="-50"/>
              <w:jc w:val="center"/>
              <w:rPr>
                <w:color w:val="000000" w:themeColor="text1"/>
                <w:kern w:val="0"/>
                <w:sz w:val="22"/>
                <w:szCs w:val="22"/>
              </w:rPr>
            </w:pPr>
            <w:r>
              <w:rPr>
                <w:color w:val="000000" w:themeColor="text1"/>
                <w:kern w:val="0"/>
                <w:sz w:val="22"/>
                <w:szCs w:val="22"/>
              </w:rPr>
              <w:t>示例</w:t>
            </w:r>
          </w:p>
        </w:tc>
      </w:tr>
      <w:tr w14:paraId="1AB21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3B866ECD">
            <w:pPr>
              <w:widowControl/>
              <w:ind w:left="-105" w:leftChars="-50" w:right="-105" w:rightChars="-50"/>
              <w:jc w:val="center"/>
              <w:rPr>
                <w:color w:val="000000" w:themeColor="text1"/>
                <w:kern w:val="0"/>
                <w:sz w:val="22"/>
                <w:szCs w:val="22"/>
              </w:rPr>
            </w:pPr>
            <w:r>
              <w:rPr>
                <w:color w:val="000000" w:themeColor="text1"/>
                <w:kern w:val="0"/>
                <w:sz w:val="22"/>
                <w:szCs w:val="22"/>
              </w:rPr>
              <w:t>1</w:t>
            </w:r>
          </w:p>
        </w:tc>
        <w:tc>
          <w:tcPr>
            <w:tcW w:w="1157" w:type="dxa"/>
            <w:vMerge w:val="restart"/>
            <w:vAlign w:val="center"/>
          </w:tcPr>
          <w:p w14:paraId="2F55937A">
            <w:pPr>
              <w:widowControl/>
              <w:ind w:left="-105" w:leftChars="-50" w:right="-105" w:rightChars="-50"/>
              <w:jc w:val="center"/>
              <w:rPr>
                <w:color w:val="000000" w:themeColor="text1"/>
                <w:kern w:val="0"/>
                <w:sz w:val="22"/>
                <w:szCs w:val="22"/>
              </w:rPr>
            </w:pPr>
            <w:r>
              <w:rPr>
                <w:color w:val="000000" w:themeColor="text1"/>
                <w:kern w:val="0"/>
                <w:sz w:val="22"/>
                <w:szCs w:val="22"/>
              </w:rPr>
              <w:t>农、林、牧、渔业用水</w:t>
            </w:r>
          </w:p>
        </w:tc>
        <w:tc>
          <w:tcPr>
            <w:tcW w:w="1702" w:type="dxa"/>
            <w:vAlign w:val="center"/>
          </w:tcPr>
          <w:p w14:paraId="01078378">
            <w:pPr>
              <w:widowControl/>
              <w:ind w:left="-105" w:leftChars="-50" w:right="-105" w:rightChars="-50"/>
              <w:jc w:val="center"/>
              <w:rPr>
                <w:color w:val="000000" w:themeColor="text1"/>
                <w:kern w:val="0"/>
                <w:sz w:val="22"/>
                <w:szCs w:val="22"/>
              </w:rPr>
            </w:pPr>
            <w:r>
              <w:rPr>
                <w:color w:val="000000" w:themeColor="text1"/>
                <w:kern w:val="0"/>
                <w:sz w:val="22"/>
                <w:szCs w:val="22"/>
              </w:rPr>
              <w:t>农田灌溉</w:t>
            </w:r>
          </w:p>
        </w:tc>
        <w:tc>
          <w:tcPr>
            <w:tcW w:w="5012" w:type="dxa"/>
            <w:vAlign w:val="center"/>
          </w:tcPr>
          <w:p w14:paraId="184B4566">
            <w:pPr>
              <w:widowControl/>
              <w:ind w:left="-105" w:leftChars="-50" w:right="-105" w:rightChars="-50"/>
              <w:jc w:val="center"/>
              <w:rPr>
                <w:color w:val="000000" w:themeColor="text1"/>
                <w:kern w:val="0"/>
                <w:sz w:val="22"/>
                <w:szCs w:val="22"/>
              </w:rPr>
            </w:pPr>
            <w:r>
              <w:rPr>
                <w:color w:val="000000" w:themeColor="text1"/>
                <w:kern w:val="0"/>
                <w:sz w:val="22"/>
                <w:szCs w:val="22"/>
              </w:rPr>
              <w:t>种籽与育种、粮食与饲料作物、经济作物</w:t>
            </w:r>
          </w:p>
        </w:tc>
      </w:tr>
      <w:tr w14:paraId="504F1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C9E2D7E">
            <w:pPr>
              <w:widowControl/>
              <w:ind w:left="-105" w:leftChars="-50" w:right="-105" w:rightChars="-50"/>
              <w:jc w:val="center"/>
              <w:rPr>
                <w:color w:val="000000" w:themeColor="text1"/>
                <w:kern w:val="0"/>
                <w:sz w:val="22"/>
                <w:szCs w:val="22"/>
              </w:rPr>
            </w:pPr>
          </w:p>
        </w:tc>
        <w:tc>
          <w:tcPr>
            <w:tcW w:w="1157" w:type="dxa"/>
            <w:vMerge w:val="continue"/>
            <w:vAlign w:val="center"/>
          </w:tcPr>
          <w:p w14:paraId="1B441447">
            <w:pPr>
              <w:widowControl/>
              <w:ind w:left="-105" w:leftChars="-50" w:right="-105" w:rightChars="-50"/>
              <w:jc w:val="center"/>
              <w:rPr>
                <w:color w:val="000000" w:themeColor="text1"/>
                <w:kern w:val="0"/>
                <w:sz w:val="22"/>
                <w:szCs w:val="22"/>
              </w:rPr>
            </w:pPr>
          </w:p>
        </w:tc>
        <w:tc>
          <w:tcPr>
            <w:tcW w:w="1702" w:type="dxa"/>
            <w:vAlign w:val="center"/>
          </w:tcPr>
          <w:p w14:paraId="1DCAAD54">
            <w:pPr>
              <w:widowControl/>
              <w:ind w:left="-105" w:leftChars="-50" w:right="-105" w:rightChars="-50"/>
              <w:jc w:val="center"/>
              <w:rPr>
                <w:color w:val="000000" w:themeColor="text1"/>
                <w:kern w:val="0"/>
                <w:sz w:val="22"/>
                <w:szCs w:val="22"/>
              </w:rPr>
            </w:pPr>
            <w:r>
              <w:rPr>
                <w:color w:val="000000" w:themeColor="text1"/>
                <w:kern w:val="0"/>
                <w:sz w:val="22"/>
                <w:szCs w:val="22"/>
              </w:rPr>
              <w:t>造林育苗</w:t>
            </w:r>
          </w:p>
        </w:tc>
        <w:tc>
          <w:tcPr>
            <w:tcW w:w="5012" w:type="dxa"/>
            <w:vAlign w:val="center"/>
          </w:tcPr>
          <w:p w14:paraId="03683893">
            <w:pPr>
              <w:widowControl/>
              <w:ind w:left="-105" w:leftChars="-50" w:right="-105" w:rightChars="-50"/>
              <w:jc w:val="center"/>
              <w:rPr>
                <w:color w:val="000000" w:themeColor="text1"/>
                <w:kern w:val="0"/>
                <w:sz w:val="22"/>
                <w:szCs w:val="22"/>
              </w:rPr>
            </w:pPr>
            <w:r>
              <w:rPr>
                <w:color w:val="000000" w:themeColor="text1"/>
                <w:kern w:val="0"/>
                <w:sz w:val="22"/>
                <w:szCs w:val="22"/>
              </w:rPr>
              <w:t>种籽、苗木、苗圃、观赏植物</w:t>
            </w:r>
          </w:p>
        </w:tc>
      </w:tr>
      <w:tr w14:paraId="2ABAF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526ACD2">
            <w:pPr>
              <w:widowControl/>
              <w:ind w:left="-105" w:leftChars="-50" w:right="-105" w:rightChars="-50"/>
              <w:jc w:val="center"/>
              <w:rPr>
                <w:color w:val="000000" w:themeColor="text1"/>
                <w:kern w:val="0"/>
                <w:sz w:val="22"/>
                <w:szCs w:val="22"/>
              </w:rPr>
            </w:pPr>
          </w:p>
        </w:tc>
        <w:tc>
          <w:tcPr>
            <w:tcW w:w="1157" w:type="dxa"/>
            <w:vMerge w:val="continue"/>
            <w:vAlign w:val="center"/>
          </w:tcPr>
          <w:p w14:paraId="37C094F5">
            <w:pPr>
              <w:widowControl/>
              <w:ind w:left="-105" w:leftChars="-50" w:right="-105" w:rightChars="-50"/>
              <w:jc w:val="center"/>
              <w:rPr>
                <w:color w:val="000000" w:themeColor="text1"/>
                <w:kern w:val="0"/>
                <w:sz w:val="22"/>
                <w:szCs w:val="22"/>
              </w:rPr>
            </w:pPr>
          </w:p>
        </w:tc>
        <w:tc>
          <w:tcPr>
            <w:tcW w:w="1702" w:type="dxa"/>
            <w:vAlign w:val="center"/>
          </w:tcPr>
          <w:p w14:paraId="721F5C55">
            <w:pPr>
              <w:widowControl/>
              <w:ind w:left="-105" w:leftChars="-50" w:right="-105" w:rightChars="-50"/>
              <w:jc w:val="center"/>
              <w:rPr>
                <w:color w:val="000000" w:themeColor="text1"/>
                <w:kern w:val="0"/>
                <w:sz w:val="22"/>
                <w:szCs w:val="22"/>
              </w:rPr>
            </w:pPr>
            <w:r>
              <w:rPr>
                <w:color w:val="000000" w:themeColor="text1"/>
                <w:kern w:val="0"/>
                <w:sz w:val="22"/>
                <w:szCs w:val="22"/>
              </w:rPr>
              <w:t>触目养殖</w:t>
            </w:r>
          </w:p>
        </w:tc>
        <w:tc>
          <w:tcPr>
            <w:tcW w:w="5012" w:type="dxa"/>
            <w:vAlign w:val="center"/>
          </w:tcPr>
          <w:p w14:paraId="38262735">
            <w:pPr>
              <w:widowControl/>
              <w:ind w:left="-105" w:leftChars="-50" w:right="-105" w:rightChars="-50"/>
              <w:jc w:val="center"/>
              <w:rPr>
                <w:color w:val="000000" w:themeColor="text1"/>
                <w:kern w:val="0"/>
                <w:sz w:val="22"/>
                <w:szCs w:val="22"/>
              </w:rPr>
            </w:pPr>
            <w:r>
              <w:rPr>
                <w:color w:val="000000" w:themeColor="text1"/>
                <w:kern w:val="0"/>
                <w:sz w:val="22"/>
                <w:szCs w:val="22"/>
              </w:rPr>
              <w:t>畜牧、家畜、家禽</w:t>
            </w:r>
          </w:p>
        </w:tc>
      </w:tr>
      <w:tr w14:paraId="489CD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2EFB7D6">
            <w:pPr>
              <w:widowControl/>
              <w:ind w:left="-105" w:leftChars="-50" w:right="-105" w:rightChars="-50"/>
              <w:jc w:val="center"/>
              <w:rPr>
                <w:color w:val="000000" w:themeColor="text1"/>
                <w:kern w:val="0"/>
                <w:sz w:val="22"/>
                <w:szCs w:val="22"/>
              </w:rPr>
            </w:pPr>
          </w:p>
        </w:tc>
        <w:tc>
          <w:tcPr>
            <w:tcW w:w="1157" w:type="dxa"/>
            <w:vMerge w:val="continue"/>
            <w:vAlign w:val="center"/>
          </w:tcPr>
          <w:p w14:paraId="216C6FBA">
            <w:pPr>
              <w:widowControl/>
              <w:ind w:left="-105" w:leftChars="-50" w:right="-105" w:rightChars="-50"/>
              <w:jc w:val="center"/>
              <w:rPr>
                <w:color w:val="000000" w:themeColor="text1"/>
                <w:kern w:val="0"/>
                <w:sz w:val="22"/>
                <w:szCs w:val="22"/>
              </w:rPr>
            </w:pPr>
          </w:p>
        </w:tc>
        <w:tc>
          <w:tcPr>
            <w:tcW w:w="1702" w:type="dxa"/>
            <w:vAlign w:val="center"/>
          </w:tcPr>
          <w:p w14:paraId="5806E406">
            <w:pPr>
              <w:widowControl/>
              <w:ind w:left="-105" w:leftChars="-50" w:right="-105" w:rightChars="-50"/>
              <w:jc w:val="center"/>
              <w:rPr>
                <w:color w:val="000000" w:themeColor="text1"/>
                <w:kern w:val="0"/>
                <w:sz w:val="22"/>
                <w:szCs w:val="22"/>
              </w:rPr>
            </w:pPr>
            <w:r>
              <w:rPr>
                <w:color w:val="000000" w:themeColor="text1"/>
                <w:kern w:val="0"/>
                <w:sz w:val="22"/>
                <w:szCs w:val="22"/>
              </w:rPr>
              <w:t>水产</w:t>
            </w:r>
            <w:r>
              <w:rPr>
                <w:rFonts w:hint="eastAsia"/>
                <w:color w:val="000000" w:themeColor="text1"/>
                <w:kern w:val="0"/>
                <w:sz w:val="22"/>
                <w:szCs w:val="22"/>
              </w:rPr>
              <w:t>养殖</w:t>
            </w:r>
          </w:p>
        </w:tc>
        <w:tc>
          <w:tcPr>
            <w:tcW w:w="5012" w:type="dxa"/>
            <w:vAlign w:val="center"/>
          </w:tcPr>
          <w:p w14:paraId="1B668F87">
            <w:pPr>
              <w:widowControl/>
              <w:ind w:left="-105" w:leftChars="-50" w:right="-105" w:rightChars="-50"/>
              <w:jc w:val="center"/>
              <w:rPr>
                <w:color w:val="000000" w:themeColor="text1"/>
                <w:kern w:val="0"/>
                <w:sz w:val="22"/>
                <w:szCs w:val="22"/>
              </w:rPr>
            </w:pPr>
            <w:r>
              <w:rPr>
                <w:color w:val="000000" w:themeColor="text1"/>
                <w:kern w:val="0"/>
                <w:sz w:val="22"/>
                <w:szCs w:val="22"/>
              </w:rPr>
              <w:t>淡水养殖</w:t>
            </w:r>
          </w:p>
        </w:tc>
      </w:tr>
      <w:tr w14:paraId="3ADA6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44E0A45C">
            <w:pPr>
              <w:widowControl/>
              <w:ind w:left="-105" w:leftChars="-50" w:right="-105" w:rightChars="-50"/>
              <w:jc w:val="center"/>
              <w:rPr>
                <w:color w:val="000000" w:themeColor="text1"/>
                <w:kern w:val="0"/>
                <w:sz w:val="22"/>
                <w:szCs w:val="22"/>
              </w:rPr>
            </w:pPr>
            <w:r>
              <w:rPr>
                <w:color w:val="000000" w:themeColor="text1"/>
                <w:kern w:val="0"/>
                <w:sz w:val="22"/>
                <w:szCs w:val="22"/>
              </w:rPr>
              <w:t>2</w:t>
            </w:r>
          </w:p>
        </w:tc>
        <w:tc>
          <w:tcPr>
            <w:tcW w:w="1157" w:type="dxa"/>
            <w:vMerge w:val="restart"/>
            <w:vAlign w:val="center"/>
          </w:tcPr>
          <w:p w14:paraId="790E3B87">
            <w:pPr>
              <w:widowControl/>
              <w:ind w:left="-105" w:leftChars="-50" w:right="-105" w:rightChars="-50"/>
              <w:jc w:val="center"/>
              <w:rPr>
                <w:color w:val="000000" w:themeColor="text1"/>
                <w:kern w:val="0"/>
                <w:sz w:val="22"/>
                <w:szCs w:val="22"/>
              </w:rPr>
            </w:pPr>
            <w:r>
              <w:rPr>
                <w:color w:val="000000" w:themeColor="text1"/>
                <w:kern w:val="0"/>
                <w:sz w:val="22"/>
                <w:szCs w:val="22"/>
              </w:rPr>
              <w:t>城市杂用水</w:t>
            </w:r>
          </w:p>
        </w:tc>
        <w:tc>
          <w:tcPr>
            <w:tcW w:w="1702" w:type="dxa"/>
            <w:vAlign w:val="center"/>
          </w:tcPr>
          <w:p w14:paraId="320EAFA4">
            <w:pPr>
              <w:widowControl/>
              <w:ind w:left="-105" w:leftChars="-50" w:right="-105" w:rightChars="-50"/>
              <w:jc w:val="center"/>
              <w:rPr>
                <w:color w:val="000000" w:themeColor="text1"/>
                <w:kern w:val="0"/>
                <w:sz w:val="22"/>
                <w:szCs w:val="22"/>
              </w:rPr>
            </w:pPr>
            <w:r>
              <w:rPr>
                <w:color w:val="000000" w:themeColor="text1"/>
                <w:kern w:val="0"/>
                <w:sz w:val="22"/>
                <w:szCs w:val="22"/>
              </w:rPr>
              <w:t>城市绿化</w:t>
            </w:r>
          </w:p>
        </w:tc>
        <w:tc>
          <w:tcPr>
            <w:tcW w:w="5012" w:type="dxa"/>
            <w:vAlign w:val="center"/>
          </w:tcPr>
          <w:p w14:paraId="7874FB52">
            <w:pPr>
              <w:widowControl/>
              <w:ind w:left="-105" w:leftChars="-50" w:right="-105" w:rightChars="-50"/>
              <w:jc w:val="center"/>
              <w:rPr>
                <w:color w:val="000000" w:themeColor="text1"/>
                <w:kern w:val="0"/>
                <w:sz w:val="22"/>
                <w:szCs w:val="22"/>
              </w:rPr>
            </w:pPr>
            <w:r>
              <w:rPr>
                <w:color w:val="000000" w:themeColor="text1"/>
                <w:kern w:val="0"/>
                <w:sz w:val="22"/>
                <w:szCs w:val="22"/>
              </w:rPr>
              <w:t>公共绿地、住宅小区绿化</w:t>
            </w:r>
          </w:p>
        </w:tc>
      </w:tr>
      <w:tr w14:paraId="56ECA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721BF78">
            <w:pPr>
              <w:widowControl/>
              <w:ind w:left="-105" w:leftChars="-50" w:right="-105" w:rightChars="-50"/>
              <w:jc w:val="center"/>
              <w:rPr>
                <w:color w:val="000000" w:themeColor="text1"/>
                <w:kern w:val="0"/>
                <w:sz w:val="22"/>
                <w:szCs w:val="22"/>
              </w:rPr>
            </w:pPr>
          </w:p>
        </w:tc>
        <w:tc>
          <w:tcPr>
            <w:tcW w:w="1157" w:type="dxa"/>
            <w:vMerge w:val="continue"/>
            <w:vAlign w:val="center"/>
          </w:tcPr>
          <w:p w14:paraId="14BB47A5">
            <w:pPr>
              <w:widowControl/>
              <w:ind w:left="-105" w:leftChars="-50" w:right="-105" w:rightChars="-50"/>
              <w:jc w:val="center"/>
              <w:rPr>
                <w:color w:val="000000" w:themeColor="text1"/>
                <w:kern w:val="0"/>
                <w:sz w:val="22"/>
                <w:szCs w:val="22"/>
              </w:rPr>
            </w:pPr>
          </w:p>
        </w:tc>
        <w:tc>
          <w:tcPr>
            <w:tcW w:w="1702" w:type="dxa"/>
            <w:vAlign w:val="center"/>
          </w:tcPr>
          <w:p w14:paraId="6FB851BE">
            <w:pPr>
              <w:widowControl/>
              <w:ind w:left="-105" w:leftChars="-50" w:right="-105" w:rightChars="-50"/>
              <w:jc w:val="center"/>
              <w:rPr>
                <w:color w:val="000000" w:themeColor="text1"/>
                <w:kern w:val="0"/>
                <w:sz w:val="22"/>
                <w:szCs w:val="22"/>
              </w:rPr>
            </w:pPr>
            <w:r>
              <w:rPr>
                <w:color w:val="000000" w:themeColor="text1"/>
                <w:kern w:val="0"/>
                <w:sz w:val="22"/>
                <w:szCs w:val="22"/>
              </w:rPr>
              <w:t>冲厕</w:t>
            </w:r>
          </w:p>
        </w:tc>
        <w:tc>
          <w:tcPr>
            <w:tcW w:w="5012" w:type="dxa"/>
            <w:vAlign w:val="center"/>
          </w:tcPr>
          <w:p w14:paraId="0D24C6D6">
            <w:pPr>
              <w:widowControl/>
              <w:ind w:left="-105" w:leftChars="-50" w:right="-105" w:rightChars="-50"/>
              <w:jc w:val="center"/>
              <w:rPr>
                <w:color w:val="000000" w:themeColor="text1"/>
                <w:kern w:val="0"/>
                <w:sz w:val="22"/>
                <w:szCs w:val="22"/>
              </w:rPr>
            </w:pPr>
            <w:r>
              <w:rPr>
                <w:color w:val="000000" w:themeColor="text1"/>
                <w:kern w:val="0"/>
                <w:sz w:val="22"/>
                <w:szCs w:val="22"/>
              </w:rPr>
              <w:t>厕所便器冲洗</w:t>
            </w:r>
          </w:p>
        </w:tc>
      </w:tr>
      <w:tr w14:paraId="50A82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FCCD239">
            <w:pPr>
              <w:widowControl/>
              <w:ind w:left="-105" w:leftChars="-50" w:right="-105" w:rightChars="-50"/>
              <w:jc w:val="center"/>
              <w:rPr>
                <w:color w:val="000000" w:themeColor="text1"/>
                <w:kern w:val="0"/>
                <w:sz w:val="22"/>
                <w:szCs w:val="22"/>
              </w:rPr>
            </w:pPr>
          </w:p>
        </w:tc>
        <w:tc>
          <w:tcPr>
            <w:tcW w:w="1157" w:type="dxa"/>
            <w:vMerge w:val="continue"/>
            <w:vAlign w:val="center"/>
          </w:tcPr>
          <w:p w14:paraId="7FA9C5C5">
            <w:pPr>
              <w:widowControl/>
              <w:ind w:left="-105" w:leftChars="-50" w:right="-105" w:rightChars="-50"/>
              <w:jc w:val="center"/>
              <w:rPr>
                <w:color w:val="000000" w:themeColor="text1"/>
                <w:kern w:val="0"/>
                <w:sz w:val="22"/>
                <w:szCs w:val="22"/>
              </w:rPr>
            </w:pPr>
          </w:p>
        </w:tc>
        <w:tc>
          <w:tcPr>
            <w:tcW w:w="1702" w:type="dxa"/>
            <w:vAlign w:val="center"/>
          </w:tcPr>
          <w:p w14:paraId="2F151A71">
            <w:pPr>
              <w:widowControl/>
              <w:ind w:left="-105" w:leftChars="-50" w:right="-105" w:rightChars="-50"/>
              <w:jc w:val="center"/>
              <w:rPr>
                <w:color w:val="000000" w:themeColor="text1"/>
                <w:kern w:val="0"/>
                <w:sz w:val="22"/>
                <w:szCs w:val="22"/>
              </w:rPr>
            </w:pPr>
            <w:r>
              <w:rPr>
                <w:color w:val="000000" w:themeColor="text1"/>
                <w:kern w:val="0"/>
                <w:sz w:val="22"/>
                <w:szCs w:val="22"/>
              </w:rPr>
              <w:t>道路清扫</w:t>
            </w:r>
          </w:p>
        </w:tc>
        <w:tc>
          <w:tcPr>
            <w:tcW w:w="5012" w:type="dxa"/>
            <w:vAlign w:val="center"/>
          </w:tcPr>
          <w:p w14:paraId="57A42EE6">
            <w:pPr>
              <w:widowControl/>
              <w:ind w:left="-105" w:leftChars="-50" w:right="-105" w:rightChars="-50"/>
              <w:jc w:val="center"/>
              <w:rPr>
                <w:color w:val="000000" w:themeColor="text1"/>
                <w:kern w:val="0"/>
                <w:sz w:val="22"/>
                <w:szCs w:val="22"/>
              </w:rPr>
            </w:pPr>
            <w:r>
              <w:rPr>
                <w:color w:val="000000" w:themeColor="text1"/>
                <w:kern w:val="0"/>
                <w:sz w:val="22"/>
                <w:szCs w:val="22"/>
              </w:rPr>
              <w:t>城市道路的冲洗及喷洒</w:t>
            </w:r>
          </w:p>
        </w:tc>
      </w:tr>
      <w:tr w14:paraId="0631E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5D5AEF62">
            <w:pPr>
              <w:widowControl/>
              <w:ind w:left="-105" w:leftChars="-50" w:right="-105" w:rightChars="-50"/>
              <w:jc w:val="center"/>
              <w:rPr>
                <w:color w:val="000000" w:themeColor="text1"/>
                <w:kern w:val="0"/>
                <w:sz w:val="22"/>
                <w:szCs w:val="22"/>
              </w:rPr>
            </w:pPr>
          </w:p>
        </w:tc>
        <w:tc>
          <w:tcPr>
            <w:tcW w:w="1157" w:type="dxa"/>
            <w:vMerge w:val="continue"/>
            <w:vAlign w:val="center"/>
          </w:tcPr>
          <w:p w14:paraId="049E619D">
            <w:pPr>
              <w:widowControl/>
              <w:ind w:left="-105" w:leftChars="-50" w:right="-105" w:rightChars="-50"/>
              <w:jc w:val="center"/>
              <w:rPr>
                <w:color w:val="000000" w:themeColor="text1"/>
                <w:kern w:val="0"/>
                <w:sz w:val="22"/>
                <w:szCs w:val="22"/>
              </w:rPr>
            </w:pPr>
          </w:p>
        </w:tc>
        <w:tc>
          <w:tcPr>
            <w:tcW w:w="1702" w:type="dxa"/>
            <w:vAlign w:val="center"/>
          </w:tcPr>
          <w:p w14:paraId="4B1383CC">
            <w:pPr>
              <w:widowControl/>
              <w:ind w:left="-105" w:leftChars="-50" w:right="-105" w:rightChars="-50"/>
              <w:jc w:val="center"/>
              <w:rPr>
                <w:color w:val="000000" w:themeColor="text1"/>
                <w:kern w:val="0"/>
                <w:sz w:val="22"/>
                <w:szCs w:val="22"/>
              </w:rPr>
            </w:pPr>
            <w:r>
              <w:rPr>
                <w:color w:val="000000" w:themeColor="text1"/>
                <w:kern w:val="0"/>
                <w:sz w:val="22"/>
                <w:szCs w:val="22"/>
              </w:rPr>
              <w:t>车辆冲洗</w:t>
            </w:r>
          </w:p>
        </w:tc>
        <w:tc>
          <w:tcPr>
            <w:tcW w:w="5012" w:type="dxa"/>
            <w:vAlign w:val="center"/>
          </w:tcPr>
          <w:p w14:paraId="46B4190D">
            <w:pPr>
              <w:widowControl/>
              <w:ind w:left="-105" w:leftChars="-50" w:right="-105" w:rightChars="-50"/>
              <w:jc w:val="center"/>
              <w:rPr>
                <w:color w:val="000000" w:themeColor="text1"/>
                <w:kern w:val="0"/>
                <w:sz w:val="22"/>
                <w:szCs w:val="22"/>
              </w:rPr>
            </w:pPr>
            <w:r>
              <w:rPr>
                <w:color w:val="000000" w:themeColor="text1"/>
                <w:kern w:val="0"/>
                <w:sz w:val="22"/>
                <w:szCs w:val="22"/>
              </w:rPr>
              <w:t>各种车辆冲洗</w:t>
            </w:r>
          </w:p>
        </w:tc>
      </w:tr>
      <w:tr w14:paraId="56FAE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4C94A6A">
            <w:pPr>
              <w:widowControl/>
              <w:ind w:left="-105" w:leftChars="-50" w:right="-105" w:rightChars="-50"/>
              <w:jc w:val="center"/>
              <w:rPr>
                <w:color w:val="000000" w:themeColor="text1"/>
                <w:kern w:val="0"/>
                <w:sz w:val="22"/>
                <w:szCs w:val="22"/>
              </w:rPr>
            </w:pPr>
          </w:p>
        </w:tc>
        <w:tc>
          <w:tcPr>
            <w:tcW w:w="1157" w:type="dxa"/>
            <w:vMerge w:val="continue"/>
            <w:vAlign w:val="center"/>
          </w:tcPr>
          <w:p w14:paraId="79388E29">
            <w:pPr>
              <w:widowControl/>
              <w:ind w:left="-105" w:leftChars="-50" w:right="-105" w:rightChars="-50"/>
              <w:jc w:val="center"/>
              <w:rPr>
                <w:color w:val="000000" w:themeColor="text1"/>
                <w:kern w:val="0"/>
                <w:sz w:val="22"/>
                <w:szCs w:val="22"/>
              </w:rPr>
            </w:pPr>
          </w:p>
        </w:tc>
        <w:tc>
          <w:tcPr>
            <w:tcW w:w="1702" w:type="dxa"/>
            <w:vAlign w:val="center"/>
          </w:tcPr>
          <w:p w14:paraId="09B2A9F1">
            <w:pPr>
              <w:widowControl/>
              <w:ind w:left="-105" w:leftChars="-50" w:right="-105" w:rightChars="-50"/>
              <w:jc w:val="center"/>
              <w:rPr>
                <w:color w:val="000000" w:themeColor="text1"/>
                <w:kern w:val="0"/>
                <w:sz w:val="22"/>
                <w:szCs w:val="22"/>
              </w:rPr>
            </w:pPr>
            <w:r>
              <w:rPr>
                <w:color w:val="000000" w:themeColor="text1"/>
                <w:kern w:val="0"/>
                <w:sz w:val="22"/>
                <w:szCs w:val="22"/>
              </w:rPr>
              <w:t>建筑施工</w:t>
            </w:r>
          </w:p>
        </w:tc>
        <w:tc>
          <w:tcPr>
            <w:tcW w:w="5012" w:type="dxa"/>
            <w:vAlign w:val="center"/>
          </w:tcPr>
          <w:p w14:paraId="262E3D85">
            <w:pPr>
              <w:widowControl/>
              <w:ind w:left="-105" w:leftChars="-50" w:right="-105" w:rightChars="-50"/>
              <w:jc w:val="center"/>
              <w:rPr>
                <w:color w:val="000000" w:themeColor="text1"/>
                <w:kern w:val="0"/>
                <w:sz w:val="22"/>
                <w:szCs w:val="22"/>
              </w:rPr>
            </w:pPr>
            <w:r>
              <w:rPr>
                <w:color w:val="000000" w:themeColor="text1"/>
                <w:kern w:val="0"/>
                <w:sz w:val="22"/>
                <w:szCs w:val="22"/>
              </w:rPr>
              <w:t>施工场地清扫、浇洒、灰尘抑制、混凝土制备 与养护、施工中的混凝土构件和建筑物冲洗</w:t>
            </w:r>
          </w:p>
        </w:tc>
      </w:tr>
      <w:tr w14:paraId="2BFA0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73BA806F">
            <w:pPr>
              <w:widowControl/>
              <w:ind w:left="-105" w:leftChars="-50" w:right="-105" w:rightChars="-50"/>
              <w:jc w:val="center"/>
              <w:rPr>
                <w:color w:val="000000" w:themeColor="text1"/>
                <w:kern w:val="0"/>
                <w:sz w:val="22"/>
                <w:szCs w:val="22"/>
              </w:rPr>
            </w:pPr>
          </w:p>
        </w:tc>
        <w:tc>
          <w:tcPr>
            <w:tcW w:w="1157" w:type="dxa"/>
            <w:vMerge w:val="continue"/>
            <w:vAlign w:val="center"/>
          </w:tcPr>
          <w:p w14:paraId="54DE1603">
            <w:pPr>
              <w:widowControl/>
              <w:ind w:left="-105" w:leftChars="-50" w:right="-105" w:rightChars="-50"/>
              <w:jc w:val="center"/>
              <w:rPr>
                <w:color w:val="000000" w:themeColor="text1"/>
                <w:kern w:val="0"/>
                <w:sz w:val="22"/>
                <w:szCs w:val="22"/>
              </w:rPr>
            </w:pPr>
          </w:p>
        </w:tc>
        <w:tc>
          <w:tcPr>
            <w:tcW w:w="1702" w:type="dxa"/>
            <w:vAlign w:val="center"/>
          </w:tcPr>
          <w:p w14:paraId="66FF5C4F">
            <w:pPr>
              <w:widowControl/>
              <w:ind w:left="-105" w:leftChars="-50" w:right="-105" w:rightChars="-50"/>
              <w:jc w:val="center"/>
              <w:rPr>
                <w:color w:val="000000" w:themeColor="text1"/>
                <w:kern w:val="0"/>
                <w:sz w:val="22"/>
                <w:szCs w:val="22"/>
              </w:rPr>
            </w:pPr>
            <w:r>
              <w:rPr>
                <w:color w:val="000000" w:themeColor="text1"/>
                <w:kern w:val="0"/>
                <w:sz w:val="22"/>
                <w:szCs w:val="22"/>
              </w:rPr>
              <w:t>消防</w:t>
            </w:r>
          </w:p>
        </w:tc>
        <w:tc>
          <w:tcPr>
            <w:tcW w:w="5012" w:type="dxa"/>
            <w:vAlign w:val="center"/>
          </w:tcPr>
          <w:p w14:paraId="6D854020">
            <w:pPr>
              <w:widowControl/>
              <w:ind w:left="-105" w:leftChars="-50" w:right="-105" w:rightChars="-50"/>
              <w:jc w:val="center"/>
              <w:rPr>
                <w:color w:val="000000" w:themeColor="text1"/>
                <w:kern w:val="0"/>
                <w:sz w:val="22"/>
                <w:szCs w:val="22"/>
              </w:rPr>
            </w:pPr>
            <w:r>
              <w:rPr>
                <w:color w:val="000000" w:themeColor="text1"/>
                <w:kern w:val="0"/>
                <w:sz w:val="22"/>
                <w:szCs w:val="22"/>
              </w:rPr>
              <w:t>消火栓、消防水炮</w:t>
            </w:r>
          </w:p>
        </w:tc>
      </w:tr>
      <w:tr w14:paraId="36D65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3306515E">
            <w:pPr>
              <w:widowControl/>
              <w:ind w:left="-105" w:leftChars="-50" w:right="-105" w:rightChars="-50"/>
              <w:jc w:val="center"/>
              <w:rPr>
                <w:color w:val="000000" w:themeColor="text1"/>
                <w:kern w:val="0"/>
                <w:sz w:val="22"/>
                <w:szCs w:val="22"/>
              </w:rPr>
            </w:pPr>
            <w:r>
              <w:rPr>
                <w:color w:val="000000" w:themeColor="text1"/>
                <w:kern w:val="0"/>
                <w:sz w:val="22"/>
                <w:szCs w:val="22"/>
              </w:rPr>
              <w:t>3</w:t>
            </w:r>
          </w:p>
        </w:tc>
        <w:tc>
          <w:tcPr>
            <w:tcW w:w="1157" w:type="dxa"/>
            <w:vMerge w:val="restart"/>
            <w:vAlign w:val="center"/>
          </w:tcPr>
          <w:p w14:paraId="146C4A7C">
            <w:pPr>
              <w:widowControl/>
              <w:ind w:left="-105" w:leftChars="-50" w:right="-105" w:rightChars="-50"/>
              <w:jc w:val="center"/>
              <w:rPr>
                <w:color w:val="000000" w:themeColor="text1"/>
                <w:kern w:val="0"/>
                <w:sz w:val="22"/>
                <w:szCs w:val="22"/>
              </w:rPr>
            </w:pPr>
            <w:r>
              <w:rPr>
                <w:color w:val="000000" w:themeColor="text1"/>
                <w:kern w:val="0"/>
                <w:sz w:val="22"/>
                <w:szCs w:val="22"/>
              </w:rPr>
              <w:t>工业用水</w:t>
            </w:r>
          </w:p>
        </w:tc>
        <w:tc>
          <w:tcPr>
            <w:tcW w:w="1702" w:type="dxa"/>
            <w:vAlign w:val="center"/>
          </w:tcPr>
          <w:p w14:paraId="19722787">
            <w:pPr>
              <w:widowControl/>
              <w:ind w:left="-105" w:leftChars="-50" w:right="-105" w:rightChars="-50"/>
              <w:jc w:val="center"/>
              <w:rPr>
                <w:color w:val="000000" w:themeColor="text1"/>
                <w:kern w:val="0"/>
                <w:sz w:val="22"/>
                <w:szCs w:val="22"/>
              </w:rPr>
            </w:pPr>
            <w:r>
              <w:rPr>
                <w:color w:val="000000" w:themeColor="text1"/>
                <w:kern w:val="0"/>
                <w:sz w:val="22"/>
                <w:szCs w:val="22"/>
              </w:rPr>
              <w:t>冷却用水</w:t>
            </w:r>
          </w:p>
        </w:tc>
        <w:tc>
          <w:tcPr>
            <w:tcW w:w="5012" w:type="dxa"/>
            <w:vAlign w:val="center"/>
          </w:tcPr>
          <w:p w14:paraId="4B632D86">
            <w:pPr>
              <w:widowControl/>
              <w:ind w:left="-105" w:leftChars="-50" w:right="-105" w:rightChars="-50"/>
              <w:jc w:val="center"/>
              <w:rPr>
                <w:color w:val="000000" w:themeColor="text1"/>
                <w:kern w:val="0"/>
                <w:sz w:val="22"/>
                <w:szCs w:val="22"/>
              </w:rPr>
            </w:pPr>
            <w:r>
              <w:rPr>
                <w:color w:val="000000" w:themeColor="text1"/>
                <w:kern w:val="0"/>
                <w:sz w:val="22"/>
                <w:szCs w:val="22"/>
              </w:rPr>
              <w:t>直流式、循环式</w:t>
            </w:r>
          </w:p>
        </w:tc>
      </w:tr>
      <w:tr w14:paraId="29FFB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5726381B">
            <w:pPr>
              <w:widowControl/>
              <w:ind w:left="-105" w:leftChars="-50" w:right="-105" w:rightChars="-50"/>
              <w:jc w:val="center"/>
              <w:rPr>
                <w:color w:val="000000" w:themeColor="text1"/>
                <w:kern w:val="0"/>
                <w:sz w:val="22"/>
                <w:szCs w:val="22"/>
              </w:rPr>
            </w:pPr>
          </w:p>
        </w:tc>
        <w:tc>
          <w:tcPr>
            <w:tcW w:w="1157" w:type="dxa"/>
            <w:vMerge w:val="continue"/>
            <w:vAlign w:val="center"/>
          </w:tcPr>
          <w:p w14:paraId="70434955">
            <w:pPr>
              <w:widowControl/>
              <w:ind w:left="-105" w:leftChars="-50" w:right="-105" w:rightChars="-50"/>
              <w:jc w:val="center"/>
              <w:rPr>
                <w:color w:val="000000" w:themeColor="text1"/>
                <w:kern w:val="0"/>
                <w:sz w:val="22"/>
                <w:szCs w:val="22"/>
              </w:rPr>
            </w:pPr>
          </w:p>
        </w:tc>
        <w:tc>
          <w:tcPr>
            <w:tcW w:w="1702" w:type="dxa"/>
            <w:vAlign w:val="center"/>
          </w:tcPr>
          <w:p w14:paraId="606146CD">
            <w:pPr>
              <w:widowControl/>
              <w:ind w:left="-105" w:leftChars="-50" w:right="-105" w:rightChars="-50"/>
              <w:jc w:val="center"/>
              <w:rPr>
                <w:color w:val="000000" w:themeColor="text1"/>
                <w:kern w:val="0"/>
                <w:sz w:val="22"/>
                <w:szCs w:val="22"/>
              </w:rPr>
            </w:pPr>
            <w:r>
              <w:rPr>
                <w:color w:val="000000" w:themeColor="text1"/>
                <w:kern w:val="0"/>
                <w:sz w:val="22"/>
                <w:szCs w:val="22"/>
              </w:rPr>
              <w:t>洗涤用水</w:t>
            </w:r>
          </w:p>
        </w:tc>
        <w:tc>
          <w:tcPr>
            <w:tcW w:w="5012" w:type="dxa"/>
            <w:vAlign w:val="center"/>
          </w:tcPr>
          <w:p w14:paraId="0EE6094E">
            <w:pPr>
              <w:widowControl/>
              <w:ind w:left="-105" w:leftChars="-50" w:right="-105" w:rightChars="-50"/>
              <w:jc w:val="center"/>
              <w:rPr>
                <w:color w:val="000000" w:themeColor="text1"/>
                <w:kern w:val="0"/>
                <w:sz w:val="22"/>
                <w:szCs w:val="22"/>
              </w:rPr>
            </w:pPr>
            <w:r>
              <w:rPr>
                <w:color w:val="000000" w:themeColor="text1"/>
                <w:kern w:val="0"/>
                <w:sz w:val="22"/>
                <w:szCs w:val="22"/>
              </w:rPr>
              <w:t>冲渣、冲灰、消烟除尘、清洗</w:t>
            </w:r>
          </w:p>
        </w:tc>
      </w:tr>
      <w:tr w14:paraId="1BD42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53577E91">
            <w:pPr>
              <w:widowControl/>
              <w:ind w:left="-105" w:leftChars="-50" w:right="-105" w:rightChars="-50"/>
              <w:jc w:val="center"/>
              <w:rPr>
                <w:color w:val="000000" w:themeColor="text1"/>
                <w:kern w:val="0"/>
                <w:sz w:val="22"/>
                <w:szCs w:val="22"/>
              </w:rPr>
            </w:pPr>
          </w:p>
        </w:tc>
        <w:tc>
          <w:tcPr>
            <w:tcW w:w="1157" w:type="dxa"/>
            <w:vMerge w:val="continue"/>
            <w:vAlign w:val="center"/>
          </w:tcPr>
          <w:p w14:paraId="5E9F557E">
            <w:pPr>
              <w:widowControl/>
              <w:ind w:left="-105" w:leftChars="-50" w:right="-105" w:rightChars="-50"/>
              <w:jc w:val="center"/>
              <w:rPr>
                <w:color w:val="000000" w:themeColor="text1"/>
                <w:kern w:val="0"/>
                <w:sz w:val="22"/>
                <w:szCs w:val="22"/>
              </w:rPr>
            </w:pPr>
          </w:p>
        </w:tc>
        <w:tc>
          <w:tcPr>
            <w:tcW w:w="1702" w:type="dxa"/>
            <w:vAlign w:val="center"/>
          </w:tcPr>
          <w:p w14:paraId="219FB44B">
            <w:pPr>
              <w:widowControl/>
              <w:ind w:left="-105" w:leftChars="-50" w:right="-105" w:rightChars="-50"/>
              <w:jc w:val="center"/>
              <w:rPr>
                <w:color w:val="000000" w:themeColor="text1"/>
                <w:kern w:val="0"/>
                <w:sz w:val="22"/>
                <w:szCs w:val="22"/>
              </w:rPr>
            </w:pPr>
            <w:r>
              <w:rPr>
                <w:color w:val="000000" w:themeColor="text1"/>
                <w:kern w:val="0"/>
                <w:sz w:val="22"/>
                <w:szCs w:val="22"/>
              </w:rPr>
              <w:t>锅炉用水</w:t>
            </w:r>
          </w:p>
        </w:tc>
        <w:tc>
          <w:tcPr>
            <w:tcW w:w="5012" w:type="dxa"/>
            <w:vAlign w:val="center"/>
          </w:tcPr>
          <w:p w14:paraId="06D45BD8">
            <w:pPr>
              <w:widowControl/>
              <w:ind w:left="-105" w:leftChars="-50" w:right="-105" w:rightChars="-50"/>
              <w:jc w:val="center"/>
              <w:rPr>
                <w:color w:val="000000" w:themeColor="text1"/>
                <w:kern w:val="0"/>
                <w:sz w:val="22"/>
                <w:szCs w:val="22"/>
              </w:rPr>
            </w:pPr>
            <w:r>
              <w:rPr>
                <w:color w:val="000000" w:themeColor="text1"/>
                <w:kern w:val="0"/>
                <w:sz w:val="22"/>
                <w:szCs w:val="22"/>
              </w:rPr>
              <w:t>中压、低压锅炉</w:t>
            </w:r>
          </w:p>
        </w:tc>
      </w:tr>
      <w:tr w14:paraId="7835E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43FF2BE">
            <w:pPr>
              <w:widowControl/>
              <w:ind w:left="-105" w:leftChars="-50" w:right="-105" w:rightChars="-50"/>
              <w:jc w:val="center"/>
              <w:rPr>
                <w:color w:val="000000" w:themeColor="text1"/>
                <w:kern w:val="0"/>
                <w:sz w:val="22"/>
                <w:szCs w:val="22"/>
              </w:rPr>
            </w:pPr>
          </w:p>
        </w:tc>
        <w:tc>
          <w:tcPr>
            <w:tcW w:w="1157" w:type="dxa"/>
            <w:vMerge w:val="continue"/>
            <w:vAlign w:val="center"/>
          </w:tcPr>
          <w:p w14:paraId="14502E7B">
            <w:pPr>
              <w:widowControl/>
              <w:ind w:left="-105" w:leftChars="-50" w:right="-105" w:rightChars="-50"/>
              <w:jc w:val="center"/>
              <w:rPr>
                <w:color w:val="000000" w:themeColor="text1"/>
                <w:kern w:val="0"/>
                <w:sz w:val="22"/>
                <w:szCs w:val="22"/>
              </w:rPr>
            </w:pPr>
          </w:p>
        </w:tc>
        <w:tc>
          <w:tcPr>
            <w:tcW w:w="1702" w:type="dxa"/>
            <w:vAlign w:val="center"/>
          </w:tcPr>
          <w:p w14:paraId="6313D4C9">
            <w:pPr>
              <w:widowControl/>
              <w:ind w:left="-105" w:leftChars="-50" w:right="-105" w:rightChars="-50"/>
              <w:jc w:val="center"/>
              <w:rPr>
                <w:color w:val="000000" w:themeColor="text1"/>
                <w:kern w:val="0"/>
                <w:sz w:val="22"/>
                <w:szCs w:val="22"/>
              </w:rPr>
            </w:pPr>
            <w:r>
              <w:rPr>
                <w:color w:val="000000" w:themeColor="text1"/>
                <w:kern w:val="0"/>
                <w:sz w:val="22"/>
                <w:szCs w:val="22"/>
              </w:rPr>
              <w:t>工艺用水</w:t>
            </w:r>
          </w:p>
        </w:tc>
        <w:tc>
          <w:tcPr>
            <w:tcW w:w="5012" w:type="dxa"/>
            <w:vAlign w:val="center"/>
          </w:tcPr>
          <w:p w14:paraId="0AD71464">
            <w:pPr>
              <w:widowControl/>
              <w:ind w:left="-105" w:leftChars="-50" w:right="-105" w:rightChars="-50"/>
              <w:jc w:val="center"/>
              <w:rPr>
                <w:color w:val="000000" w:themeColor="text1"/>
                <w:kern w:val="0"/>
                <w:sz w:val="22"/>
                <w:szCs w:val="22"/>
              </w:rPr>
            </w:pPr>
            <w:r>
              <w:rPr>
                <w:color w:val="000000" w:themeColor="text1"/>
                <w:kern w:val="0"/>
                <w:sz w:val="22"/>
                <w:szCs w:val="22"/>
              </w:rPr>
              <w:t>溶料、水浴、蒸煮、漂洗、水力开采、水力输送增湿、稀释、搅拌、浆料、化工制剂、涂料选矿油田回注</w:t>
            </w:r>
          </w:p>
        </w:tc>
      </w:tr>
      <w:tr w14:paraId="11507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7D16347">
            <w:pPr>
              <w:widowControl/>
              <w:ind w:left="-105" w:leftChars="-50" w:right="-105" w:rightChars="-50"/>
              <w:jc w:val="center"/>
              <w:rPr>
                <w:color w:val="000000" w:themeColor="text1"/>
                <w:kern w:val="0"/>
                <w:sz w:val="22"/>
                <w:szCs w:val="22"/>
              </w:rPr>
            </w:pPr>
          </w:p>
        </w:tc>
        <w:tc>
          <w:tcPr>
            <w:tcW w:w="1157" w:type="dxa"/>
            <w:vMerge w:val="continue"/>
            <w:vAlign w:val="center"/>
          </w:tcPr>
          <w:p w14:paraId="46DA6BA4">
            <w:pPr>
              <w:widowControl/>
              <w:ind w:left="-105" w:leftChars="-50" w:right="-105" w:rightChars="-50"/>
              <w:jc w:val="center"/>
              <w:rPr>
                <w:color w:val="000000" w:themeColor="text1"/>
                <w:kern w:val="0"/>
                <w:sz w:val="22"/>
                <w:szCs w:val="22"/>
              </w:rPr>
            </w:pPr>
          </w:p>
        </w:tc>
        <w:tc>
          <w:tcPr>
            <w:tcW w:w="1702" w:type="dxa"/>
            <w:vAlign w:val="center"/>
          </w:tcPr>
          <w:p w14:paraId="44604C0B">
            <w:pPr>
              <w:widowControl/>
              <w:ind w:left="-105" w:leftChars="-50" w:right="-105" w:rightChars="-50"/>
              <w:jc w:val="center"/>
              <w:rPr>
                <w:color w:val="000000" w:themeColor="text1"/>
                <w:kern w:val="0"/>
                <w:sz w:val="22"/>
                <w:szCs w:val="22"/>
              </w:rPr>
            </w:pPr>
            <w:r>
              <w:rPr>
                <w:color w:val="000000" w:themeColor="text1"/>
                <w:kern w:val="0"/>
                <w:sz w:val="22"/>
                <w:szCs w:val="22"/>
              </w:rPr>
              <w:t>产品用水</w:t>
            </w:r>
          </w:p>
        </w:tc>
        <w:tc>
          <w:tcPr>
            <w:tcW w:w="5012" w:type="dxa"/>
            <w:vAlign w:val="center"/>
          </w:tcPr>
          <w:p w14:paraId="3D521731">
            <w:pPr>
              <w:widowControl/>
              <w:ind w:left="-105" w:leftChars="-50" w:right="-105" w:rightChars="-50"/>
              <w:jc w:val="center"/>
              <w:rPr>
                <w:color w:val="000000" w:themeColor="text1"/>
                <w:kern w:val="0"/>
                <w:sz w:val="22"/>
                <w:szCs w:val="22"/>
              </w:rPr>
            </w:pPr>
            <w:r>
              <w:rPr>
                <w:color w:val="000000" w:themeColor="text1"/>
                <w:kern w:val="0"/>
                <w:sz w:val="22"/>
                <w:szCs w:val="22"/>
              </w:rPr>
              <w:t>浆料、化工制剂、涂料</w:t>
            </w:r>
          </w:p>
        </w:tc>
      </w:tr>
      <w:tr w14:paraId="0E9D1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5775C0AD">
            <w:pPr>
              <w:widowControl/>
              <w:ind w:left="-105" w:leftChars="-50" w:right="-105" w:rightChars="-50"/>
              <w:jc w:val="center"/>
              <w:rPr>
                <w:color w:val="000000" w:themeColor="text1"/>
                <w:kern w:val="0"/>
                <w:sz w:val="22"/>
                <w:szCs w:val="22"/>
              </w:rPr>
            </w:pPr>
            <w:r>
              <w:rPr>
                <w:color w:val="000000" w:themeColor="text1"/>
                <w:kern w:val="0"/>
                <w:sz w:val="22"/>
                <w:szCs w:val="22"/>
              </w:rPr>
              <w:t>4</w:t>
            </w:r>
          </w:p>
        </w:tc>
        <w:tc>
          <w:tcPr>
            <w:tcW w:w="1157" w:type="dxa"/>
            <w:vMerge w:val="restart"/>
            <w:vAlign w:val="center"/>
          </w:tcPr>
          <w:p w14:paraId="5B6D8A35">
            <w:pPr>
              <w:widowControl/>
              <w:ind w:left="-105" w:leftChars="-50" w:right="-105" w:rightChars="-50"/>
              <w:jc w:val="center"/>
              <w:rPr>
                <w:color w:val="000000" w:themeColor="text1"/>
                <w:kern w:val="0"/>
                <w:sz w:val="22"/>
                <w:szCs w:val="22"/>
              </w:rPr>
            </w:pPr>
            <w:r>
              <w:rPr>
                <w:color w:val="000000" w:themeColor="text1"/>
                <w:kern w:val="0"/>
                <w:sz w:val="22"/>
                <w:szCs w:val="22"/>
              </w:rPr>
              <w:t>环境用水</w:t>
            </w:r>
          </w:p>
        </w:tc>
        <w:tc>
          <w:tcPr>
            <w:tcW w:w="1702" w:type="dxa"/>
            <w:vAlign w:val="center"/>
          </w:tcPr>
          <w:p w14:paraId="145BF989">
            <w:pPr>
              <w:widowControl/>
              <w:ind w:left="-105" w:leftChars="-50" w:right="-105" w:rightChars="-50"/>
              <w:jc w:val="center"/>
              <w:rPr>
                <w:color w:val="000000" w:themeColor="text1"/>
                <w:kern w:val="0"/>
                <w:sz w:val="22"/>
                <w:szCs w:val="22"/>
              </w:rPr>
            </w:pPr>
            <w:r>
              <w:rPr>
                <w:color w:val="000000" w:themeColor="text1"/>
                <w:kern w:val="0"/>
                <w:sz w:val="22"/>
                <w:szCs w:val="22"/>
              </w:rPr>
              <w:t>娱乐性景观环境用水</w:t>
            </w:r>
          </w:p>
        </w:tc>
        <w:tc>
          <w:tcPr>
            <w:tcW w:w="5012" w:type="dxa"/>
            <w:vAlign w:val="center"/>
          </w:tcPr>
          <w:p w14:paraId="2780ADED">
            <w:pPr>
              <w:widowControl/>
              <w:ind w:left="-105" w:leftChars="-50" w:right="-105" w:rightChars="-50"/>
              <w:jc w:val="center"/>
              <w:rPr>
                <w:color w:val="000000" w:themeColor="text1"/>
                <w:kern w:val="0"/>
                <w:sz w:val="22"/>
                <w:szCs w:val="22"/>
              </w:rPr>
            </w:pPr>
            <w:r>
              <w:rPr>
                <w:color w:val="000000" w:themeColor="text1"/>
                <w:kern w:val="0"/>
                <w:sz w:val="22"/>
                <w:szCs w:val="22"/>
              </w:rPr>
              <w:t>娱乐性景观河道、景观湖泊及水景</w:t>
            </w:r>
          </w:p>
        </w:tc>
      </w:tr>
      <w:tr w14:paraId="73CF2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B779EBB">
            <w:pPr>
              <w:widowControl/>
              <w:ind w:left="-105" w:leftChars="-50" w:right="-105" w:rightChars="-50"/>
              <w:jc w:val="center"/>
              <w:rPr>
                <w:color w:val="000000" w:themeColor="text1"/>
                <w:kern w:val="0"/>
                <w:sz w:val="22"/>
                <w:szCs w:val="22"/>
              </w:rPr>
            </w:pPr>
          </w:p>
        </w:tc>
        <w:tc>
          <w:tcPr>
            <w:tcW w:w="1157" w:type="dxa"/>
            <w:vMerge w:val="continue"/>
            <w:vAlign w:val="center"/>
          </w:tcPr>
          <w:p w14:paraId="77112E8B">
            <w:pPr>
              <w:widowControl/>
              <w:ind w:left="-105" w:leftChars="-50" w:right="-105" w:rightChars="-50"/>
              <w:jc w:val="center"/>
              <w:rPr>
                <w:color w:val="000000" w:themeColor="text1"/>
                <w:kern w:val="0"/>
                <w:sz w:val="22"/>
                <w:szCs w:val="22"/>
              </w:rPr>
            </w:pPr>
          </w:p>
        </w:tc>
        <w:tc>
          <w:tcPr>
            <w:tcW w:w="1702" w:type="dxa"/>
            <w:vAlign w:val="center"/>
          </w:tcPr>
          <w:p w14:paraId="693376B1">
            <w:pPr>
              <w:widowControl/>
              <w:ind w:left="-105" w:leftChars="-50" w:right="-105" w:rightChars="-50"/>
              <w:jc w:val="center"/>
              <w:rPr>
                <w:color w:val="000000" w:themeColor="text1"/>
                <w:kern w:val="0"/>
                <w:sz w:val="22"/>
                <w:szCs w:val="22"/>
              </w:rPr>
            </w:pPr>
            <w:r>
              <w:rPr>
                <w:color w:val="000000" w:themeColor="text1"/>
                <w:kern w:val="0"/>
                <w:sz w:val="22"/>
                <w:szCs w:val="22"/>
              </w:rPr>
              <w:t>观赏性景观环境用水</w:t>
            </w:r>
          </w:p>
        </w:tc>
        <w:tc>
          <w:tcPr>
            <w:tcW w:w="5012" w:type="dxa"/>
            <w:vAlign w:val="center"/>
          </w:tcPr>
          <w:p w14:paraId="765D493A">
            <w:pPr>
              <w:widowControl/>
              <w:ind w:left="-105" w:leftChars="-50" w:right="-105" w:rightChars="-50"/>
              <w:jc w:val="center"/>
              <w:rPr>
                <w:color w:val="000000" w:themeColor="text1"/>
                <w:kern w:val="0"/>
                <w:sz w:val="22"/>
                <w:szCs w:val="22"/>
              </w:rPr>
            </w:pPr>
            <w:r>
              <w:rPr>
                <w:color w:val="000000" w:themeColor="text1"/>
                <w:kern w:val="0"/>
                <w:sz w:val="22"/>
                <w:szCs w:val="22"/>
              </w:rPr>
              <w:t>观赏性景观河道、景观湖泊及水景</w:t>
            </w:r>
          </w:p>
        </w:tc>
      </w:tr>
      <w:tr w14:paraId="1CF2D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D7C231B">
            <w:pPr>
              <w:widowControl/>
              <w:ind w:left="-105" w:leftChars="-50" w:right="-105" w:rightChars="-50"/>
              <w:jc w:val="center"/>
              <w:rPr>
                <w:color w:val="000000" w:themeColor="text1"/>
                <w:kern w:val="0"/>
                <w:sz w:val="22"/>
                <w:szCs w:val="22"/>
              </w:rPr>
            </w:pPr>
          </w:p>
        </w:tc>
        <w:tc>
          <w:tcPr>
            <w:tcW w:w="1157" w:type="dxa"/>
            <w:vMerge w:val="continue"/>
            <w:vAlign w:val="center"/>
          </w:tcPr>
          <w:p w14:paraId="4E5BB021">
            <w:pPr>
              <w:widowControl/>
              <w:ind w:left="-105" w:leftChars="-50" w:right="-105" w:rightChars="-50"/>
              <w:jc w:val="center"/>
              <w:rPr>
                <w:color w:val="000000" w:themeColor="text1"/>
                <w:kern w:val="0"/>
                <w:sz w:val="22"/>
                <w:szCs w:val="22"/>
              </w:rPr>
            </w:pPr>
          </w:p>
        </w:tc>
        <w:tc>
          <w:tcPr>
            <w:tcW w:w="1702" w:type="dxa"/>
            <w:vAlign w:val="center"/>
          </w:tcPr>
          <w:p w14:paraId="2E80BC6E">
            <w:pPr>
              <w:widowControl/>
              <w:ind w:left="-105" w:leftChars="-50" w:right="-105" w:rightChars="-50"/>
              <w:jc w:val="center"/>
              <w:rPr>
                <w:color w:val="000000" w:themeColor="text1"/>
                <w:kern w:val="0"/>
                <w:sz w:val="22"/>
                <w:szCs w:val="22"/>
              </w:rPr>
            </w:pPr>
            <w:r>
              <w:rPr>
                <w:color w:val="000000" w:themeColor="text1"/>
                <w:kern w:val="0"/>
                <w:sz w:val="22"/>
                <w:szCs w:val="22"/>
              </w:rPr>
              <w:t>湿地环境用水</w:t>
            </w:r>
          </w:p>
        </w:tc>
        <w:tc>
          <w:tcPr>
            <w:tcW w:w="5012" w:type="dxa"/>
            <w:vAlign w:val="center"/>
          </w:tcPr>
          <w:p w14:paraId="1BC984A8">
            <w:pPr>
              <w:widowControl/>
              <w:ind w:left="-105" w:leftChars="-50" w:right="-105" w:rightChars="-50"/>
              <w:jc w:val="center"/>
              <w:rPr>
                <w:color w:val="000000" w:themeColor="text1"/>
                <w:kern w:val="0"/>
                <w:sz w:val="22"/>
                <w:szCs w:val="22"/>
              </w:rPr>
            </w:pPr>
            <w:r>
              <w:rPr>
                <w:color w:val="000000" w:themeColor="text1"/>
                <w:kern w:val="0"/>
                <w:sz w:val="22"/>
                <w:szCs w:val="22"/>
              </w:rPr>
              <w:t>恢复自然湿地、营造人工湿地</w:t>
            </w:r>
          </w:p>
        </w:tc>
      </w:tr>
      <w:tr w14:paraId="1AF3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2B8D085D">
            <w:pPr>
              <w:widowControl/>
              <w:ind w:left="-105" w:leftChars="-50" w:right="-105" w:rightChars="-50"/>
              <w:jc w:val="center"/>
              <w:rPr>
                <w:color w:val="000000" w:themeColor="text1"/>
                <w:kern w:val="0"/>
                <w:sz w:val="22"/>
                <w:szCs w:val="22"/>
              </w:rPr>
            </w:pPr>
            <w:r>
              <w:rPr>
                <w:color w:val="000000" w:themeColor="text1"/>
                <w:kern w:val="0"/>
                <w:sz w:val="22"/>
                <w:szCs w:val="22"/>
              </w:rPr>
              <w:t>5</w:t>
            </w:r>
          </w:p>
        </w:tc>
        <w:tc>
          <w:tcPr>
            <w:tcW w:w="1157" w:type="dxa"/>
            <w:vMerge w:val="restart"/>
            <w:vAlign w:val="center"/>
          </w:tcPr>
          <w:p w14:paraId="5C86ADBA">
            <w:pPr>
              <w:widowControl/>
              <w:ind w:left="-105" w:leftChars="-50" w:right="-105" w:rightChars="-50"/>
              <w:jc w:val="center"/>
              <w:rPr>
                <w:color w:val="000000" w:themeColor="text1"/>
                <w:kern w:val="0"/>
                <w:sz w:val="22"/>
                <w:szCs w:val="22"/>
              </w:rPr>
            </w:pPr>
            <w:r>
              <w:rPr>
                <w:color w:val="000000" w:themeColor="text1"/>
                <w:kern w:val="0"/>
                <w:sz w:val="22"/>
                <w:szCs w:val="22"/>
              </w:rPr>
              <w:t>补充水源水</w:t>
            </w:r>
          </w:p>
        </w:tc>
        <w:tc>
          <w:tcPr>
            <w:tcW w:w="1702" w:type="dxa"/>
            <w:vAlign w:val="center"/>
          </w:tcPr>
          <w:p w14:paraId="35C39F86">
            <w:pPr>
              <w:widowControl/>
              <w:ind w:left="-105" w:leftChars="-50" w:right="-105" w:rightChars="-50"/>
              <w:jc w:val="center"/>
              <w:rPr>
                <w:color w:val="000000" w:themeColor="text1"/>
                <w:kern w:val="0"/>
                <w:sz w:val="22"/>
                <w:szCs w:val="22"/>
              </w:rPr>
            </w:pPr>
            <w:r>
              <w:rPr>
                <w:color w:val="000000" w:themeColor="text1"/>
                <w:kern w:val="0"/>
                <w:sz w:val="22"/>
                <w:szCs w:val="22"/>
              </w:rPr>
              <w:t>补充地表水</w:t>
            </w:r>
          </w:p>
        </w:tc>
        <w:tc>
          <w:tcPr>
            <w:tcW w:w="5012" w:type="dxa"/>
            <w:vAlign w:val="center"/>
          </w:tcPr>
          <w:p w14:paraId="2CCBA130">
            <w:pPr>
              <w:widowControl/>
              <w:ind w:left="-105" w:leftChars="-50" w:right="-105" w:rightChars="-50"/>
              <w:jc w:val="center"/>
              <w:rPr>
                <w:color w:val="000000" w:themeColor="text1"/>
                <w:kern w:val="0"/>
                <w:sz w:val="22"/>
                <w:szCs w:val="22"/>
              </w:rPr>
            </w:pPr>
            <w:r>
              <w:rPr>
                <w:color w:val="000000" w:themeColor="text1"/>
                <w:kern w:val="0"/>
                <w:sz w:val="22"/>
                <w:szCs w:val="22"/>
              </w:rPr>
              <w:t>河流、湖泊</w:t>
            </w:r>
          </w:p>
        </w:tc>
      </w:tr>
      <w:tr w14:paraId="7260C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716F324">
            <w:pPr>
              <w:widowControl/>
              <w:ind w:left="-105" w:leftChars="-50" w:right="-105" w:rightChars="-50"/>
              <w:jc w:val="center"/>
              <w:rPr>
                <w:color w:val="000000" w:themeColor="text1"/>
                <w:kern w:val="0"/>
                <w:sz w:val="22"/>
                <w:szCs w:val="22"/>
              </w:rPr>
            </w:pPr>
          </w:p>
        </w:tc>
        <w:tc>
          <w:tcPr>
            <w:tcW w:w="1157" w:type="dxa"/>
            <w:vMerge w:val="continue"/>
            <w:vAlign w:val="center"/>
          </w:tcPr>
          <w:p w14:paraId="167A4EFF">
            <w:pPr>
              <w:widowControl/>
              <w:ind w:left="-105" w:leftChars="-50" w:right="-105" w:rightChars="-50"/>
              <w:jc w:val="center"/>
              <w:rPr>
                <w:color w:val="000000" w:themeColor="text1"/>
                <w:kern w:val="0"/>
                <w:sz w:val="22"/>
                <w:szCs w:val="22"/>
              </w:rPr>
            </w:pPr>
          </w:p>
        </w:tc>
        <w:tc>
          <w:tcPr>
            <w:tcW w:w="1702" w:type="dxa"/>
            <w:vAlign w:val="center"/>
          </w:tcPr>
          <w:p w14:paraId="6D3558D6">
            <w:pPr>
              <w:widowControl/>
              <w:ind w:left="-105" w:leftChars="-50" w:right="-105" w:rightChars="-50"/>
              <w:jc w:val="center"/>
              <w:rPr>
                <w:color w:val="000000" w:themeColor="text1"/>
                <w:kern w:val="0"/>
                <w:sz w:val="22"/>
                <w:szCs w:val="22"/>
              </w:rPr>
            </w:pPr>
            <w:r>
              <w:rPr>
                <w:color w:val="000000" w:themeColor="text1"/>
                <w:kern w:val="0"/>
                <w:sz w:val="22"/>
                <w:szCs w:val="22"/>
              </w:rPr>
              <w:t>补充地下水</w:t>
            </w:r>
          </w:p>
        </w:tc>
        <w:tc>
          <w:tcPr>
            <w:tcW w:w="5012" w:type="dxa"/>
            <w:vAlign w:val="center"/>
          </w:tcPr>
          <w:p w14:paraId="329DFF88">
            <w:pPr>
              <w:widowControl/>
              <w:ind w:left="-105" w:leftChars="-50" w:right="-105" w:rightChars="-50"/>
              <w:jc w:val="center"/>
              <w:rPr>
                <w:color w:val="000000" w:themeColor="text1"/>
                <w:kern w:val="0"/>
                <w:sz w:val="22"/>
                <w:szCs w:val="22"/>
              </w:rPr>
            </w:pPr>
            <w:r>
              <w:rPr>
                <w:color w:val="000000" w:themeColor="text1"/>
                <w:kern w:val="0"/>
                <w:sz w:val="22"/>
                <w:szCs w:val="22"/>
              </w:rPr>
              <w:t>水源补给、防止海水入</w:t>
            </w:r>
            <w:r>
              <w:rPr>
                <w:rFonts w:hint="eastAsia"/>
                <w:color w:val="000000" w:themeColor="text1"/>
                <w:kern w:val="0"/>
                <w:sz w:val="22"/>
                <w:szCs w:val="22"/>
              </w:rPr>
              <w:t>侵</w:t>
            </w:r>
            <w:r>
              <w:rPr>
                <w:color w:val="000000" w:themeColor="text1"/>
                <w:kern w:val="0"/>
                <w:sz w:val="22"/>
                <w:szCs w:val="22"/>
              </w:rPr>
              <w:t>、防止地面沉降</w:t>
            </w:r>
          </w:p>
        </w:tc>
      </w:tr>
    </w:tbl>
    <w:p w14:paraId="5A40449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2、《城市污水再生利用 工业用水水质》（GB/T 19923-2024）</w:t>
      </w:r>
    </w:p>
    <w:p w14:paraId="6BC11F57">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 工业用水水质》（GB/T 19923-2024）标准适用于以城市污水再生水为水源，作为工业用水的下列范围：间冷开式循环冷却水补充水、锅炉补给水、工艺用水、产品用水、直流冷却水、洗涤用水等。</w:t>
      </w:r>
    </w:p>
    <w:p w14:paraId="573A45AE">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 xml:space="preserve">7.2-4  </w:t>
      </w:r>
      <w:r>
        <w:rPr>
          <w:rFonts w:hint="eastAsia"/>
          <w:b/>
          <w:bCs/>
          <w:color w:val="000000" w:themeColor="text1"/>
          <w:sz w:val="24"/>
        </w:rPr>
        <w:t>再生水用作工业用水水质基本控制项目及限值</w:t>
      </w:r>
    </w:p>
    <w:tbl>
      <w:tblPr>
        <w:tblStyle w:val="46"/>
        <w:tblW w:w="0" w:type="auto"/>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2946"/>
        <w:gridCol w:w="2458"/>
        <w:gridCol w:w="2318"/>
      </w:tblGrid>
      <w:tr w14:paraId="30CC9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567" w:type="dxa"/>
            <w:vMerge w:val="restart"/>
            <w:vAlign w:val="center"/>
          </w:tcPr>
          <w:p w14:paraId="41D5D71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序号</w:t>
            </w:r>
          </w:p>
        </w:tc>
        <w:tc>
          <w:tcPr>
            <w:tcW w:w="0" w:type="auto"/>
            <w:vMerge w:val="restart"/>
            <w:vAlign w:val="center"/>
          </w:tcPr>
          <w:p w14:paraId="43A8687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项目</w:t>
            </w:r>
          </w:p>
        </w:tc>
        <w:tc>
          <w:tcPr>
            <w:tcW w:w="2458" w:type="dxa"/>
            <w:vMerge w:val="restart"/>
            <w:vAlign w:val="center"/>
          </w:tcPr>
          <w:p w14:paraId="682620E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间冷开式循环冷却水补充水、锅炉补给水、工艺用水、产品用水</w:t>
            </w:r>
          </w:p>
        </w:tc>
        <w:tc>
          <w:tcPr>
            <w:tcW w:w="2318" w:type="dxa"/>
            <w:vMerge w:val="restart"/>
            <w:vAlign w:val="center"/>
          </w:tcPr>
          <w:p w14:paraId="19C81E2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直流冷却水、洗涤用水</w:t>
            </w:r>
          </w:p>
        </w:tc>
      </w:tr>
      <w:tr w14:paraId="09BC0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vMerge w:val="continue"/>
            <w:vAlign w:val="center"/>
          </w:tcPr>
          <w:p w14:paraId="3498AEFA">
            <w:pPr>
              <w:widowControl/>
              <w:adjustRightInd w:val="0"/>
              <w:snapToGrid w:val="0"/>
              <w:ind w:left="-105" w:leftChars="-50" w:right="-105" w:rightChars="-50"/>
              <w:jc w:val="left"/>
              <w:rPr>
                <w:color w:val="000000" w:themeColor="text1"/>
                <w:kern w:val="0"/>
                <w:sz w:val="22"/>
                <w:szCs w:val="22"/>
              </w:rPr>
            </w:pPr>
          </w:p>
        </w:tc>
        <w:tc>
          <w:tcPr>
            <w:tcW w:w="0" w:type="auto"/>
            <w:vMerge w:val="continue"/>
            <w:vAlign w:val="center"/>
          </w:tcPr>
          <w:p w14:paraId="607D6FF4">
            <w:pPr>
              <w:widowControl/>
              <w:adjustRightInd w:val="0"/>
              <w:snapToGrid w:val="0"/>
              <w:ind w:left="-105" w:leftChars="-50" w:right="-105" w:rightChars="-50"/>
              <w:jc w:val="left"/>
              <w:rPr>
                <w:color w:val="000000" w:themeColor="text1"/>
                <w:kern w:val="0"/>
                <w:sz w:val="22"/>
                <w:szCs w:val="22"/>
              </w:rPr>
            </w:pPr>
          </w:p>
        </w:tc>
        <w:tc>
          <w:tcPr>
            <w:tcW w:w="2458" w:type="dxa"/>
            <w:vMerge w:val="continue"/>
            <w:vAlign w:val="center"/>
          </w:tcPr>
          <w:p w14:paraId="4BCCF776">
            <w:pPr>
              <w:widowControl/>
              <w:adjustRightInd w:val="0"/>
              <w:snapToGrid w:val="0"/>
              <w:ind w:left="-105" w:leftChars="-50" w:right="-105" w:rightChars="-50"/>
              <w:jc w:val="left"/>
              <w:rPr>
                <w:color w:val="000000" w:themeColor="text1"/>
                <w:kern w:val="0"/>
                <w:sz w:val="22"/>
                <w:szCs w:val="22"/>
              </w:rPr>
            </w:pPr>
          </w:p>
        </w:tc>
        <w:tc>
          <w:tcPr>
            <w:tcW w:w="2318" w:type="dxa"/>
            <w:vMerge w:val="continue"/>
            <w:vAlign w:val="center"/>
          </w:tcPr>
          <w:p w14:paraId="113E54DE">
            <w:pPr>
              <w:widowControl/>
              <w:adjustRightInd w:val="0"/>
              <w:snapToGrid w:val="0"/>
              <w:ind w:left="-105" w:leftChars="-50" w:right="-105" w:rightChars="-50"/>
              <w:jc w:val="left"/>
              <w:rPr>
                <w:color w:val="000000" w:themeColor="text1"/>
                <w:kern w:val="0"/>
                <w:sz w:val="22"/>
                <w:szCs w:val="22"/>
              </w:rPr>
            </w:pPr>
          </w:p>
        </w:tc>
      </w:tr>
      <w:tr w14:paraId="14090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0EBCB49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0" w:type="auto"/>
            <w:noWrap/>
            <w:vAlign w:val="center"/>
          </w:tcPr>
          <w:p w14:paraId="78680FF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pH值</w:t>
            </w:r>
          </w:p>
        </w:tc>
        <w:tc>
          <w:tcPr>
            <w:tcW w:w="0" w:type="auto"/>
            <w:gridSpan w:val="2"/>
            <w:noWrap/>
            <w:vAlign w:val="center"/>
          </w:tcPr>
          <w:p w14:paraId="7DA10AF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6.5-9.0</w:t>
            </w:r>
          </w:p>
        </w:tc>
      </w:tr>
      <w:tr w14:paraId="78394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79C35B2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w:t>
            </w:r>
          </w:p>
        </w:tc>
        <w:tc>
          <w:tcPr>
            <w:tcW w:w="0" w:type="auto"/>
            <w:noWrap/>
            <w:vAlign w:val="center"/>
          </w:tcPr>
          <w:p w14:paraId="568D676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rPr>
              <w:t>/</w:t>
            </w:r>
            <w:r>
              <w:rPr>
                <w:color w:val="000000" w:themeColor="text1"/>
                <w:kern w:val="0"/>
                <w:sz w:val="22"/>
                <w:szCs w:val="22"/>
              </w:rPr>
              <w:t>度</w:t>
            </w:r>
          </w:p>
        </w:tc>
        <w:tc>
          <w:tcPr>
            <w:tcW w:w="0" w:type="auto"/>
            <w:gridSpan w:val="2"/>
            <w:noWrap/>
            <w:vAlign w:val="center"/>
          </w:tcPr>
          <w:p w14:paraId="09C57C2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w:t>
            </w:r>
          </w:p>
        </w:tc>
      </w:tr>
      <w:tr w14:paraId="3ED77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0F2D082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0" w:type="auto"/>
            <w:noWrap/>
            <w:vAlign w:val="center"/>
          </w:tcPr>
          <w:p w14:paraId="4D9F83E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rPr>
              <w:t>/</w:t>
            </w:r>
            <w:r>
              <w:rPr>
                <w:color w:val="000000" w:themeColor="text1"/>
                <w:kern w:val="0"/>
                <w:sz w:val="22"/>
                <w:szCs w:val="22"/>
              </w:rPr>
              <w:t>NTU</w:t>
            </w:r>
          </w:p>
        </w:tc>
        <w:tc>
          <w:tcPr>
            <w:tcW w:w="2458" w:type="dxa"/>
            <w:noWrap/>
            <w:vAlign w:val="center"/>
          </w:tcPr>
          <w:p w14:paraId="02E7E6C1">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w:t>
            </w:r>
          </w:p>
        </w:tc>
        <w:tc>
          <w:tcPr>
            <w:tcW w:w="2318" w:type="dxa"/>
            <w:noWrap/>
            <w:vAlign w:val="center"/>
          </w:tcPr>
          <w:p w14:paraId="158C363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w:t>
            </w:r>
          </w:p>
        </w:tc>
      </w:tr>
      <w:tr w14:paraId="678FF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6BB7972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w:t>
            </w:r>
          </w:p>
        </w:tc>
        <w:tc>
          <w:tcPr>
            <w:tcW w:w="0" w:type="auto"/>
            <w:noWrap/>
            <w:vAlign w:val="center"/>
          </w:tcPr>
          <w:p w14:paraId="7D2F03D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五日</w:t>
            </w:r>
            <w:r>
              <w:rPr>
                <w:color w:val="000000" w:themeColor="text1"/>
                <w:kern w:val="0"/>
                <w:sz w:val="22"/>
                <w:szCs w:val="22"/>
              </w:rPr>
              <w:t xml:space="preserve">生化需氧量 (BOD5)(mg/L) </w:t>
            </w:r>
          </w:p>
        </w:tc>
        <w:tc>
          <w:tcPr>
            <w:tcW w:w="0" w:type="auto"/>
            <w:gridSpan w:val="2"/>
            <w:noWrap/>
            <w:vAlign w:val="center"/>
          </w:tcPr>
          <w:p w14:paraId="615A3CA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w:t>
            </w:r>
            <w:r>
              <w:rPr>
                <w:color w:val="000000" w:themeColor="text1"/>
                <w:kern w:val="0"/>
                <w:sz w:val="22"/>
                <w:szCs w:val="22"/>
              </w:rPr>
              <w:t>0</w:t>
            </w:r>
          </w:p>
        </w:tc>
      </w:tr>
      <w:tr w14:paraId="2C998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19DDAFA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0" w:type="auto"/>
            <w:noWrap/>
            <w:vAlign w:val="center"/>
          </w:tcPr>
          <w:p w14:paraId="68A93B1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化学需氧量 (COD Cr)(mg/L)</w:t>
            </w:r>
          </w:p>
        </w:tc>
        <w:tc>
          <w:tcPr>
            <w:tcW w:w="0" w:type="auto"/>
            <w:gridSpan w:val="2"/>
            <w:noWrap/>
            <w:vAlign w:val="center"/>
          </w:tcPr>
          <w:p w14:paraId="335518D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50</w:t>
            </w:r>
          </w:p>
        </w:tc>
      </w:tr>
      <w:tr w14:paraId="5E0AB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1986403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0" w:type="auto"/>
            <w:noWrap/>
            <w:vAlign w:val="center"/>
          </w:tcPr>
          <w:p w14:paraId="4E5A6E9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p>
        </w:tc>
        <w:tc>
          <w:tcPr>
            <w:tcW w:w="0" w:type="auto"/>
            <w:gridSpan w:val="2"/>
            <w:noWrap/>
            <w:vAlign w:val="center"/>
          </w:tcPr>
          <w:p w14:paraId="63AE1F3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w:t>
            </w:r>
          </w:p>
        </w:tc>
      </w:tr>
      <w:tr w14:paraId="76216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6DD70ED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7</w:t>
            </w:r>
          </w:p>
        </w:tc>
        <w:tc>
          <w:tcPr>
            <w:tcW w:w="0" w:type="auto"/>
            <w:noWrap/>
            <w:vAlign w:val="center"/>
          </w:tcPr>
          <w:p w14:paraId="6E62316A">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总</w:t>
            </w:r>
            <w:r>
              <w:rPr>
                <w:color w:val="000000" w:themeColor="text1"/>
                <w:kern w:val="0"/>
                <w:sz w:val="22"/>
                <w:szCs w:val="22"/>
              </w:rPr>
              <w:t>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p>
        </w:tc>
        <w:tc>
          <w:tcPr>
            <w:tcW w:w="0" w:type="auto"/>
            <w:gridSpan w:val="2"/>
            <w:noWrap/>
            <w:vAlign w:val="center"/>
          </w:tcPr>
          <w:p w14:paraId="480EAD7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w:t>
            </w:r>
          </w:p>
        </w:tc>
      </w:tr>
      <w:tr w14:paraId="289E5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5646DC1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8</w:t>
            </w:r>
          </w:p>
        </w:tc>
        <w:tc>
          <w:tcPr>
            <w:tcW w:w="0" w:type="auto"/>
            <w:noWrap/>
            <w:vAlign w:val="center"/>
          </w:tcPr>
          <w:p w14:paraId="7776E7A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总磷 </w:t>
            </w:r>
            <w:r>
              <w:rPr>
                <w:rFonts w:hint="eastAsia"/>
                <w:color w:val="000000" w:themeColor="text1"/>
                <w:kern w:val="0"/>
                <w:sz w:val="22"/>
                <w:szCs w:val="22"/>
                <w:lang w:eastAsia="zh-CN"/>
              </w:rPr>
              <w:t>（</w:t>
            </w:r>
            <w:r>
              <w:rPr>
                <w:color w:val="000000" w:themeColor="text1"/>
                <w:kern w:val="0"/>
                <w:sz w:val="22"/>
                <w:szCs w:val="22"/>
              </w:rPr>
              <w:t>以P计 mg/L</w:t>
            </w:r>
            <w:r>
              <w:rPr>
                <w:rFonts w:hint="eastAsia"/>
                <w:color w:val="000000" w:themeColor="text1"/>
                <w:kern w:val="0"/>
                <w:sz w:val="22"/>
                <w:szCs w:val="22"/>
                <w:lang w:eastAsia="zh-CN"/>
              </w:rPr>
              <w:t>）</w:t>
            </w:r>
          </w:p>
        </w:tc>
        <w:tc>
          <w:tcPr>
            <w:tcW w:w="0" w:type="auto"/>
            <w:gridSpan w:val="2"/>
            <w:noWrap/>
            <w:vAlign w:val="center"/>
          </w:tcPr>
          <w:p w14:paraId="27A2B8F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0.5</w:t>
            </w:r>
          </w:p>
        </w:tc>
      </w:tr>
      <w:tr w14:paraId="44062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2F8F387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9</w:t>
            </w:r>
          </w:p>
        </w:tc>
        <w:tc>
          <w:tcPr>
            <w:tcW w:w="0" w:type="auto"/>
            <w:noWrap/>
            <w:vAlign w:val="center"/>
          </w:tcPr>
          <w:p w14:paraId="247605F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阴离子表面活性剂</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0" w:type="auto"/>
            <w:gridSpan w:val="2"/>
            <w:noWrap/>
            <w:vAlign w:val="center"/>
          </w:tcPr>
          <w:p w14:paraId="5ECEF12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0.5</w:t>
            </w:r>
          </w:p>
        </w:tc>
      </w:tr>
      <w:tr w14:paraId="1CDFD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1BAE6E7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w:t>
            </w:r>
          </w:p>
        </w:tc>
        <w:tc>
          <w:tcPr>
            <w:tcW w:w="0" w:type="auto"/>
            <w:noWrap/>
            <w:vAlign w:val="center"/>
          </w:tcPr>
          <w:p w14:paraId="0DD1584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石油类 (mg/L)</w:t>
            </w:r>
          </w:p>
        </w:tc>
        <w:tc>
          <w:tcPr>
            <w:tcW w:w="0" w:type="auto"/>
            <w:gridSpan w:val="2"/>
            <w:noWrap/>
            <w:vAlign w:val="center"/>
          </w:tcPr>
          <w:p w14:paraId="33353FD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w:t>
            </w:r>
          </w:p>
        </w:tc>
      </w:tr>
      <w:tr w14:paraId="1EE4D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524444F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11</w:t>
            </w:r>
          </w:p>
        </w:tc>
        <w:tc>
          <w:tcPr>
            <w:tcW w:w="0" w:type="auto"/>
            <w:noWrap/>
            <w:vAlign w:val="center"/>
          </w:tcPr>
          <w:p w14:paraId="201736A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总碱度</w:t>
            </w:r>
            <w:r>
              <w:rPr>
                <w:rFonts w:hint="eastAsia"/>
                <w:color w:val="000000" w:themeColor="text1"/>
                <w:kern w:val="0"/>
                <w:sz w:val="22"/>
                <w:szCs w:val="22"/>
                <w:lang w:eastAsia="zh-CN"/>
              </w:rPr>
              <w:t>（</w:t>
            </w:r>
            <w:r>
              <w:rPr>
                <w:color w:val="000000" w:themeColor="text1"/>
                <w:kern w:val="0"/>
                <w:sz w:val="22"/>
                <w:szCs w:val="22"/>
              </w:rPr>
              <w:t>以CaCO3计/mg/L</w:t>
            </w:r>
            <w:r>
              <w:rPr>
                <w:rFonts w:hint="eastAsia"/>
                <w:color w:val="000000" w:themeColor="text1"/>
                <w:kern w:val="0"/>
                <w:sz w:val="22"/>
                <w:szCs w:val="22"/>
                <w:lang w:eastAsia="zh-CN"/>
              </w:rPr>
              <w:t>）</w:t>
            </w:r>
          </w:p>
        </w:tc>
        <w:tc>
          <w:tcPr>
            <w:tcW w:w="0" w:type="auto"/>
            <w:gridSpan w:val="2"/>
            <w:noWrap/>
            <w:vAlign w:val="center"/>
          </w:tcPr>
          <w:p w14:paraId="3597E2C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350</w:t>
            </w:r>
          </w:p>
        </w:tc>
      </w:tr>
      <w:tr w14:paraId="01FC7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4734A92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12</w:t>
            </w:r>
          </w:p>
        </w:tc>
        <w:tc>
          <w:tcPr>
            <w:tcW w:w="0" w:type="auto"/>
            <w:noWrap/>
            <w:vAlign w:val="center"/>
          </w:tcPr>
          <w:p w14:paraId="4A496EC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总硬度</w:t>
            </w:r>
            <w:r>
              <w:rPr>
                <w:rFonts w:hint="eastAsia"/>
                <w:color w:val="000000" w:themeColor="text1"/>
                <w:kern w:val="0"/>
                <w:sz w:val="22"/>
                <w:szCs w:val="22"/>
                <w:lang w:eastAsia="zh-CN"/>
              </w:rPr>
              <w:t>（</w:t>
            </w:r>
            <w:r>
              <w:rPr>
                <w:color w:val="000000" w:themeColor="text1"/>
                <w:kern w:val="0"/>
                <w:sz w:val="22"/>
                <w:szCs w:val="22"/>
              </w:rPr>
              <w:t>以CaCO3 计/mg/L</w:t>
            </w:r>
            <w:r>
              <w:rPr>
                <w:rFonts w:hint="eastAsia"/>
                <w:color w:val="000000" w:themeColor="text1"/>
                <w:kern w:val="0"/>
                <w:sz w:val="22"/>
                <w:szCs w:val="22"/>
                <w:lang w:eastAsia="zh-CN"/>
              </w:rPr>
              <w:t>）</w:t>
            </w:r>
          </w:p>
        </w:tc>
        <w:tc>
          <w:tcPr>
            <w:tcW w:w="0" w:type="auto"/>
            <w:gridSpan w:val="2"/>
            <w:noWrap/>
            <w:vAlign w:val="center"/>
          </w:tcPr>
          <w:p w14:paraId="7E2C3BB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450</w:t>
            </w:r>
          </w:p>
        </w:tc>
      </w:tr>
      <w:tr w14:paraId="6C9C3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4C637DA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13</w:t>
            </w:r>
          </w:p>
        </w:tc>
        <w:tc>
          <w:tcPr>
            <w:tcW w:w="0" w:type="auto"/>
            <w:noWrap/>
            <w:vAlign w:val="center"/>
          </w:tcPr>
          <w:p w14:paraId="1FD93E9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溶解性总固体 (mg/L) </w:t>
            </w:r>
          </w:p>
        </w:tc>
        <w:tc>
          <w:tcPr>
            <w:tcW w:w="2458" w:type="dxa"/>
            <w:noWrap/>
            <w:vAlign w:val="center"/>
          </w:tcPr>
          <w:p w14:paraId="6AB9E1E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2318" w:type="dxa"/>
            <w:vAlign w:val="center"/>
          </w:tcPr>
          <w:p w14:paraId="6C434ADF">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1500</w:t>
            </w:r>
          </w:p>
        </w:tc>
      </w:tr>
      <w:tr w14:paraId="0D5D4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73FA677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14</w:t>
            </w:r>
          </w:p>
        </w:tc>
        <w:tc>
          <w:tcPr>
            <w:tcW w:w="0" w:type="auto"/>
            <w:noWrap/>
            <w:vAlign w:val="center"/>
          </w:tcPr>
          <w:p w14:paraId="685F9BA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氯</w:t>
            </w:r>
            <w:r>
              <w:rPr>
                <w:rFonts w:hint="eastAsia"/>
                <w:color w:val="000000" w:themeColor="text1"/>
                <w:kern w:val="0"/>
                <w:sz w:val="22"/>
                <w:szCs w:val="22"/>
              </w:rPr>
              <w:t>化物</w:t>
            </w:r>
            <w:r>
              <w:rPr>
                <w:color w:val="000000" w:themeColor="text1"/>
                <w:kern w:val="0"/>
                <w:sz w:val="22"/>
                <w:szCs w:val="22"/>
              </w:rPr>
              <w:t xml:space="preserve"> (mg/L)</w:t>
            </w:r>
          </w:p>
        </w:tc>
        <w:tc>
          <w:tcPr>
            <w:tcW w:w="2458" w:type="dxa"/>
            <w:noWrap/>
            <w:vAlign w:val="center"/>
          </w:tcPr>
          <w:p w14:paraId="36E3B06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250</w:t>
            </w:r>
          </w:p>
        </w:tc>
        <w:tc>
          <w:tcPr>
            <w:tcW w:w="2318" w:type="dxa"/>
            <w:vAlign w:val="center"/>
          </w:tcPr>
          <w:p w14:paraId="57F2817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40</w:t>
            </w:r>
            <w:r>
              <w:rPr>
                <w:color w:val="000000" w:themeColor="text1"/>
                <w:kern w:val="0"/>
                <w:sz w:val="22"/>
                <w:szCs w:val="22"/>
              </w:rPr>
              <w:t>0</w:t>
            </w:r>
          </w:p>
        </w:tc>
      </w:tr>
      <w:tr w14:paraId="3BB0B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3C85618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w:t>
            </w:r>
          </w:p>
        </w:tc>
        <w:tc>
          <w:tcPr>
            <w:tcW w:w="0" w:type="auto"/>
            <w:noWrap/>
            <w:vAlign w:val="center"/>
          </w:tcPr>
          <w:p w14:paraId="63FABDA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硫酸盐</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 xml:space="preserve"> </w:t>
            </w:r>
          </w:p>
        </w:tc>
        <w:tc>
          <w:tcPr>
            <w:tcW w:w="2458" w:type="dxa"/>
            <w:noWrap/>
            <w:vAlign w:val="center"/>
          </w:tcPr>
          <w:p w14:paraId="254B5C9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250</w:t>
            </w:r>
          </w:p>
        </w:tc>
        <w:tc>
          <w:tcPr>
            <w:tcW w:w="2318" w:type="dxa"/>
            <w:vAlign w:val="center"/>
          </w:tcPr>
          <w:p w14:paraId="572B859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60</w:t>
            </w:r>
            <w:r>
              <w:rPr>
                <w:color w:val="000000" w:themeColor="text1"/>
                <w:kern w:val="0"/>
                <w:sz w:val="22"/>
                <w:szCs w:val="22"/>
              </w:rPr>
              <w:t>0</w:t>
            </w:r>
          </w:p>
        </w:tc>
      </w:tr>
      <w:tr w14:paraId="0DA4F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5CB15FA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16</w:t>
            </w:r>
          </w:p>
        </w:tc>
        <w:tc>
          <w:tcPr>
            <w:tcW w:w="0" w:type="auto"/>
            <w:noWrap/>
            <w:vAlign w:val="center"/>
          </w:tcPr>
          <w:p w14:paraId="1BAE54F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铁 (mg/L)</w:t>
            </w:r>
          </w:p>
        </w:tc>
        <w:tc>
          <w:tcPr>
            <w:tcW w:w="2458" w:type="dxa"/>
            <w:noWrap/>
            <w:vAlign w:val="center"/>
          </w:tcPr>
          <w:p w14:paraId="7D0E70F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2318" w:type="dxa"/>
            <w:noWrap/>
            <w:vAlign w:val="center"/>
          </w:tcPr>
          <w:p w14:paraId="2E0FF86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5</w:t>
            </w:r>
          </w:p>
        </w:tc>
      </w:tr>
      <w:tr w14:paraId="78A9E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0BEC4BBF">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17</w:t>
            </w:r>
          </w:p>
        </w:tc>
        <w:tc>
          <w:tcPr>
            <w:tcW w:w="0" w:type="auto"/>
            <w:noWrap/>
            <w:vAlign w:val="center"/>
          </w:tcPr>
          <w:p w14:paraId="0322A13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锰</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2458" w:type="dxa"/>
            <w:noWrap/>
            <w:vAlign w:val="center"/>
          </w:tcPr>
          <w:p w14:paraId="21120D7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0.1</w:t>
            </w:r>
          </w:p>
        </w:tc>
        <w:tc>
          <w:tcPr>
            <w:tcW w:w="2318" w:type="dxa"/>
            <w:noWrap/>
            <w:vAlign w:val="center"/>
          </w:tcPr>
          <w:p w14:paraId="4C9C3E1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w:t>
            </w:r>
            <w:r>
              <w:rPr>
                <w:rFonts w:hint="eastAsia"/>
                <w:color w:val="000000" w:themeColor="text1"/>
                <w:kern w:val="0"/>
                <w:sz w:val="22"/>
                <w:szCs w:val="22"/>
              </w:rPr>
              <w:t>2</w:t>
            </w:r>
          </w:p>
        </w:tc>
      </w:tr>
      <w:tr w14:paraId="346B8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7E776DA4">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18</w:t>
            </w:r>
          </w:p>
        </w:tc>
        <w:tc>
          <w:tcPr>
            <w:tcW w:w="0" w:type="auto"/>
            <w:noWrap/>
            <w:vAlign w:val="center"/>
          </w:tcPr>
          <w:p w14:paraId="46B6188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二氧化硅 (SiO2)</w:t>
            </w:r>
          </w:p>
        </w:tc>
        <w:tc>
          <w:tcPr>
            <w:tcW w:w="2458" w:type="dxa"/>
            <w:noWrap/>
            <w:vAlign w:val="center"/>
          </w:tcPr>
          <w:p w14:paraId="475A2EA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30</w:t>
            </w:r>
          </w:p>
        </w:tc>
        <w:tc>
          <w:tcPr>
            <w:tcW w:w="2318" w:type="dxa"/>
            <w:noWrap/>
            <w:vAlign w:val="center"/>
          </w:tcPr>
          <w:p w14:paraId="69BC808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50</w:t>
            </w:r>
          </w:p>
        </w:tc>
      </w:tr>
      <w:tr w14:paraId="31E6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1B3FF0B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r>
              <w:rPr>
                <w:rFonts w:hint="eastAsia"/>
                <w:color w:val="000000" w:themeColor="text1"/>
                <w:kern w:val="0"/>
                <w:sz w:val="22"/>
                <w:szCs w:val="22"/>
              </w:rPr>
              <w:t>9</w:t>
            </w:r>
          </w:p>
        </w:tc>
        <w:tc>
          <w:tcPr>
            <w:tcW w:w="0" w:type="auto"/>
            <w:noWrap/>
            <w:vAlign w:val="center"/>
          </w:tcPr>
          <w:p w14:paraId="7F02FDB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粪大肠菌群</w:t>
            </w:r>
            <w:r>
              <w:rPr>
                <w:rFonts w:hint="eastAsia"/>
                <w:color w:val="000000" w:themeColor="text1"/>
                <w:kern w:val="0"/>
                <w:sz w:val="22"/>
                <w:szCs w:val="22"/>
              </w:rPr>
              <w:t>/（MPN</w:t>
            </w:r>
            <w:r>
              <w:rPr>
                <w:color w:val="000000" w:themeColor="text1"/>
                <w:kern w:val="0"/>
                <w:sz w:val="22"/>
                <w:szCs w:val="22"/>
              </w:rPr>
              <w:t>/L</w:t>
            </w:r>
            <w:r>
              <w:rPr>
                <w:rFonts w:hint="eastAsia"/>
                <w:color w:val="000000" w:themeColor="text1"/>
                <w:kern w:val="0"/>
                <w:sz w:val="22"/>
                <w:szCs w:val="22"/>
                <w:lang w:eastAsia="zh-CN"/>
              </w:rPr>
              <w:t>）</w:t>
            </w:r>
          </w:p>
        </w:tc>
        <w:tc>
          <w:tcPr>
            <w:tcW w:w="0" w:type="auto"/>
            <w:gridSpan w:val="2"/>
            <w:noWrap/>
            <w:vAlign w:val="center"/>
          </w:tcPr>
          <w:p w14:paraId="29C8835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1000</w:t>
            </w:r>
          </w:p>
        </w:tc>
      </w:tr>
      <w:tr w14:paraId="550A6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7" w:type="dxa"/>
            <w:noWrap/>
            <w:vAlign w:val="center"/>
          </w:tcPr>
          <w:p w14:paraId="6EB30B1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w:t>
            </w:r>
          </w:p>
        </w:tc>
        <w:tc>
          <w:tcPr>
            <w:tcW w:w="0" w:type="auto"/>
            <w:noWrap/>
            <w:vAlign w:val="center"/>
          </w:tcPr>
          <w:p w14:paraId="65BD2AD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总</w:t>
            </w:r>
            <w:r>
              <w:rPr>
                <w:color w:val="000000" w:themeColor="text1"/>
                <w:kern w:val="0"/>
                <w:sz w:val="22"/>
                <w:szCs w:val="22"/>
              </w:rPr>
              <w:t>余氯</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0" w:type="auto"/>
            <w:gridSpan w:val="2"/>
            <w:noWrap/>
            <w:vAlign w:val="center"/>
          </w:tcPr>
          <w:p w14:paraId="5C40B16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0.1~0.2</w:t>
            </w:r>
          </w:p>
        </w:tc>
      </w:tr>
    </w:tbl>
    <w:p w14:paraId="6E4A316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再生水用作冷却用水（包括直流冷却水和敞开式循环冷却水系统补充水）、洗涤用水时，一般达到上表中所列的控制指标后可以直接使用，必要时也可对再生水进行补充处理或与新鲜水混合使用。</w:t>
      </w:r>
    </w:p>
    <w:p w14:paraId="13BBCDA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再生水用作工业用水水源时，基本控制项目及选择控制项目限值应满足《城市污水再生利用 工业用水水质》（GB/T 19923-2024）的规定。对于以城市污水为水源的再生水，除应满足上表各项指标外，其化学毒理学指标还应符合《城镇污水处理厂污染物排放标准》（</w:t>
      </w:r>
      <w:r>
        <w:rPr>
          <w:color w:val="000000" w:themeColor="text1"/>
          <w:sz w:val="28"/>
          <w:szCs w:val="36"/>
        </w:rPr>
        <w:t>GB18918</w:t>
      </w:r>
      <w:r>
        <w:rPr>
          <w:rFonts w:hint="eastAsia"/>
          <w:color w:val="000000" w:themeColor="text1"/>
          <w:sz w:val="28"/>
          <w:szCs w:val="36"/>
        </w:rPr>
        <w:t>）中“一类污染物”和“选择控制项目”各项指标限值的规定，各具体用水企业应按照水质要求自行处理后使用。</w:t>
      </w:r>
    </w:p>
    <w:p w14:paraId="4354B77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3、《城市污水再生利用城市杂用水水质》（GB/T 18920-2020）</w:t>
      </w:r>
    </w:p>
    <w:p w14:paraId="2E0F6BF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《城市污水再生利用城市杂用水水质》（GB/T 18920-2020）适用于厕所便器冲洗、道路清扫、消防、城市绿化、车辆冲洗、建筑施工杂用水。城市杂用水的水质应符合《城市污水再生利用城市杂用水水质》（GB/T 18920-2020）的规定，具体指标详见表</w:t>
      </w:r>
      <w:r>
        <w:rPr>
          <w:color w:val="000000" w:themeColor="text1"/>
          <w:sz w:val="28"/>
          <w:szCs w:val="36"/>
        </w:rPr>
        <w:t>7.2-5</w:t>
      </w:r>
      <w:r>
        <w:rPr>
          <w:rFonts w:hint="eastAsia"/>
          <w:color w:val="000000" w:themeColor="text1"/>
          <w:sz w:val="28"/>
          <w:szCs w:val="36"/>
        </w:rPr>
        <w:t>。</w:t>
      </w:r>
    </w:p>
    <w:p w14:paraId="3EFDEFDE">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 xml:space="preserve">7.2-5  </w:t>
      </w:r>
      <w:r>
        <w:rPr>
          <w:rFonts w:hint="eastAsia"/>
          <w:b/>
          <w:bCs/>
          <w:color w:val="000000" w:themeColor="text1"/>
          <w:sz w:val="24"/>
        </w:rPr>
        <w:t>再生水用作城市杂用水的水质标准</w:t>
      </w:r>
    </w:p>
    <w:tbl>
      <w:tblPr>
        <w:tblStyle w:val="46"/>
        <w:tblW w:w="83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977"/>
        <w:gridCol w:w="1876"/>
        <w:gridCol w:w="2720"/>
      </w:tblGrid>
      <w:tr w14:paraId="56461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dxa"/>
            <w:vAlign w:val="center"/>
          </w:tcPr>
          <w:p w14:paraId="6AB3415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序号</w:t>
            </w:r>
          </w:p>
        </w:tc>
        <w:tc>
          <w:tcPr>
            <w:tcW w:w="2977" w:type="dxa"/>
            <w:vAlign w:val="center"/>
          </w:tcPr>
          <w:p w14:paraId="79DE34C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项目</w:t>
            </w:r>
          </w:p>
        </w:tc>
        <w:tc>
          <w:tcPr>
            <w:tcW w:w="1876" w:type="dxa"/>
            <w:vAlign w:val="center"/>
          </w:tcPr>
          <w:p w14:paraId="04062EC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冲厕</w:t>
            </w:r>
            <w:r>
              <w:rPr>
                <w:rFonts w:hint="eastAsia"/>
                <w:color w:val="000000" w:themeColor="text1"/>
                <w:kern w:val="0"/>
                <w:sz w:val="22"/>
                <w:szCs w:val="22"/>
              </w:rPr>
              <w:t>、</w:t>
            </w:r>
            <w:r>
              <w:rPr>
                <w:color w:val="000000" w:themeColor="text1"/>
                <w:kern w:val="0"/>
                <w:sz w:val="22"/>
                <w:szCs w:val="22"/>
              </w:rPr>
              <w:t>车辆冲洗</w:t>
            </w:r>
          </w:p>
        </w:tc>
        <w:tc>
          <w:tcPr>
            <w:tcW w:w="2720" w:type="dxa"/>
            <w:vAlign w:val="center"/>
          </w:tcPr>
          <w:p w14:paraId="74E8311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城市绿化</w:t>
            </w:r>
            <w:r>
              <w:rPr>
                <w:rFonts w:hint="eastAsia"/>
                <w:color w:val="000000" w:themeColor="text1"/>
                <w:kern w:val="0"/>
                <w:sz w:val="22"/>
                <w:szCs w:val="22"/>
              </w:rPr>
              <w:t>、道路清扫、消防、建筑施工</w:t>
            </w:r>
          </w:p>
        </w:tc>
      </w:tr>
      <w:tr w14:paraId="25ED0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59FBA86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2977" w:type="dxa"/>
            <w:noWrap/>
            <w:vAlign w:val="center"/>
          </w:tcPr>
          <w:p w14:paraId="26791C5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pH值</w:t>
            </w:r>
          </w:p>
        </w:tc>
        <w:tc>
          <w:tcPr>
            <w:tcW w:w="1876" w:type="dxa"/>
            <w:vAlign w:val="center"/>
          </w:tcPr>
          <w:p w14:paraId="2CFDA97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6.0-9.0</w:t>
            </w:r>
          </w:p>
        </w:tc>
        <w:tc>
          <w:tcPr>
            <w:tcW w:w="2720" w:type="dxa"/>
            <w:vAlign w:val="center"/>
          </w:tcPr>
          <w:p w14:paraId="3469C29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6.0-9.0</w:t>
            </w:r>
          </w:p>
        </w:tc>
      </w:tr>
      <w:tr w14:paraId="6C8CB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1141676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w:t>
            </w:r>
          </w:p>
        </w:tc>
        <w:tc>
          <w:tcPr>
            <w:tcW w:w="2977" w:type="dxa"/>
            <w:noWrap/>
            <w:vAlign w:val="center"/>
          </w:tcPr>
          <w:p w14:paraId="1528159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lang w:eastAsia="zh-CN"/>
              </w:rPr>
              <w:t>（</w:t>
            </w:r>
            <w:r>
              <w:rPr>
                <w:color w:val="000000" w:themeColor="text1"/>
                <w:kern w:val="0"/>
                <w:sz w:val="22"/>
                <w:szCs w:val="22"/>
              </w:rPr>
              <w:t>度</w:t>
            </w:r>
            <w:r>
              <w:rPr>
                <w:rFonts w:hint="eastAsia"/>
                <w:color w:val="000000" w:themeColor="text1"/>
                <w:kern w:val="0"/>
                <w:sz w:val="22"/>
                <w:szCs w:val="22"/>
                <w:lang w:eastAsia="zh-CN"/>
              </w:rPr>
              <w:t>）</w:t>
            </w:r>
            <w:r>
              <w:rPr>
                <w:color w:val="000000" w:themeColor="text1"/>
                <w:kern w:val="0"/>
                <w:sz w:val="22"/>
                <w:szCs w:val="22"/>
              </w:rPr>
              <w:t xml:space="preserve"> ≤</w:t>
            </w:r>
          </w:p>
        </w:tc>
        <w:tc>
          <w:tcPr>
            <w:tcW w:w="1876" w:type="dxa"/>
            <w:vAlign w:val="center"/>
          </w:tcPr>
          <w:p w14:paraId="26621AD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w:t>
            </w:r>
          </w:p>
        </w:tc>
        <w:tc>
          <w:tcPr>
            <w:tcW w:w="2720" w:type="dxa"/>
            <w:vAlign w:val="center"/>
          </w:tcPr>
          <w:p w14:paraId="3575764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30</w:t>
            </w:r>
          </w:p>
        </w:tc>
      </w:tr>
      <w:tr w14:paraId="1C6E2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6DD2C36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2977" w:type="dxa"/>
            <w:noWrap/>
            <w:vAlign w:val="center"/>
          </w:tcPr>
          <w:p w14:paraId="49A02F3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嗅</w:t>
            </w:r>
          </w:p>
        </w:tc>
        <w:tc>
          <w:tcPr>
            <w:tcW w:w="4596" w:type="dxa"/>
            <w:gridSpan w:val="2"/>
            <w:vAlign w:val="center"/>
          </w:tcPr>
          <w:p w14:paraId="588E35E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无不快感</w:t>
            </w:r>
          </w:p>
        </w:tc>
      </w:tr>
      <w:tr w14:paraId="48DB2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4A15B3F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w:t>
            </w:r>
          </w:p>
        </w:tc>
        <w:tc>
          <w:tcPr>
            <w:tcW w:w="2977" w:type="dxa"/>
            <w:noWrap/>
            <w:vAlign w:val="center"/>
          </w:tcPr>
          <w:p w14:paraId="3DA6991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lang w:eastAsia="zh-CN"/>
              </w:rPr>
              <w:t>（</w:t>
            </w:r>
            <w:r>
              <w:rPr>
                <w:color w:val="000000" w:themeColor="text1"/>
                <w:kern w:val="0"/>
                <w:sz w:val="22"/>
                <w:szCs w:val="22"/>
              </w:rPr>
              <w:t>NTU</w:t>
            </w:r>
            <w:r>
              <w:rPr>
                <w:rFonts w:hint="eastAsia"/>
                <w:color w:val="000000" w:themeColor="text1"/>
                <w:kern w:val="0"/>
                <w:sz w:val="22"/>
                <w:szCs w:val="22"/>
                <w:lang w:eastAsia="zh-CN"/>
              </w:rPr>
              <w:t>）</w:t>
            </w:r>
            <w:r>
              <w:rPr>
                <w:color w:val="000000" w:themeColor="text1"/>
                <w:kern w:val="0"/>
                <w:sz w:val="22"/>
                <w:szCs w:val="22"/>
              </w:rPr>
              <w:t xml:space="preserve"> ≤</w:t>
            </w:r>
          </w:p>
        </w:tc>
        <w:tc>
          <w:tcPr>
            <w:tcW w:w="1876" w:type="dxa"/>
            <w:vAlign w:val="center"/>
          </w:tcPr>
          <w:p w14:paraId="27AA61C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2720" w:type="dxa"/>
            <w:vAlign w:val="center"/>
          </w:tcPr>
          <w:p w14:paraId="456863F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r>
      <w:tr w14:paraId="6DC18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1B97374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2977" w:type="dxa"/>
            <w:noWrap/>
            <w:vAlign w:val="center"/>
          </w:tcPr>
          <w:p w14:paraId="1330E2F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五日</w:t>
            </w:r>
            <w:r>
              <w:rPr>
                <w:color w:val="000000" w:themeColor="text1"/>
                <w:kern w:val="0"/>
                <w:sz w:val="22"/>
                <w:szCs w:val="22"/>
              </w:rPr>
              <w:t>生化需氧量 (BOD5)(mg/L) ≤</w:t>
            </w:r>
          </w:p>
        </w:tc>
        <w:tc>
          <w:tcPr>
            <w:tcW w:w="1876" w:type="dxa"/>
            <w:vAlign w:val="center"/>
          </w:tcPr>
          <w:p w14:paraId="0A2A621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2720" w:type="dxa"/>
            <w:vAlign w:val="center"/>
          </w:tcPr>
          <w:p w14:paraId="4DE7500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r>
      <w:tr w14:paraId="7D196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17" w:type="dxa"/>
            <w:noWrap/>
            <w:vAlign w:val="center"/>
          </w:tcPr>
          <w:p w14:paraId="3507929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2977" w:type="dxa"/>
            <w:noWrap/>
            <w:vAlign w:val="center"/>
          </w:tcPr>
          <w:p w14:paraId="7E8F157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1876" w:type="dxa"/>
            <w:vAlign w:val="center"/>
          </w:tcPr>
          <w:p w14:paraId="35240E5A">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w:t>
            </w:r>
          </w:p>
        </w:tc>
        <w:tc>
          <w:tcPr>
            <w:tcW w:w="2720" w:type="dxa"/>
            <w:vAlign w:val="center"/>
          </w:tcPr>
          <w:p w14:paraId="4E370AB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8</w:t>
            </w:r>
          </w:p>
        </w:tc>
      </w:tr>
      <w:tr w14:paraId="05EFF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529719E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7</w:t>
            </w:r>
          </w:p>
        </w:tc>
        <w:tc>
          <w:tcPr>
            <w:tcW w:w="2977" w:type="dxa"/>
            <w:noWrap/>
            <w:vAlign w:val="center"/>
          </w:tcPr>
          <w:p w14:paraId="09CACCD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阴离子表面活性剂</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w:t>
            </w:r>
          </w:p>
        </w:tc>
        <w:tc>
          <w:tcPr>
            <w:tcW w:w="1876" w:type="dxa"/>
            <w:vAlign w:val="center"/>
          </w:tcPr>
          <w:p w14:paraId="22EB3A2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0.5</w:t>
            </w:r>
          </w:p>
        </w:tc>
        <w:tc>
          <w:tcPr>
            <w:tcW w:w="2720" w:type="dxa"/>
            <w:vAlign w:val="center"/>
          </w:tcPr>
          <w:p w14:paraId="6CCFBE81">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0.5</w:t>
            </w:r>
          </w:p>
        </w:tc>
      </w:tr>
      <w:tr w14:paraId="0F778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6283FE8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w:t>
            </w:r>
          </w:p>
        </w:tc>
        <w:tc>
          <w:tcPr>
            <w:tcW w:w="2977" w:type="dxa"/>
            <w:noWrap/>
            <w:vAlign w:val="center"/>
          </w:tcPr>
          <w:p w14:paraId="7CC98E8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铁 (mg/L) ≤</w:t>
            </w:r>
          </w:p>
        </w:tc>
        <w:tc>
          <w:tcPr>
            <w:tcW w:w="1876" w:type="dxa"/>
            <w:vAlign w:val="center"/>
          </w:tcPr>
          <w:p w14:paraId="2B9F68B1">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0.3</w:t>
            </w:r>
          </w:p>
        </w:tc>
        <w:tc>
          <w:tcPr>
            <w:tcW w:w="2720" w:type="dxa"/>
            <w:vAlign w:val="center"/>
          </w:tcPr>
          <w:p w14:paraId="50954687">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w:t>
            </w:r>
          </w:p>
        </w:tc>
      </w:tr>
      <w:tr w14:paraId="48136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76D6E63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9</w:t>
            </w:r>
          </w:p>
        </w:tc>
        <w:tc>
          <w:tcPr>
            <w:tcW w:w="2977" w:type="dxa"/>
            <w:noWrap/>
            <w:vAlign w:val="center"/>
          </w:tcPr>
          <w:p w14:paraId="2D4A5A7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锰</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 xml:space="preserve"> ≤</w:t>
            </w:r>
          </w:p>
        </w:tc>
        <w:tc>
          <w:tcPr>
            <w:tcW w:w="1876" w:type="dxa"/>
            <w:vAlign w:val="center"/>
          </w:tcPr>
          <w:p w14:paraId="56DBD268">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0.1</w:t>
            </w:r>
          </w:p>
        </w:tc>
        <w:tc>
          <w:tcPr>
            <w:tcW w:w="2720" w:type="dxa"/>
            <w:vAlign w:val="center"/>
          </w:tcPr>
          <w:p w14:paraId="15968C8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w:t>
            </w:r>
          </w:p>
        </w:tc>
      </w:tr>
      <w:tr w14:paraId="4EDF5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2C08DD1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2977" w:type="dxa"/>
            <w:noWrap/>
            <w:vAlign w:val="center"/>
          </w:tcPr>
          <w:p w14:paraId="6B168CF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溶解性总固体 (mg/L) ≤</w:t>
            </w:r>
          </w:p>
        </w:tc>
        <w:tc>
          <w:tcPr>
            <w:tcW w:w="1876" w:type="dxa"/>
            <w:vAlign w:val="center"/>
          </w:tcPr>
          <w:p w14:paraId="5966857B">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1000</w:t>
            </w:r>
            <w:r>
              <w:rPr>
                <w:rFonts w:hint="eastAsia"/>
                <w:color w:val="000000" w:themeColor="text1"/>
                <w:kern w:val="0"/>
                <w:sz w:val="22"/>
                <w:szCs w:val="22"/>
                <w:lang w:eastAsia="zh-CN"/>
              </w:rPr>
              <w:t>(</w:t>
            </w:r>
            <w:r>
              <w:rPr>
                <w:rFonts w:hint="eastAsia"/>
                <w:color w:val="000000" w:themeColor="text1"/>
                <w:kern w:val="0"/>
                <w:sz w:val="22"/>
                <w:szCs w:val="22"/>
              </w:rPr>
              <w:t>2000</w:t>
            </w:r>
            <w:r>
              <w:rPr>
                <w:rFonts w:hint="eastAsia"/>
                <w:color w:val="000000" w:themeColor="text1"/>
                <w:kern w:val="0"/>
                <w:sz w:val="22"/>
                <w:szCs w:val="22"/>
                <w:lang w:eastAsia="zh-CN"/>
              </w:rPr>
              <w:t>)</w:t>
            </w:r>
            <w:r>
              <w:rPr>
                <w:rFonts w:hint="eastAsia"/>
                <w:color w:val="000000" w:themeColor="text1"/>
                <w:kern w:val="0"/>
                <w:sz w:val="22"/>
                <w:szCs w:val="22"/>
                <w:vertAlign w:val="superscript"/>
              </w:rPr>
              <w:t>a</w:t>
            </w:r>
          </w:p>
        </w:tc>
        <w:tc>
          <w:tcPr>
            <w:tcW w:w="2720" w:type="dxa"/>
            <w:vAlign w:val="center"/>
          </w:tcPr>
          <w:p w14:paraId="06D027D8">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1000</w:t>
            </w:r>
            <w:r>
              <w:rPr>
                <w:rFonts w:hint="eastAsia"/>
                <w:color w:val="000000" w:themeColor="text1"/>
                <w:kern w:val="0"/>
                <w:sz w:val="22"/>
                <w:szCs w:val="22"/>
                <w:lang w:eastAsia="zh-CN"/>
              </w:rPr>
              <w:t>(</w:t>
            </w:r>
            <w:r>
              <w:rPr>
                <w:rFonts w:hint="eastAsia"/>
                <w:color w:val="000000" w:themeColor="text1"/>
                <w:kern w:val="0"/>
                <w:sz w:val="22"/>
                <w:szCs w:val="22"/>
              </w:rPr>
              <w:t>2000</w:t>
            </w:r>
            <w:r>
              <w:rPr>
                <w:rFonts w:hint="eastAsia"/>
                <w:color w:val="000000" w:themeColor="text1"/>
                <w:kern w:val="0"/>
                <w:sz w:val="22"/>
                <w:szCs w:val="22"/>
                <w:lang w:eastAsia="zh-CN"/>
              </w:rPr>
              <w:t>)</w:t>
            </w:r>
            <w:r>
              <w:rPr>
                <w:rFonts w:hint="eastAsia"/>
                <w:color w:val="000000" w:themeColor="text1"/>
                <w:kern w:val="0"/>
                <w:sz w:val="22"/>
                <w:szCs w:val="22"/>
                <w:vertAlign w:val="superscript"/>
              </w:rPr>
              <w:t>a</w:t>
            </w:r>
          </w:p>
        </w:tc>
      </w:tr>
      <w:tr w14:paraId="72B47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69F7954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11</w:t>
            </w:r>
          </w:p>
        </w:tc>
        <w:tc>
          <w:tcPr>
            <w:tcW w:w="2977" w:type="dxa"/>
            <w:noWrap/>
            <w:vAlign w:val="center"/>
          </w:tcPr>
          <w:p w14:paraId="5A260A0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溶解氧</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r>
              <w:rPr>
                <w:color w:val="000000" w:themeColor="text1"/>
                <w:kern w:val="0"/>
                <w:sz w:val="22"/>
                <w:szCs w:val="22"/>
              </w:rPr>
              <w:t>≥</w:t>
            </w:r>
          </w:p>
        </w:tc>
        <w:tc>
          <w:tcPr>
            <w:tcW w:w="1876" w:type="dxa"/>
            <w:vAlign w:val="center"/>
          </w:tcPr>
          <w:p w14:paraId="3A3BD48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w:t>
            </w:r>
          </w:p>
        </w:tc>
        <w:tc>
          <w:tcPr>
            <w:tcW w:w="2720" w:type="dxa"/>
            <w:vAlign w:val="center"/>
          </w:tcPr>
          <w:p w14:paraId="49A9291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w:t>
            </w:r>
          </w:p>
        </w:tc>
      </w:tr>
      <w:tr w14:paraId="19FF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1041A2A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12</w:t>
            </w:r>
          </w:p>
        </w:tc>
        <w:tc>
          <w:tcPr>
            <w:tcW w:w="2977" w:type="dxa"/>
            <w:noWrap/>
            <w:vAlign w:val="center"/>
          </w:tcPr>
          <w:p w14:paraId="410AC8B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总氯</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1876" w:type="dxa"/>
            <w:vAlign w:val="center"/>
          </w:tcPr>
          <w:p w14:paraId="1687E80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1.0（出厂），0.2（管网末端）</w:t>
            </w:r>
          </w:p>
        </w:tc>
        <w:tc>
          <w:tcPr>
            <w:tcW w:w="2720" w:type="dxa"/>
            <w:vAlign w:val="center"/>
          </w:tcPr>
          <w:p w14:paraId="26E05091">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1.0（出厂），0.2</w:t>
            </w:r>
            <w:r>
              <w:rPr>
                <w:rFonts w:hint="eastAsia"/>
                <w:color w:val="000000" w:themeColor="text1"/>
                <w:kern w:val="0"/>
                <w:sz w:val="22"/>
                <w:szCs w:val="22"/>
                <w:vertAlign w:val="superscript"/>
              </w:rPr>
              <w:t>b</w:t>
            </w:r>
            <w:r>
              <w:rPr>
                <w:rFonts w:hint="eastAsia"/>
                <w:color w:val="000000" w:themeColor="text1"/>
                <w:kern w:val="0"/>
                <w:sz w:val="22"/>
                <w:szCs w:val="22"/>
              </w:rPr>
              <w:t>（管网末端）</w:t>
            </w:r>
          </w:p>
        </w:tc>
      </w:tr>
      <w:tr w14:paraId="21276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7" w:type="dxa"/>
            <w:noWrap/>
            <w:vAlign w:val="center"/>
          </w:tcPr>
          <w:p w14:paraId="7B2B2B5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13</w:t>
            </w:r>
          </w:p>
        </w:tc>
        <w:tc>
          <w:tcPr>
            <w:tcW w:w="2977" w:type="dxa"/>
            <w:noWrap/>
            <w:vAlign w:val="center"/>
          </w:tcPr>
          <w:p w14:paraId="42298D6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大肠</w:t>
            </w:r>
            <w:r>
              <w:rPr>
                <w:rFonts w:hint="eastAsia"/>
                <w:color w:val="000000" w:themeColor="text1"/>
                <w:kern w:val="0"/>
                <w:sz w:val="22"/>
                <w:szCs w:val="22"/>
              </w:rPr>
              <w:t>埃希氏菌</w:t>
            </w:r>
            <w:r>
              <w:rPr>
                <w:rFonts w:hint="eastAsia"/>
                <w:color w:val="000000" w:themeColor="text1"/>
                <w:kern w:val="0"/>
                <w:sz w:val="22"/>
                <w:szCs w:val="22"/>
                <w:lang w:eastAsia="zh-CN"/>
              </w:rPr>
              <w:t>（</w:t>
            </w:r>
            <w:r>
              <w:rPr>
                <w:rFonts w:hint="eastAsia"/>
                <w:color w:val="000000" w:themeColor="text1"/>
                <w:kern w:val="0"/>
                <w:sz w:val="22"/>
                <w:szCs w:val="22"/>
              </w:rPr>
              <w:t>MPN</w:t>
            </w:r>
            <w:r>
              <w:rPr>
                <w:color w:val="000000" w:themeColor="text1"/>
                <w:kern w:val="0"/>
                <w:sz w:val="22"/>
                <w:szCs w:val="22"/>
              </w:rPr>
              <w:t>/</w:t>
            </w:r>
            <w:r>
              <w:rPr>
                <w:rFonts w:hint="eastAsia"/>
                <w:color w:val="000000" w:themeColor="text1"/>
                <w:kern w:val="0"/>
                <w:sz w:val="22"/>
                <w:szCs w:val="22"/>
              </w:rPr>
              <w:t>100m</w:t>
            </w:r>
            <w:r>
              <w:rPr>
                <w:color w:val="000000" w:themeColor="text1"/>
                <w:kern w:val="0"/>
                <w:sz w:val="22"/>
                <w:szCs w:val="22"/>
              </w:rPr>
              <w:t>L</w:t>
            </w:r>
            <w:r>
              <w:rPr>
                <w:rFonts w:hint="eastAsia"/>
                <w:color w:val="000000" w:themeColor="text1"/>
                <w:kern w:val="0"/>
                <w:sz w:val="22"/>
                <w:szCs w:val="22"/>
              </w:rPr>
              <w:t>或CFU/100mL</w:t>
            </w:r>
            <w:r>
              <w:rPr>
                <w:rFonts w:hint="eastAsia"/>
                <w:color w:val="000000" w:themeColor="text1"/>
                <w:kern w:val="0"/>
                <w:sz w:val="22"/>
                <w:szCs w:val="22"/>
                <w:lang w:eastAsia="zh-CN"/>
              </w:rPr>
              <w:t>）</w:t>
            </w:r>
          </w:p>
        </w:tc>
        <w:tc>
          <w:tcPr>
            <w:tcW w:w="1876" w:type="dxa"/>
            <w:vAlign w:val="center"/>
          </w:tcPr>
          <w:p w14:paraId="3B91E5FE">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无</w:t>
            </w:r>
            <w:r>
              <w:rPr>
                <w:rFonts w:hint="eastAsia"/>
                <w:color w:val="000000" w:themeColor="text1"/>
                <w:kern w:val="0"/>
                <w:sz w:val="22"/>
                <w:szCs w:val="22"/>
                <w:vertAlign w:val="superscript"/>
              </w:rPr>
              <w:t>c</w:t>
            </w:r>
          </w:p>
        </w:tc>
        <w:tc>
          <w:tcPr>
            <w:tcW w:w="2720" w:type="dxa"/>
            <w:vAlign w:val="center"/>
          </w:tcPr>
          <w:p w14:paraId="699DB036">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无</w:t>
            </w:r>
            <w:r>
              <w:rPr>
                <w:rFonts w:hint="eastAsia"/>
                <w:color w:val="000000" w:themeColor="text1"/>
                <w:kern w:val="0"/>
                <w:sz w:val="22"/>
                <w:szCs w:val="22"/>
                <w:vertAlign w:val="superscript"/>
              </w:rPr>
              <w:t>c</w:t>
            </w:r>
          </w:p>
        </w:tc>
      </w:tr>
      <w:tr w14:paraId="1BAA7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90" w:type="dxa"/>
            <w:gridSpan w:val="4"/>
            <w:noWrap/>
            <w:vAlign w:val="center"/>
          </w:tcPr>
          <w:p w14:paraId="19964573">
            <w:pPr>
              <w:widowControl/>
              <w:adjustRightInd w:val="0"/>
              <w:snapToGrid w:val="0"/>
              <w:rPr>
                <w:color w:val="000000" w:themeColor="text1"/>
                <w:kern w:val="0"/>
                <w:sz w:val="22"/>
                <w:szCs w:val="22"/>
              </w:rPr>
            </w:pPr>
            <w:r>
              <w:rPr>
                <w:rFonts w:hint="eastAsia"/>
                <w:color w:val="000000" w:themeColor="text1"/>
                <w:kern w:val="0"/>
                <w:sz w:val="22"/>
                <w:szCs w:val="22"/>
              </w:rPr>
              <w:t>注：“</w:t>
            </w:r>
            <w:r>
              <w:rPr>
                <w:rFonts w:hint="eastAsia"/>
                <w:color w:val="000000" w:themeColor="text1"/>
                <w:kern w:val="0"/>
                <w:sz w:val="22"/>
                <w:szCs w:val="22"/>
                <w:lang w:eastAsia="zh-CN"/>
              </w:rPr>
              <w:t>－</w:t>
            </w:r>
            <w:r>
              <w:rPr>
                <w:rFonts w:hint="eastAsia"/>
                <w:color w:val="000000" w:themeColor="text1"/>
                <w:kern w:val="0"/>
                <w:sz w:val="22"/>
                <w:szCs w:val="22"/>
              </w:rPr>
              <w:t>”表示对此项无要求</w:t>
            </w:r>
          </w:p>
        </w:tc>
      </w:tr>
      <w:tr w14:paraId="324FB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90" w:type="dxa"/>
            <w:gridSpan w:val="4"/>
            <w:noWrap/>
            <w:vAlign w:val="center"/>
          </w:tcPr>
          <w:p w14:paraId="76458BC1">
            <w:pPr>
              <w:widowControl/>
              <w:adjustRightInd w:val="0"/>
              <w:snapToGrid w:val="0"/>
              <w:rPr>
                <w:color w:val="000000" w:themeColor="text1"/>
                <w:kern w:val="0"/>
                <w:sz w:val="22"/>
                <w:szCs w:val="22"/>
              </w:rPr>
            </w:pPr>
            <w:r>
              <w:rPr>
                <w:rFonts w:hint="eastAsia"/>
                <w:color w:val="000000" w:themeColor="text1"/>
                <w:kern w:val="0"/>
                <w:sz w:val="22"/>
                <w:szCs w:val="22"/>
              </w:rPr>
              <w:t>a括号内指标值为沿海及本地水源中溶解性固体含量较高的区域的指标</w:t>
            </w:r>
          </w:p>
          <w:p w14:paraId="650F5356">
            <w:pPr>
              <w:widowControl/>
              <w:adjustRightInd w:val="0"/>
              <w:snapToGrid w:val="0"/>
              <w:rPr>
                <w:color w:val="000000" w:themeColor="text1"/>
                <w:kern w:val="0"/>
                <w:sz w:val="22"/>
                <w:szCs w:val="22"/>
              </w:rPr>
            </w:pPr>
            <w:r>
              <w:rPr>
                <w:rFonts w:hint="eastAsia"/>
                <w:color w:val="000000" w:themeColor="text1"/>
                <w:kern w:val="0"/>
                <w:sz w:val="22"/>
                <w:szCs w:val="22"/>
              </w:rPr>
              <w:t>b用于城市绿化时，不应超过2.5mg/L。</w:t>
            </w:r>
          </w:p>
          <w:p w14:paraId="3A39D186">
            <w:pPr>
              <w:widowControl/>
              <w:adjustRightInd w:val="0"/>
              <w:snapToGrid w:val="0"/>
              <w:rPr>
                <w:color w:val="000000" w:themeColor="text1"/>
                <w:kern w:val="0"/>
                <w:sz w:val="22"/>
                <w:szCs w:val="22"/>
              </w:rPr>
            </w:pPr>
            <w:r>
              <w:rPr>
                <w:rFonts w:hint="eastAsia"/>
                <w:color w:val="000000" w:themeColor="text1"/>
                <w:kern w:val="0"/>
                <w:sz w:val="22"/>
                <w:szCs w:val="22"/>
              </w:rPr>
              <w:t>c大肠埃希氏菌不应检出。</w:t>
            </w:r>
          </w:p>
        </w:tc>
      </w:tr>
    </w:tbl>
    <w:p w14:paraId="6674BB1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4、《城市污水再生利用景观环境用水水质》（GB/T 18921-20</w:t>
      </w:r>
      <w:r>
        <w:rPr>
          <w:color w:val="000000" w:themeColor="text1"/>
          <w:sz w:val="28"/>
          <w:szCs w:val="36"/>
        </w:rPr>
        <w:t>19</w:t>
      </w:r>
      <w:r>
        <w:rPr>
          <w:rFonts w:hint="eastAsia"/>
          <w:color w:val="000000" w:themeColor="text1"/>
          <w:sz w:val="28"/>
          <w:szCs w:val="36"/>
        </w:rPr>
        <w:t>）</w:t>
      </w:r>
    </w:p>
    <w:p w14:paraId="5088563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景观环境用水是指满足景观需要的环境用水，即用于营造城市景观水体和各种水景构筑物的水的总称，包括各类用于景观的河道湖泊用水以及人造瀑布、喷泉、娱乐、观赏等设施用水。再生水作为景观环境用水时，再生水水质应符合《城市污水再生利用景观环境用水水质》（GB/T 18921-20</w:t>
      </w:r>
      <w:r>
        <w:rPr>
          <w:color w:val="000000" w:themeColor="text1"/>
          <w:sz w:val="28"/>
          <w:szCs w:val="36"/>
        </w:rPr>
        <w:t>19</w:t>
      </w:r>
      <w:r>
        <w:rPr>
          <w:rFonts w:hint="eastAsia"/>
          <w:color w:val="000000" w:themeColor="text1"/>
          <w:sz w:val="28"/>
          <w:szCs w:val="36"/>
        </w:rPr>
        <w:t>）的规定，具体指标详见表</w:t>
      </w:r>
      <w:r>
        <w:rPr>
          <w:color w:val="000000" w:themeColor="text1"/>
          <w:sz w:val="28"/>
          <w:szCs w:val="36"/>
        </w:rPr>
        <w:t>7.2-6</w:t>
      </w:r>
      <w:r>
        <w:rPr>
          <w:rFonts w:hint="eastAsia"/>
          <w:color w:val="000000" w:themeColor="text1"/>
          <w:sz w:val="28"/>
          <w:szCs w:val="36"/>
        </w:rPr>
        <w:t>。</w:t>
      </w:r>
    </w:p>
    <w:p w14:paraId="19612347">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 xml:space="preserve">7.2-6  </w:t>
      </w:r>
      <w:r>
        <w:rPr>
          <w:rFonts w:hint="eastAsia"/>
          <w:b/>
          <w:bCs/>
          <w:color w:val="000000" w:themeColor="text1"/>
          <w:sz w:val="24"/>
        </w:rPr>
        <w:t>再生水用作景观环境用水的水质标准</w:t>
      </w:r>
    </w:p>
    <w:tbl>
      <w:tblPr>
        <w:tblStyle w:val="46"/>
        <w:tblW w:w="0" w:type="auto"/>
        <w:tblInd w:w="113" w:type="dxa"/>
        <w:tblLayout w:type="autofit"/>
        <w:tblCellMar>
          <w:top w:w="0" w:type="dxa"/>
          <w:left w:w="108" w:type="dxa"/>
          <w:bottom w:w="0" w:type="dxa"/>
          <w:right w:w="108" w:type="dxa"/>
        </w:tblCellMar>
      </w:tblPr>
      <w:tblGrid>
        <w:gridCol w:w="517"/>
        <w:gridCol w:w="1746"/>
        <w:gridCol w:w="851"/>
        <w:gridCol w:w="850"/>
        <w:gridCol w:w="851"/>
        <w:gridCol w:w="850"/>
        <w:gridCol w:w="851"/>
        <w:gridCol w:w="868"/>
        <w:gridCol w:w="1025"/>
      </w:tblGrid>
      <w:tr w14:paraId="0C6A50A9">
        <w:tblPrEx>
          <w:tblCellMar>
            <w:top w:w="0" w:type="dxa"/>
            <w:left w:w="108" w:type="dxa"/>
            <w:bottom w:w="0" w:type="dxa"/>
            <w:right w:w="108" w:type="dxa"/>
          </w:tblCellMar>
        </w:tblPrEx>
        <w:trPr>
          <w:trHeight w:val="510" w:hRule="atLeast"/>
        </w:trPr>
        <w:tc>
          <w:tcPr>
            <w:tcW w:w="517" w:type="dxa"/>
            <w:vMerge w:val="restart"/>
            <w:tcBorders>
              <w:top w:val="single" w:color="auto" w:sz="4" w:space="0"/>
              <w:left w:val="single" w:color="auto" w:sz="4" w:space="0"/>
              <w:bottom w:val="single" w:color="auto" w:sz="4" w:space="0"/>
              <w:right w:val="single" w:color="auto" w:sz="4" w:space="0"/>
            </w:tcBorders>
            <w:vAlign w:val="center"/>
          </w:tcPr>
          <w:p w14:paraId="5F69034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序号</w:t>
            </w:r>
          </w:p>
        </w:tc>
        <w:tc>
          <w:tcPr>
            <w:tcW w:w="1746" w:type="dxa"/>
            <w:vMerge w:val="restart"/>
            <w:tcBorders>
              <w:top w:val="single" w:color="auto" w:sz="4" w:space="0"/>
              <w:left w:val="single" w:color="auto" w:sz="4" w:space="0"/>
              <w:bottom w:val="single" w:color="auto" w:sz="4" w:space="0"/>
              <w:right w:val="single" w:color="auto" w:sz="4" w:space="0"/>
            </w:tcBorders>
            <w:vAlign w:val="center"/>
          </w:tcPr>
          <w:p w14:paraId="5AAF1B8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项目</w:t>
            </w:r>
          </w:p>
        </w:tc>
        <w:tc>
          <w:tcPr>
            <w:tcW w:w="2552" w:type="dxa"/>
            <w:gridSpan w:val="3"/>
            <w:tcBorders>
              <w:top w:val="single" w:color="auto" w:sz="4" w:space="0"/>
              <w:left w:val="nil"/>
              <w:bottom w:val="single" w:color="auto" w:sz="4" w:space="0"/>
              <w:right w:val="single" w:color="auto" w:sz="4" w:space="0"/>
            </w:tcBorders>
            <w:noWrap/>
            <w:vAlign w:val="center"/>
          </w:tcPr>
          <w:p w14:paraId="0AC0AD8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观赏性环境景观用水</w:t>
            </w:r>
          </w:p>
        </w:tc>
        <w:tc>
          <w:tcPr>
            <w:tcW w:w="2569" w:type="dxa"/>
            <w:gridSpan w:val="3"/>
            <w:tcBorders>
              <w:top w:val="single" w:color="auto" w:sz="4" w:space="0"/>
              <w:left w:val="nil"/>
              <w:bottom w:val="single" w:color="auto" w:sz="4" w:space="0"/>
              <w:right w:val="single" w:color="auto" w:sz="4" w:space="0"/>
            </w:tcBorders>
            <w:noWrap/>
            <w:vAlign w:val="center"/>
          </w:tcPr>
          <w:p w14:paraId="1CCD6AC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娱乐性环境景观用水</w:t>
            </w:r>
          </w:p>
        </w:tc>
        <w:tc>
          <w:tcPr>
            <w:tcW w:w="1025" w:type="dxa"/>
            <w:vMerge w:val="restart"/>
            <w:tcBorders>
              <w:top w:val="single" w:color="auto" w:sz="4" w:space="0"/>
              <w:left w:val="nil"/>
              <w:right w:val="single" w:color="auto" w:sz="4" w:space="0"/>
            </w:tcBorders>
            <w:noWrap/>
            <w:vAlign w:val="center"/>
          </w:tcPr>
          <w:p w14:paraId="0F856B1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景观湿地环境用水</w:t>
            </w:r>
          </w:p>
        </w:tc>
      </w:tr>
      <w:tr w14:paraId="2F294F91">
        <w:trPr>
          <w:trHeight w:val="510" w:hRule="atLeast"/>
        </w:trPr>
        <w:tc>
          <w:tcPr>
            <w:tcW w:w="517" w:type="dxa"/>
            <w:vMerge w:val="continue"/>
            <w:tcBorders>
              <w:top w:val="single" w:color="auto" w:sz="4" w:space="0"/>
              <w:left w:val="single" w:color="auto" w:sz="4" w:space="0"/>
              <w:bottom w:val="single" w:color="auto" w:sz="4" w:space="0"/>
              <w:right w:val="single" w:color="auto" w:sz="4" w:space="0"/>
            </w:tcBorders>
            <w:vAlign w:val="center"/>
          </w:tcPr>
          <w:p w14:paraId="65A52E2C">
            <w:pPr>
              <w:widowControl/>
              <w:adjustRightInd w:val="0"/>
              <w:snapToGrid w:val="0"/>
              <w:ind w:left="-105" w:leftChars="-50" w:right="-105" w:rightChars="-50"/>
              <w:jc w:val="left"/>
              <w:rPr>
                <w:color w:val="000000" w:themeColor="text1"/>
                <w:kern w:val="0"/>
                <w:sz w:val="22"/>
                <w:szCs w:val="22"/>
              </w:rPr>
            </w:pPr>
          </w:p>
        </w:tc>
        <w:tc>
          <w:tcPr>
            <w:tcW w:w="1746" w:type="dxa"/>
            <w:vMerge w:val="continue"/>
            <w:tcBorders>
              <w:top w:val="single" w:color="auto" w:sz="4" w:space="0"/>
              <w:left w:val="single" w:color="auto" w:sz="4" w:space="0"/>
              <w:bottom w:val="single" w:color="auto" w:sz="4" w:space="0"/>
              <w:right w:val="single" w:color="auto" w:sz="4" w:space="0"/>
            </w:tcBorders>
            <w:vAlign w:val="center"/>
          </w:tcPr>
          <w:p w14:paraId="0CE93277">
            <w:pPr>
              <w:widowControl/>
              <w:adjustRightInd w:val="0"/>
              <w:snapToGrid w:val="0"/>
              <w:ind w:left="-105" w:leftChars="-50" w:right="-105" w:rightChars="-50"/>
              <w:jc w:val="left"/>
              <w:rPr>
                <w:color w:val="000000" w:themeColor="text1"/>
                <w:kern w:val="0"/>
                <w:sz w:val="22"/>
                <w:szCs w:val="22"/>
              </w:rPr>
            </w:pPr>
          </w:p>
        </w:tc>
        <w:tc>
          <w:tcPr>
            <w:tcW w:w="851" w:type="dxa"/>
            <w:tcBorders>
              <w:top w:val="nil"/>
              <w:left w:val="nil"/>
              <w:bottom w:val="single" w:color="auto" w:sz="4" w:space="0"/>
              <w:right w:val="single" w:color="auto" w:sz="4" w:space="0"/>
            </w:tcBorders>
            <w:noWrap/>
            <w:vAlign w:val="center"/>
          </w:tcPr>
          <w:p w14:paraId="6941C8F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河道类</w:t>
            </w:r>
          </w:p>
        </w:tc>
        <w:tc>
          <w:tcPr>
            <w:tcW w:w="850" w:type="dxa"/>
            <w:tcBorders>
              <w:top w:val="nil"/>
              <w:left w:val="nil"/>
              <w:bottom w:val="single" w:color="auto" w:sz="4" w:space="0"/>
              <w:right w:val="single" w:color="auto" w:sz="4" w:space="0"/>
            </w:tcBorders>
            <w:noWrap/>
            <w:vAlign w:val="center"/>
          </w:tcPr>
          <w:p w14:paraId="1BC7550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湖泊类</w:t>
            </w:r>
          </w:p>
        </w:tc>
        <w:tc>
          <w:tcPr>
            <w:tcW w:w="851" w:type="dxa"/>
            <w:tcBorders>
              <w:top w:val="nil"/>
              <w:left w:val="nil"/>
              <w:bottom w:val="single" w:color="auto" w:sz="4" w:space="0"/>
              <w:right w:val="single" w:color="auto" w:sz="4" w:space="0"/>
            </w:tcBorders>
            <w:noWrap/>
            <w:vAlign w:val="center"/>
          </w:tcPr>
          <w:p w14:paraId="4915578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水景类</w:t>
            </w:r>
          </w:p>
        </w:tc>
        <w:tc>
          <w:tcPr>
            <w:tcW w:w="850" w:type="dxa"/>
            <w:tcBorders>
              <w:top w:val="nil"/>
              <w:left w:val="nil"/>
              <w:bottom w:val="single" w:color="auto" w:sz="4" w:space="0"/>
              <w:right w:val="single" w:color="auto" w:sz="4" w:space="0"/>
            </w:tcBorders>
            <w:noWrap/>
            <w:vAlign w:val="center"/>
          </w:tcPr>
          <w:p w14:paraId="52CB2D5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河道类</w:t>
            </w:r>
          </w:p>
        </w:tc>
        <w:tc>
          <w:tcPr>
            <w:tcW w:w="851" w:type="dxa"/>
            <w:tcBorders>
              <w:top w:val="nil"/>
              <w:left w:val="nil"/>
              <w:bottom w:val="single" w:color="auto" w:sz="4" w:space="0"/>
              <w:right w:val="single" w:color="auto" w:sz="4" w:space="0"/>
            </w:tcBorders>
            <w:noWrap/>
            <w:vAlign w:val="center"/>
          </w:tcPr>
          <w:p w14:paraId="5797E40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湖泊类</w:t>
            </w:r>
          </w:p>
        </w:tc>
        <w:tc>
          <w:tcPr>
            <w:tcW w:w="868" w:type="dxa"/>
            <w:tcBorders>
              <w:top w:val="nil"/>
              <w:left w:val="nil"/>
              <w:bottom w:val="single" w:color="auto" w:sz="4" w:space="0"/>
              <w:right w:val="single" w:color="auto" w:sz="4" w:space="0"/>
            </w:tcBorders>
            <w:noWrap/>
            <w:vAlign w:val="center"/>
          </w:tcPr>
          <w:p w14:paraId="7914F1C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水景类</w:t>
            </w:r>
          </w:p>
        </w:tc>
        <w:tc>
          <w:tcPr>
            <w:tcW w:w="1025" w:type="dxa"/>
            <w:vMerge w:val="continue"/>
            <w:tcBorders>
              <w:left w:val="nil"/>
              <w:bottom w:val="single" w:color="auto" w:sz="4" w:space="0"/>
              <w:right w:val="single" w:color="auto" w:sz="4" w:space="0"/>
            </w:tcBorders>
            <w:noWrap/>
            <w:vAlign w:val="center"/>
          </w:tcPr>
          <w:p w14:paraId="338C79CC">
            <w:pPr>
              <w:widowControl/>
              <w:adjustRightInd w:val="0"/>
              <w:snapToGrid w:val="0"/>
              <w:ind w:left="-105" w:leftChars="-50" w:right="-105" w:rightChars="-50"/>
              <w:jc w:val="center"/>
              <w:rPr>
                <w:color w:val="000000" w:themeColor="text1"/>
                <w:kern w:val="0"/>
                <w:sz w:val="22"/>
                <w:szCs w:val="22"/>
              </w:rPr>
            </w:pPr>
          </w:p>
        </w:tc>
      </w:tr>
      <w:tr w14:paraId="253B0C7B">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5EDE39F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1746" w:type="dxa"/>
            <w:tcBorders>
              <w:top w:val="nil"/>
              <w:left w:val="nil"/>
              <w:bottom w:val="single" w:color="auto" w:sz="4" w:space="0"/>
              <w:right w:val="single" w:color="auto" w:sz="4" w:space="0"/>
            </w:tcBorders>
            <w:noWrap/>
            <w:vAlign w:val="center"/>
          </w:tcPr>
          <w:p w14:paraId="0E621C0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基本要求</w:t>
            </w:r>
          </w:p>
        </w:tc>
        <w:tc>
          <w:tcPr>
            <w:tcW w:w="6146" w:type="dxa"/>
            <w:gridSpan w:val="7"/>
            <w:tcBorders>
              <w:top w:val="single" w:color="auto" w:sz="4" w:space="0"/>
              <w:left w:val="nil"/>
              <w:bottom w:val="single" w:color="auto" w:sz="4" w:space="0"/>
              <w:right w:val="single" w:color="auto" w:sz="4" w:space="0"/>
            </w:tcBorders>
            <w:noWrap/>
            <w:vAlign w:val="center"/>
          </w:tcPr>
          <w:p w14:paraId="64DA494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无漂浮物，无令人不愉快的臭和味</w:t>
            </w:r>
          </w:p>
        </w:tc>
      </w:tr>
      <w:tr w14:paraId="0E288428">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655A87A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w:t>
            </w:r>
          </w:p>
        </w:tc>
        <w:tc>
          <w:tcPr>
            <w:tcW w:w="1746" w:type="dxa"/>
            <w:tcBorders>
              <w:top w:val="nil"/>
              <w:left w:val="nil"/>
              <w:bottom w:val="single" w:color="auto" w:sz="4" w:space="0"/>
              <w:right w:val="single" w:color="auto" w:sz="4" w:space="0"/>
            </w:tcBorders>
            <w:noWrap/>
            <w:vAlign w:val="center"/>
          </w:tcPr>
          <w:p w14:paraId="5D13CC2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pH值（无量纲）</w:t>
            </w:r>
          </w:p>
        </w:tc>
        <w:tc>
          <w:tcPr>
            <w:tcW w:w="6146" w:type="dxa"/>
            <w:gridSpan w:val="7"/>
            <w:tcBorders>
              <w:top w:val="single" w:color="auto" w:sz="4" w:space="0"/>
              <w:left w:val="nil"/>
              <w:bottom w:val="single" w:color="auto" w:sz="4" w:space="0"/>
              <w:right w:val="single" w:color="auto" w:sz="4" w:space="0"/>
            </w:tcBorders>
            <w:noWrap/>
            <w:vAlign w:val="center"/>
          </w:tcPr>
          <w:p w14:paraId="5B8B682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6.0-9.0</w:t>
            </w:r>
          </w:p>
        </w:tc>
      </w:tr>
      <w:tr w14:paraId="32065539">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4362A50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1746" w:type="dxa"/>
            <w:tcBorders>
              <w:top w:val="nil"/>
              <w:left w:val="nil"/>
              <w:bottom w:val="single" w:color="auto" w:sz="4" w:space="0"/>
              <w:right w:val="single" w:color="auto" w:sz="4" w:space="0"/>
            </w:tcBorders>
            <w:noWrap/>
            <w:vAlign w:val="center"/>
          </w:tcPr>
          <w:p w14:paraId="3A620E1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五日生化需氧量 (BOD</w:t>
            </w:r>
            <w:r>
              <w:rPr>
                <w:color w:val="000000" w:themeColor="text1"/>
                <w:kern w:val="0"/>
                <w:sz w:val="22"/>
                <w:szCs w:val="22"/>
                <w:vertAlign w:val="subscript"/>
              </w:rPr>
              <w:t>5</w:t>
            </w:r>
            <w:r>
              <w:rPr>
                <w:color w:val="000000" w:themeColor="text1"/>
                <w:kern w:val="0"/>
                <w:sz w:val="22"/>
                <w:szCs w:val="22"/>
              </w:rPr>
              <w:t>)(mg/L) ≤</w:t>
            </w:r>
          </w:p>
        </w:tc>
        <w:tc>
          <w:tcPr>
            <w:tcW w:w="851" w:type="dxa"/>
            <w:tcBorders>
              <w:top w:val="nil"/>
              <w:left w:val="nil"/>
              <w:bottom w:val="single" w:color="auto" w:sz="4" w:space="0"/>
              <w:right w:val="single" w:color="auto" w:sz="4" w:space="0"/>
            </w:tcBorders>
            <w:noWrap/>
            <w:vAlign w:val="center"/>
          </w:tcPr>
          <w:p w14:paraId="5EC2FDD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701" w:type="dxa"/>
            <w:gridSpan w:val="2"/>
            <w:tcBorders>
              <w:top w:val="single" w:color="auto" w:sz="4" w:space="0"/>
              <w:left w:val="nil"/>
              <w:bottom w:val="single" w:color="auto" w:sz="4" w:space="0"/>
              <w:right w:val="single" w:color="auto" w:sz="4" w:space="0"/>
            </w:tcBorders>
            <w:noWrap/>
            <w:vAlign w:val="center"/>
          </w:tcPr>
          <w:p w14:paraId="7991F70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850" w:type="dxa"/>
            <w:tcBorders>
              <w:top w:val="nil"/>
              <w:left w:val="nil"/>
              <w:bottom w:val="single" w:color="auto" w:sz="4" w:space="0"/>
              <w:right w:val="single" w:color="auto" w:sz="4" w:space="0"/>
            </w:tcBorders>
            <w:noWrap/>
            <w:vAlign w:val="center"/>
          </w:tcPr>
          <w:p w14:paraId="6FBDB48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719" w:type="dxa"/>
            <w:gridSpan w:val="2"/>
            <w:tcBorders>
              <w:top w:val="single" w:color="auto" w:sz="4" w:space="0"/>
              <w:left w:val="nil"/>
              <w:bottom w:val="single" w:color="auto" w:sz="4" w:space="0"/>
              <w:right w:val="single" w:color="auto" w:sz="4" w:space="0"/>
            </w:tcBorders>
            <w:noWrap/>
            <w:vAlign w:val="center"/>
          </w:tcPr>
          <w:p w14:paraId="5BC3B73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1025" w:type="dxa"/>
            <w:tcBorders>
              <w:top w:val="nil"/>
              <w:left w:val="nil"/>
              <w:bottom w:val="single" w:color="auto" w:sz="4" w:space="0"/>
              <w:right w:val="single" w:color="auto" w:sz="4" w:space="0"/>
            </w:tcBorders>
            <w:noWrap/>
            <w:vAlign w:val="center"/>
          </w:tcPr>
          <w:p w14:paraId="7E58DC3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r>
      <w:tr w14:paraId="073BA87C">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38003AC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w:t>
            </w:r>
          </w:p>
        </w:tc>
        <w:tc>
          <w:tcPr>
            <w:tcW w:w="1746" w:type="dxa"/>
            <w:tcBorders>
              <w:top w:val="nil"/>
              <w:left w:val="nil"/>
              <w:bottom w:val="single" w:color="auto" w:sz="4" w:space="0"/>
              <w:right w:val="single" w:color="auto" w:sz="4" w:space="0"/>
            </w:tcBorders>
            <w:noWrap/>
            <w:vAlign w:val="center"/>
          </w:tcPr>
          <w:p w14:paraId="7BDAF02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lang w:eastAsia="zh-CN"/>
              </w:rPr>
              <w:t>（</w:t>
            </w:r>
            <w:r>
              <w:rPr>
                <w:color w:val="000000" w:themeColor="text1"/>
                <w:kern w:val="0"/>
                <w:sz w:val="22"/>
                <w:szCs w:val="22"/>
              </w:rPr>
              <w:t>NTU</w:t>
            </w:r>
            <w:r>
              <w:rPr>
                <w:rFonts w:hint="eastAsia"/>
                <w:color w:val="000000" w:themeColor="text1"/>
                <w:kern w:val="0"/>
                <w:sz w:val="22"/>
                <w:szCs w:val="22"/>
                <w:lang w:eastAsia="zh-CN"/>
              </w:rPr>
              <w:t>）</w:t>
            </w:r>
            <w:r>
              <w:rPr>
                <w:color w:val="000000" w:themeColor="text1"/>
                <w:kern w:val="0"/>
                <w:sz w:val="22"/>
                <w:szCs w:val="22"/>
              </w:rPr>
              <w:t xml:space="preserve"> ≤</w:t>
            </w:r>
          </w:p>
        </w:tc>
        <w:tc>
          <w:tcPr>
            <w:tcW w:w="851" w:type="dxa"/>
            <w:tcBorders>
              <w:top w:val="nil"/>
              <w:left w:val="nil"/>
              <w:bottom w:val="single" w:color="auto" w:sz="4" w:space="0"/>
              <w:right w:val="single" w:color="auto" w:sz="4" w:space="0"/>
            </w:tcBorders>
            <w:noWrap/>
            <w:vAlign w:val="center"/>
          </w:tcPr>
          <w:p w14:paraId="193BF38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701" w:type="dxa"/>
            <w:gridSpan w:val="2"/>
            <w:tcBorders>
              <w:top w:val="single" w:color="auto" w:sz="4" w:space="0"/>
              <w:left w:val="nil"/>
              <w:bottom w:val="single" w:color="auto" w:sz="4" w:space="0"/>
              <w:right w:val="single" w:color="auto" w:sz="4" w:space="0"/>
            </w:tcBorders>
            <w:noWrap/>
            <w:vAlign w:val="center"/>
          </w:tcPr>
          <w:p w14:paraId="2BFADA3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850" w:type="dxa"/>
            <w:tcBorders>
              <w:top w:val="nil"/>
              <w:left w:val="nil"/>
              <w:bottom w:val="single" w:color="auto" w:sz="4" w:space="0"/>
              <w:right w:val="single" w:color="auto" w:sz="4" w:space="0"/>
            </w:tcBorders>
            <w:noWrap/>
            <w:vAlign w:val="center"/>
          </w:tcPr>
          <w:p w14:paraId="519224B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719" w:type="dxa"/>
            <w:gridSpan w:val="2"/>
            <w:tcBorders>
              <w:top w:val="single" w:color="auto" w:sz="4" w:space="0"/>
              <w:left w:val="nil"/>
              <w:bottom w:val="single" w:color="auto" w:sz="4" w:space="0"/>
              <w:right w:val="single" w:color="auto" w:sz="4" w:space="0"/>
            </w:tcBorders>
            <w:noWrap/>
            <w:vAlign w:val="center"/>
          </w:tcPr>
          <w:p w14:paraId="6E97EEF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025" w:type="dxa"/>
            <w:tcBorders>
              <w:top w:val="nil"/>
              <w:left w:val="nil"/>
              <w:bottom w:val="single" w:color="auto" w:sz="4" w:space="0"/>
              <w:right w:val="single" w:color="auto" w:sz="4" w:space="0"/>
            </w:tcBorders>
            <w:noWrap/>
            <w:vAlign w:val="center"/>
          </w:tcPr>
          <w:p w14:paraId="55B7CCE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r>
      <w:tr w14:paraId="20CEC441">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16BB613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746" w:type="dxa"/>
            <w:tcBorders>
              <w:top w:val="nil"/>
              <w:left w:val="nil"/>
              <w:bottom w:val="single" w:color="auto" w:sz="4" w:space="0"/>
              <w:right w:val="single" w:color="auto" w:sz="4" w:space="0"/>
            </w:tcBorders>
            <w:noWrap/>
            <w:vAlign w:val="center"/>
          </w:tcPr>
          <w:p w14:paraId="2D8DF98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总磷 </w:t>
            </w:r>
            <w:r>
              <w:rPr>
                <w:rFonts w:hint="eastAsia"/>
                <w:color w:val="000000" w:themeColor="text1"/>
                <w:kern w:val="0"/>
                <w:sz w:val="22"/>
                <w:szCs w:val="22"/>
                <w:lang w:eastAsia="zh-CN"/>
              </w:rPr>
              <w:t>（</w:t>
            </w:r>
            <w:r>
              <w:rPr>
                <w:color w:val="000000" w:themeColor="text1"/>
                <w:kern w:val="0"/>
                <w:sz w:val="22"/>
                <w:szCs w:val="22"/>
              </w:rPr>
              <w:t>以P计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851" w:type="dxa"/>
            <w:tcBorders>
              <w:top w:val="nil"/>
              <w:left w:val="nil"/>
              <w:bottom w:val="single" w:color="auto" w:sz="4" w:space="0"/>
              <w:right w:val="single" w:color="auto" w:sz="4" w:space="0"/>
            </w:tcBorders>
            <w:noWrap/>
            <w:vAlign w:val="center"/>
          </w:tcPr>
          <w:p w14:paraId="3AA9F1B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c>
          <w:tcPr>
            <w:tcW w:w="1701" w:type="dxa"/>
            <w:gridSpan w:val="2"/>
            <w:tcBorders>
              <w:top w:val="single" w:color="auto" w:sz="4" w:space="0"/>
              <w:left w:val="nil"/>
              <w:bottom w:val="single" w:color="auto" w:sz="4" w:space="0"/>
              <w:right w:val="single" w:color="auto" w:sz="4" w:space="0"/>
            </w:tcBorders>
            <w:noWrap/>
            <w:vAlign w:val="center"/>
          </w:tcPr>
          <w:p w14:paraId="24AA5B7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850" w:type="dxa"/>
            <w:tcBorders>
              <w:top w:val="nil"/>
              <w:left w:val="nil"/>
              <w:bottom w:val="single" w:color="auto" w:sz="4" w:space="0"/>
              <w:right w:val="single" w:color="auto" w:sz="4" w:space="0"/>
            </w:tcBorders>
            <w:noWrap/>
            <w:vAlign w:val="center"/>
          </w:tcPr>
          <w:p w14:paraId="3682916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c>
          <w:tcPr>
            <w:tcW w:w="1719" w:type="dxa"/>
            <w:gridSpan w:val="2"/>
            <w:tcBorders>
              <w:top w:val="single" w:color="auto" w:sz="4" w:space="0"/>
              <w:left w:val="nil"/>
              <w:bottom w:val="single" w:color="auto" w:sz="4" w:space="0"/>
              <w:right w:val="single" w:color="auto" w:sz="4" w:space="0"/>
            </w:tcBorders>
            <w:noWrap/>
            <w:vAlign w:val="center"/>
          </w:tcPr>
          <w:p w14:paraId="4A10313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w:t>
            </w:r>
          </w:p>
        </w:tc>
        <w:tc>
          <w:tcPr>
            <w:tcW w:w="1025" w:type="dxa"/>
            <w:tcBorders>
              <w:top w:val="nil"/>
              <w:left w:val="nil"/>
              <w:bottom w:val="single" w:color="auto" w:sz="4" w:space="0"/>
              <w:right w:val="single" w:color="auto" w:sz="4" w:space="0"/>
            </w:tcBorders>
            <w:noWrap/>
            <w:vAlign w:val="center"/>
          </w:tcPr>
          <w:p w14:paraId="6A3C27C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r>
      <w:tr w14:paraId="03048BC2">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374BA59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1746" w:type="dxa"/>
            <w:tcBorders>
              <w:top w:val="nil"/>
              <w:left w:val="nil"/>
              <w:bottom w:val="single" w:color="auto" w:sz="4" w:space="0"/>
              <w:right w:val="single" w:color="auto" w:sz="4" w:space="0"/>
            </w:tcBorders>
            <w:noWrap/>
            <w:vAlign w:val="center"/>
          </w:tcPr>
          <w:p w14:paraId="6C1D541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总氮 </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851" w:type="dxa"/>
            <w:tcBorders>
              <w:top w:val="nil"/>
              <w:left w:val="nil"/>
              <w:bottom w:val="single" w:color="auto" w:sz="4" w:space="0"/>
              <w:right w:val="single" w:color="auto" w:sz="4" w:space="0"/>
            </w:tcBorders>
            <w:noWrap/>
            <w:vAlign w:val="center"/>
          </w:tcPr>
          <w:p w14:paraId="3C310C2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1701" w:type="dxa"/>
            <w:gridSpan w:val="2"/>
            <w:tcBorders>
              <w:top w:val="single" w:color="auto" w:sz="4" w:space="0"/>
              <w:left w:val="nil"/>
              <w:bottom w:val="single" w:color="auto" w:sz="4" w:space="0"/>
              <w:right w:val="single" w:color="auto" w:sz="4" w:space="0"/>
            </w:tcBorders>
            <w:noWrap/>
            <w:vAlign w:val="center"/>
          </w:tcPr>
          <w:p w14:paraId="40AC9E7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850" w:type="dxa"/>
            <w:tcBorders>
              <w:top w:val="nil"/>
              <w:left w:val="nil"/>
              <w:bottom w:val="single" w:color="auto" w:sz="4" w:space="0"/>
              <w:right w:val="single" w:color="auto" w:sz="4" w:space="0"/>
            </w:tcBorders>
            <w:noWrap/>
            <w:vAlign w:val="center"/>
          </w:tcPr>
          <w:p w14:paraId="39483B0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1719" w:type="dxa"/>
            <w:gridSpan w:val="2"/>
            <w:tcBorders>
              <w:top w:val="single" w:color="auto" w:sz="4" w:space="0"/>
              <w:left w:val="nil"/>
              <w:bottom w:val="single" w:color="auto" w:sz="4" w:space="0"/>
              <w:right w:val="single" w:color="auto" w:sz="4" w:space="0"/>
            </w:tcBorders>
            <w:noWrap/>
            <w:vAlign w:val="center"/>
          </w:tcPr>
          <w:p w14:paraId="230E83A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025" w:type="dxa"/>
            <w:tcBorders>
              <w:top w:val="nil"/>
              <w:left w:val="nil"/>
              <w:bottom w:val="single" w:color="auto" w:sz="4" w:space="0"/>
              <w:right w:val="single" w:color="auto" w:sz="4" w:space="0"/>
            </w:tcBorders>
            <w:noWrap/>
            <w:vAlign w:val="center"/>
          </w:tcPr>
          <w:p w14:paraId="7EDD189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r>
      <w:tr w14:paraId="7A29CA01">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6072488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7</w:t>
            </w:r>
          </w:p>
        </w:tc>
        <w:tc>
          <w:tcPr>
            <w:tcW w:w="1746" w:type="dxa"/>
            <w:tcBorders>
              <w:top w:val="nil"/>
              <w:left w:val="nil"/>
              <w:bottom w:val="single" w:color="auto" w:sz="4" w:space="0"/>
              <w:right w:val="single" w:color="auto" w:sz="4" w:space="0"/>
            </w:tcBorders>
            <w:noWrap/>
            <w:vAlign w:val="center"/>
          </w:tcPr>
          <w:p w14:paraId="1B56101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851" w:type="dxa"/>
            <w:tcBorders>
              <w:top w:val="nil"/>
              <w:left w:val="nil"/>
              <w:bottom w:val="single" w:color="auto" w:sz="4" w:space="0"/>
              <w:right w:val="single" w:color="auto" w:sz="4" w:space="0"/>
            </w:tcBorders>
            <w:noWrap/>
            <w:vAlign w:val="center"/>
          </w:tcPr>
          <w:p w14:paraId="4FB4C63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701" w:type="dxa"/>
            <w:gridSpan w:val="2"/>
            <w:tcBorders>
              <w:top w:val="single" w:color="auto" w:sz="4" w:space="0"/>
              <w:left w:val="nil"/>
              <w:bottom w:val="single" w:color="auto" w:sz="4" w:space="0"/>
              <w:right w:val="single" w:color="auto" w:sz="4" w:space="0"/>
            </w:tcBorders>
            <w:noWrap/>
            <w:vAlign w:val="center"/>
          </w:tcPr>
          <w:p w14:paraId="6524B66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850" w:type="dxa"/>
            <w:tcBorders>
              <w:top w:val="nil"/>
              <w:left w:val="nil"/>
              <w:bottom w:val="single" w:color="auto" w:sz="4" w:space="0"/>
              <w:right w:val="single" w:color="auto" w:sz="4" w:space="0"/>
            </w:tcBorders>
            <w:noWrap/>
            <w:vAlign w:val="center"/>
          </w:tcPr>
          <w:p w14:paraId="4C76240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719" w:type="dxa"/>
            <w:gridSpan w:val="2"/>
            <w:tcBorders>
              <w:top w:val="single" w:color="auto" w:sz="4" w:space="0"/>
              <w:left w:val="nil"/>
              <w:bottom w:val="single" w:color="auto" w:sz="4" w:space="0"/>
              <w:right w:val="single" w:color="auto" w:sz="4" w:space="0"/>
            </w:tcBorders>
            <w:noWrap/>
            <w:vAlign w:val="center"/>
          </w:tcPr>
          <w:p w14:paraId="6B51B4A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1025" w:type="dxa"/>
            <w:tcBorders>
              <w:top w:val="nil"/>
              <w:left w:val="nil"/>
              <w:bottom w:val="single" w:color="auto" w:sz="4" w:space="0"/>
              <w:right w:val="single" w:color="auto" w:sz="4" w:space="0"/>
            </w:tcBorders>
            <w:noWrap/>
            <w:vAlign w:val="center"/>
          </w:tcPr>
          <w:p w14:paraId="388C51C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r>
      <w:tr w14:paraId="5048F249">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3037879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w:t>
            </w:r>
          </w:p>
        </w:tc>
        <w:tc>
          <w:tcPr>
            <w:tcW w:w="1746" w:type="dxa"/>
            <w:tcBorders>
              <w:top w:val="nil"/>
              <w:left w:val="nil"/>
              <w:bottom w:val="single" w:color="auto" w:sz="4" w:space="0"/>
              <w:right w:val="single" w:color="auto" w:sz="4" w:space="0"/>
            </w:tcBorders>
            <w:noWrap/>
            <w:vAlign w:val="center"/>
          </w:tcPr>
          <w:p w14:paraId="5D59962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粪大肠菌群</w:t>
            </w:r>
            <w:r>
              <w:rPr>
                <w:rFonts w:hint="eastAsia"/>
                <w:color w:val="000000" w:themeColor="text1"/>
                <w:kern w:val="0"/>
                <w:sz w:val="22"/>
                <w:szCs w:val="22"/>
                <w:lang w:eastAsia="zh-CN"/>
              </w:rPr>
              <w:t>（</w:t>
            </w:r>
            <w:r>
              <w:rPr>
                <w:color w:val="000000" w:themeColor="text1"/>
                <w:kern w:val="0"/>
                <w:sz w:val="22"/>
                <w:szCs w:val="22"/>
              </w:rPr>
              <w:t>个/L</w:t>
            </w:r>
            <w:r>
              <w:rPr>
                <w:rFonts w:hint="eastAsia"/>
                <w:color w:val="000000" w:themeColor="text1"/>
                <w:kern w:val="0"/>
                <w:sz w:val="22"/>
                <w:szCs w:val="22"/>
                <w:lang w:eastAsia="zh-CN"/>
              </w:rPr>
              <w:t>）</w:t>
            </w:r>
            <w:r>
              <w:rPr>
                <w:color w:val="000000" w:themeColor="text1"/>
                <w:kern w:val="0"/>
                <w:sz w:val="22"/>
                <w:szCs w:val="22"/>
              </w:rPr>
              <w:t xml:space="preserve"> ≤</w:t>
            </w:r>
          </w:p>
        </w:tc>
        <w:tc>
          <w:tcPr>
            <w:tcW w:w="2552" w:type="dxa"/>
            <w:gridSpan w:val="3"/>
            <w:tcBorders>
              <w:top w:val="single" w:color="auto" w:sz="4" w:space="0"/>
              <w:left w:val="nil"/>
              <w:bottom w:val="single" w:color="auto" w:sz="4" w:space="0"/>
              <w:right w:val="single" w:color="auto" w:sz="4" w:space="0"/>
            </w:tcBorders>
            <w:noWrap/>
            <w:vAlign w:val="center"/>
          </w:tcPr>
          <w:p w14:paraId="50E332E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1701" w:type="dxa"/>
            <w:gridSpan w:val="2"/>
            <w:tcBorders>
              <w:top w:val="single" w:color="auto" w:sz="4" w:space="0"/>
              <w:left w:val="nil"/>
              <w:bottom w:val="single" w:color="auto" w:sz="4" w:space="0"/>
              <w:right w:val="single" w:color="auto" w:sz="4" w:space="0"/>
            </w:tcBorders>
            <w:noWrap/>
            <w:vAlign w:val="center"/>
          </w:tcPr>
          <w:p w14:paraId="3723EF9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c>
          <w:tcPr>
            <w:tcW w:w="868" w:type="dxa"/>
            <w:tcBorders>
              <w:top w:val="nil"/>
              <w:left w:val="nil"/>
              <w:bottom w:val="single" w:color="auto" w:sz="4" w:space="0"/>
              <w:right w:val="single" w:color="auto" w:sz="4" w:space="0"/>
            </w:tcBorders>
            <w:noWrap/>
            <w:vAlign w:val="center"/>
          </w:tcPr>
          <w:p w14:paraId="78AAD4A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1025" w:type="dxa"/>
            <w:tcBorders>
              <w:top w:val="nil"/>
              <w:left w:val="nil"/>
              <w:bottom w:val="single" w:color="auto" w:sz="4" w:space="0"/>
              <w:right w:val="single" w:color="auto" w:sz="4" w:space="0"/>
            </w:tcBorders>
            <w:noWrap/>
            <w:vAlign w:val="center"/>
          </w:tcPr>
          <w:p w14:paraId="4CAE283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1000</w:t>
            </w:r>
          </w:p>
        </w:tc>
      </w:tr>
      <w:tr w14:paraId="353DDE08">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1983B87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9</w:t>
            </w:r>
          </w:p>
        </w:tc>
        <w:tc>
          <w:tcPr>
            <w:tcW w:w="1746" w:type="dxa"/>
            <w:tcBorders>
              <w:top w:val="nil"/>
              <w:left w:val="nil"/>
              <w:bottom w:val="single" w:color="auto" w:sz="4" w:space="0"/>
              <w:right w:val="single" w:color="auto" w:sz="4" w:space="0"/>
            </w:tcBorders>
            <w:noWrap/>
            <w:vAlign w:val="center"/>
          </w:tcPr>
          <w:p w14:paraId="6D4917F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余氯</w:t>
            </w:r>
            <w:r>
              <w:rPr>
                <w:rFonts w:hint="eastAsia"/>
                <w:color w:val="000000" w:themeColor="text1"/>
                <w:kern w:val="0"/>
                <w:sz w:val="22"/>
                <w:szCs w:val="22"/>
                <w:lang w:eastAsia="zh-CN"/>
              </w:rPr>
              <w:t>（</w:t>
            </w:r>
            <w:r>
              <w:rPr>
                <w:color w:val="000000" w:themeColor="text1"/>
                <w:kern w:val="0"/>
                <w:sz w:val="22"/>
                <w:szCs w:val="22"/>
              </w:rPr>
              <w:t>mg/L</w:t>
            </w:r>
            <w:r>
              <w:rPr>
                <w:rFonts w:hint="eastAsia"/>
                <w:color w:val="000000" w:themeColor="text1"/>
                <w:kern w:val="0"/>
                <w:sz w:val="22"/>
                <w:szCs w:val="22"/>
                <w:lang w:eastAsia="zh-CN"/>
              </w:rPr>
              <w:t>）</w:t>
            </w:r>
          </w:p>
        </w:tc>
        <w:tc>
          <w:tcPr>
            <w:tcW w:w="4253" w:type="dxa"/>
            <w:gridSpan w:val="5"/>
            <w:tcBorders>
              <w:top w:val="single" w:color="auto" w:sz="4" w:space="0"/>
              <w:left w:val="nil"/>
              <w:bottom w:val="single" w:color="auto" w:sz="4" w:space="0"/>
              <w:right w:val="single" w:color="auto" w:sz="4" w:space="0"/>
            </w:tcBorders>
            <w:noWrap/>
            <w:vAlign w:val="center"/>
          </w:tcPr>
          <w:p w14:paraId="2829D51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68" w:type="dxa"/>
            <w:tcBorders>
              <w:top w:val="nil"/>
              <w:left w:val="nil"/>
              <w:bottom w:val="single" w:color="auto" w:sz="4" w:space="0"/>
              <w:right w:val="single" w:color="auto" w:sz="4" w:space="0"/>
            </w:tcBorders>
            <w:noWrap/>
            <w:vAlign w:val="center"/>
          </w:tcPr>
          <w:p w14:paraId="67E0DC8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0.05~0.1</w:t>
            </w:r>
          </w:p>
        </w:tc>
        <w:tc>
          <w:tcPr>
            <w:tcW w:w="1025" w:type="dxa"/>
            <w:tcBorders>
              <w:top w:val="nil"/>
              <w:left w:val="nil"/>
              <w:bottom w:val="single" w:color="auto" w:sz="4" w:space="0"/>
              <w:right w:val="single" w:color="auto" w:sz="4" w:space="0"/>
            </w:tcBorders>
            <w:noWrap/>
            <w:vAlign w:val="center"/>
          </w:tcPr>
          <w:p w14:paraId="3879D71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0BB0F3C0">
        <w:tblPrEx>
          <w:tblCellMar>
            <w:top w:w="0" w:type="dxa"/>
            <w:left w:w="108" w:type="dxa"/>
            <w:bottom w:w="0" w:type="dxa"/>
            <w:right w:w="108" w:type="dxa"/>
          </w:tblCellMar>
        </w:tblPrEx>
        <w:trPr>
          <w:trHeight w:val="510" w:hRule="atLeast"/>
        </w:trPr>
        <w:tc>
          <w:tcPr>
            <w:tcW w:w="517" w:type="dxa"/>
            <w:tcBorders>
              <w:top w:val="nil"/>
              <w:left w:val="single" w:color="auto" w:sz="4" w:space="0"/>
              <w:bottom w:val="single" w:color="auto" w:sz="4" w:space="0"/>
              <w:right w:val="single" w:color="auto" w:sz="4" w:space="0"/>
            </w:tcBorders>
            <w:noWrap/>
            <w:vAlign w:val="center"/>
          </w:tcPr>
          <w:p w14:paraId="217BADB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1746" w:type="dxa"/>
            <w:tcBorders>
              <w:top w:val="nil"/>
              <w:left w:val="nil"/>
              <w:bottom w:val="single" w:color="auto" w:sz="4" w:space="0"/>
              <w:right w:val="single" w:color="auto" w:sz="4" w:space="0"/>
            </w:tcBorders>
            <w:noWrap/>
            <w:vAlign w:val="center"/>
          </w:tcPr>
          <w:p w14:paraId="20C483B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lang w:eastAsia="zh-CN"/>
              </w:rPr>
              <w:t>（</w:t>
            </w:r>
            <w:r>
              <w:rPr>
                <w:color w:val="000000" w:themeColor="text1"/>
                <w:kern w:val="0"/>
                <w:sz w:val="22"/>
                <w:szCs w:val="22"/>
              </w:rPr>
              <w:t>度</w:t>
            </w:r>
            <w:r>
              <w:rPr>
                <w:rFonts w:hint="eastAsia"/>
                <w:color w:val="000000" w:themeColor="text1"/>
                <w:kern w:val="0"/>
                <w:sz w:val="22"/>
                <w:szCs w:val="22"/>
                <w:lang w:eastAsia="zh-CN"/>
              </w:rPr>
              <w:t>）</w:t>
            </w:r>
            <w:r>
              <w:rPr>
                <w:color w:val="000000" w:themeColor="text1"/>
                <w:kern w:val="0"/>
                <w:sz w:val="22"/>
                <w:szCs w:val="22"/>
              </w:rPr>
              <w:t xml:space="preserve"> ≤</w:t>
            </w:r>
          </w:p>
        </w:tc>
        <w:tc>
          <w:tcPr>
            <w:tcW w:w="6146" w:type="dxa"/>
            <w:gridSpan w:val="7"/>
            <w:tcBorders>
              <w:top w:val="single" w:color="auto" w:sz="4" w:space="0"/>
              <w:left w:val="nil"/>
              <w:bottom w:val="single" w:color="auto" w:sz="4" w:space="0"/>
              <w:right w:val="single" w:color="auto" w:sz="4" w:space="0"/>
            </w:tcBorders>
            <w:noWrap/>
            <w:vAlign w:val="center"/>
          </w:tcPr>
          <w:p w14:paraId="2DFE312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20</w:t>
            </w:r>
          </w:p>
        </w:tc>
      </w:tr>
      <w:tr w14:paraId="3E333119">
        <w:tblPrEx>
          <w:tblCellMar>
            <w:top w:w="0" w:type="dxa"/>
            <w:left w:w="108" w:type="dxa"/>
            <w:bottom w:w="0" w:type="dxa"/>
            <w:right w:w="108" w:type="dxa"/>
          </w:tblCellMar>
        </w:tblPrEx>
        <w:trPr>
          <w:trHeight w:val="510" w:hRule="atLeast"/>
        </w:trPr>
        <w:tc>
          <w:tcPr>
            <w:tcW w:w="0" w:type="auto"/>
            <w:gridSpan w:val="9"/>
            <w:tcBorders>
              <w:top w:val="single" w:color="auto" w:sz="4" w:space="0"/>
              <w:left w:val="single" w:color="auto" w:sz="4" w:space="0"/>
              <w:bottom w:val="single" w:color="auto" w:sz="4" w:space="0"/>
              <w:right w:val="single" w:color="auto" w:sz="4" w:space="0"/>
            </w:tcBorders>
            <w:vAlign w:val="center"/>
          </w:tcPr>
          <w:p w14:paraId="1E83B7E9">
            <w:pPr>
              <w:widowControl/>
              <w:adjustRightInd w:val="0"/>
              <w:snapToGrid w:val="0"/>
              <w:ind w:left="-105" w:leftChars="-50" w:right="-105" w:rightChars="-50"/>
              <w:jc w:val="left"/>
              <w:rPr>
                <w:color w:val="000000" w:themeColor="text1"/>
                <w:kern w:val="0"/>
                <w:sz w:val="22"/>
                <w:szCs w:val="22"/>
              </w:rPr>
            </w:pPr>
            <w:r>
              <w:rPr>
                <w:color w:val="000000" w:themeColor="text1"/>
                <w:kern w:val="0"/>
                <w:sz w:val="22"/>
                <w:szCs w:val="22"/>
              </w:rPr>
              <w:t>注1：未采用加氯消毒方式的再生水，其补水</w:t>
            </w:r>
            <w:r>
              <w:rPr>
                <w:rFonts w:hint="eastAsia"/>
                <w:color w:val="000000" w:themeColor="text1"/>
                <w:kern w:val="0"/>
                <w:sz w:val="22"/>
                <w:szCs w:val="22"/>
              </w:rPr>
              <w:t>点</w:t>
            </w:r>
            <w:r>
              <w:rPr>
                <w:color w:val="000000" w:themeColor="text1"/>
                <w:kern w:val="0"/>
                <w:sz w:val="22"/>
                <w:szCs w:val="22"/>
              </w:rPr>
              <w:t>无余氯要求。</w:t>
            </w:r>
            <w:r>
              <w:rPr>
                <w:color w:val="000000" w:themeColor="text1"/>
                <w:kern w:val="0"/>
                <w:sz w:val="22"/>
                <w:szCs w:val="22"/>
              </w:rPr>
              <w:br w:type="textWrapping"/>
            </w:r>
            <w:r>
              <w:rPr>
                <w:color w:val="000000" w:themeColor="text1"/>
                <w:kern w:val="0"/>
                <w:sz w:val="22"/>
                <w:szCs w:val="22"/>
              </w:rPr>
              <w:t>注2：“</w:t>
            </w:r>
            <w:r>
              <w:rPr>
                <w:rFonts w:hint="eastAsia"/>
                <w:color w:val="000000" w:themeColor="text1"/>
                <w:kern w:val="0"/>
                <w:sz w:val="22"/>
                <w:szCs w:val="22"/>
                <w:lang w:eastAsia="zh-CN"/>
              </w:rPr>
              <w:t>－</w:t>
            </w:r>
            <w:r>
              <w:rPr>
                <w:color w:val="000000" w:themeColor="text1"/>
                <w:kern w:val="0"/>
                <w:sz w:val="22"/>
                <w:szCs w:val="22"/>
              </w:rPr>
              <w:t>”表示对此项无要求。</w:t>
            </w:r>
          </w:p>
        </w:tc>
      </w:tr>
    </w:tbl>
    <w:p w14:paraId="03B60895">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在再生水净化处理时，水源宜选用生活污水或不含重污染有毒有害工业废水的城市污水。完全使用再生水，水体温度大于25℃时景观湖泊类水体水力停留时间不宜大于10d；水体温度不大于25℃或再生水补水实际总磷浓度低于表</w:t>
      </w:r>
      <w:r>
        <w:rPr>
          <w:color w:val="000000" w:themeColor="text1"/>
          <w:sz w:val="28"/>
          <w:szCs w:val="36"/>
        </w:rPr>
        <w:t>7.2-6</w:t>
      </w:r>
      <w:r>
        <w:rPr>
          <w:rFonts w:hint="eastAsia"/>
          <w:color w:val="000000" w:themeColor="text1"/>
          <w:sz w:val="28"/>
          <w:szCs w:val="36"/>
        </w:rPr>
        <w:t>限值时，水体水力停留时间可延长。设置人工曝气或水力推动等装置增强水体扰动与流动能力或大型水面因风力等自然作用具有较强流动和交换能力时，可结合运行过程监测，延长景观湖泊类水体的水力停留时间。使用再生水的景观水体和景观湿地中宜培育适宜的水生植物并定期收获处置。以再生水作为景观湿地环境用水，应考虑盐度及其累积作用对植物生长的潜在影响，选择耐盐植物或采取控盐降咸措施。再生水利用过程中，应注意景观水体的底泥淤积和水质变化情况，并应进行定期底泥清淤。</w:t>
      </w:r>
    </w:p>
    <w:p w14:paraId="6E7280C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5、平阴县再生水利用标准分析</w:t>
      </w:r>
    </w:p>
    <w:p w14:paraId="71204EF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据了解，平阴县各污水处理厂的出水水质标准为《城镇污水处理厂污染物排放标准》（GB18918-2002）一级A 标准，部分水厂的出水达到《地表水环境质量标准》（GB3838-2002）Ⅳ类标准。根据平阴县各污水处理厂的出水水质标准和规划年再生水的用途，对平阴县各污水处理厂出水水质与再生水利用的主要水质指标进行对比分析，具体详见表</w:t>
      </w:r>
      <w:r>
        <w:rPr>
          <w:color w:val="000000" w:themeColor="text1"/>
          <w:sz w:val="28"/>
          <w:szCs w:val="36"/>
        </w:rPr>
        <w:t>7.2-7</w:t>
      </w:r>
      <w:r>
        <w:rPr>
          <w:rFonts w:hint="eastAsia"/>
          <w:color w:val="000000" w:themeColor="text1"/>
          <w:sz w:val="28"/>
          <w:szCs w:val="36"/>
        </w:rPr>
        <w:t>。</w:t>
      </w:r>
    </w:p>
    <w:p w14:paraId="3D6B2BE5">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 xml:space="preserve">7.2-7  </w:t>
      </w:r>
      <w:r>
        <w:rPr>
          <w:rFonts w:hint="eastAsia"/>
          <w:b/>
          <w:bCs/>
          <w:color w:val="000000" w:themeColor="text1"/>
          <w:sz w:val="24"/>
        </w:rPr>
        <w:t>平阴县污水处理厂出水水质与再生水利用的主要水质指标对比分析表</w:t>
      </w:r>
    </w:p>
    <w:tbl>
      <w:tblPr>
        <w:tblStyle w:val="46"/>
        <w:tblW w:w="0" w:type="auto"/>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17"/>
        <w:gridCol w:w="1701"/>
        <w:gridCol w:w="851"/>
        <w:gridCol w:w="709"/>
        <w:gridCol w:w="708"/>
        <w:gridCol w:w="851"/>
        <w:gridCol w:w="850"/>
        <w:gridCol w:w="993"/>
      </w:tblGrid>
      <w:tr w14:paraId="66CD5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trPr>
        <w:tc>
          <w:tcPr>
            <w:tcW w:w="526" w:type="dxa"/>
            <w:vMerge w:val="restart"/>
            <w:vAlign w:val="center"/>
          </w:tcPr>
          <w:p w14:paraId="0C91134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序号</w:t>
            </w:r>
          </w:p>
        </w:tc>
        <w:tc>
          <w:tcPr>
            <w:tcW w:w="1317" w:type="dxa"/>
            <w:vMerge w:val="restart"/>
            <w:vAlign w:val="center"/>
          </w:tcPr>
          <w:p w14:paraId="349DC2B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项目</w:t>
            </w:r>
          </w:p>
        </w:tc>
        <w:tc>
          <w:tcPr>
            <w:tcW w:w="2552" w:type="dxa"/>
            <w:gridSpan w:val="2"/>
            <w:vAlign w:val="center"/>
          </w:tcPr>
          <w:p w14:paraId="2344CA1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工业用水</w:t>
            </w:r>
          </w:p>
        </w:tc>
        <w:tc>
          <w:tcPr>
            <w:tcW w:w="1417" w:type="dxa"/>
            <w:gridSpan w:val="2"/>
            <w:vAlign w:val="center"/>
          </w:tcPr>
          <w:p w14:paraId="2109B0B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城市杂用水水质</w:t>
            </w:r>
          </w:p>
        </w:tc>
        <w:tc>
          <w:tcPr>
            <w:tcW w:w="851" w:type="dxa"/>
            <w:vMerge w:val="restart"/>
            <w:vAlign w:val="center"/>
          </w:tcPr>
          <w:p w14:paraId="0BCE417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观赏性景观环境用水水质</w:t>
            </w:r>
          </w:p>
        </w:tc>
        <w:tc>
          <w:tcPr>
            <w:tcW w:w="1843" w:type="dxa"/>
            <w:gridSpan w:val="2"/>
            <w:vAlign w:val="center"/>
          </w:tcPr>
          <w:p w14:paraId="02B14C6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污水处理厂外排水水质标准</w:t>
            </w:r>
          </w:p>
        </w:tc>
      </w:tr>
      <w:tr w14:paraId="54E5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Merge w:val="continue"/>
            <w:vAlign w:val="center"/>
          </w:tcPr>
          <w:p w14:paraId="6EEE3E10">
            <w:pPr>
              <w:widowControl/>
              <w:adjustRightInd w:val="0"/>
              <w:snapToGrid w:val="0"/>
              <w:ind w:left="-105" w:leftChars="-50" w:right="-105" w:rightChars="-50"/>
              <w:jc w:val="left"/>
              <w:rPr>
                <w:color w:val="000000" w:themeColor="text1"/>
                <w:kern w:val="0"/>
                <w:sz w:val="22"/>
                <w:szCs w:val="22"/>
              </w:rPr>
            </w:pPr>
          </w:p>
        </w:tc>
        <w:tc>
          <w:tcPr>
            <w:tcW w:w="1317" w:type="dxa"/>
            <w:vMerge w:val="continue"/>
            <w:vAlign w:val="center"/>
          </w:tcPr>
          <w:p w14:paraId="44CFEB1E">
            <w:pPr>
              <w:widowControl/>
              <w:adjustRightInd w:val="0"/>
              <w:snapToGrid w:val="0"/>
              <w:ind w:left="-105" w:leftChars="-50" w:right="-105" w:rightChars="-50"/>
              <w:jc w:val="left"/>
              <w:rPr>
                <w:color w:val="000000" w:themeColor="text1"/>
                <w:kern w:val="0"/>
                <w:sz w:val="22"/>
                <w:szCs w:val="22"/>
              </w:rPr>
            </w:pPr>
          </w:p>
        </w:tc>
        <w:tc>
          <w:tcPr>
            <w:tcW w:w="1701" w:type="dxa"/>
            <w:vAlign w:val="center"/>
          </w:tcPr>
          <w:p w14:paraId="777BA8C0">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间冷开式循环冷却水补充水、锅炉补给水、工艺用水、产品用水</w:t>
            </w:r>
          </w:p>
        </w:tc>
        <w:tc>
          <w:tcPr>
            <w:tcW w:w="851" w:type="dxa"/>
            <w:vAlign w:val="center"/>
          </w:tcPr>
          <w:p w14:paraId="0C51917C">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直流冷却水、洗涤用水</w:t>
            </w:r>
          </w:p>
        </w:tc>
        <w:tc>
          <w:tcPr>
            <w:tcW w:w="709" w:type="dxa"/>
            <w:vAlign w:val="center"/>
          </w:tcPr>
          <w:p w14:paraId="26C2ED0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浇洒</w:t>
            </w:r>
          </w:p>
          <w:p w14:paraId="3046ECF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绿化</w:t>
            </w:r>
          </w:p>
        </w:tc>
        <w:tc>
          <w:tcPr>
            <w:tcW w:w="708" w:type="dxa"/>
            <w:vAlign w:val="center"/>
          </w:tcPr>
          <w:p w14:paraId="2BFE361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冲厕</w:t>
            </w:r>
          </w:p>
        </w:tc>
        <w:tc>
          <w:tcPr>
            <w:tcW w:w="851" w:type="dxa"/>
            <w:vMerge w:val="continue"/>
            <w:vAlign w:val="center"/>
          </w:tcPr>
          <w:p w14:paraId="526E198C">
            <w:pPr>
              <w:widowControl/>
              <w:adjustRightInd w:val="0"/>
              <w:snapToGrid w:val="0"/>
              <w:ind w:left="-105" w:leftChars="-50" w:right="-105" w:rightChars="-50"/>
              <w:jc w:val="left"/>
              <w:rPr>
                <w:color w:val="000000" w:themeColor="text1"/>
                <w:kern w:val="0"/>
                <w:sz w:val="22"/>
                <w:szCs w:val="22"/>
              </w:rPr>
            </w:pPr>
          </w:p>
        </w:tc>
        <w:tc>
          <w:tcPr>
            <w:tcW w:w="850" w:type="dxa"/>
            <w:vAlign w:val="center"/>
          </w:tcPr>
          <w:p w14:paraId="64D7001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一级A 标准</w:t>
            </w:r>
            <w:r>
              <w:rPr>
                <w:rFonts w:hint="eastAsia"/>
                <w:color w:val="000000" w:themeColor="text1"/>
                <w:kern w:val="0"/>
                <w:sz w:val="22"/>
                <w:szCs w:val="22"/>
                <w:vertAlign w:val="superscript"/>
              </w:rPr>
              <w:t>①</w:t>
            </w:r>
          </w:p>
        </w:tc>
        <w:tc>
          <w:tcPr>
            <w:tcW w:w="993" w:type="dxa"/>
            <w:vAlign w:val="center"/>
          </w:tcPr>
          <w:p w14:paraId="272BC30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Ⅳ类标准</w:t>
            </w:r>
            <w:r>
              <w:rPr>
                <w:rFonts w:hint="eastAsia"/>
                <w:color w:val="000000" w:themeColor="text1"/>
                <w:kern w:val="0"/>
                <w:sz w:val="22"/>
                <w:szCs w:val="22"/>
                <w:vertAlign w:val="superscript"/>
              </w:rPr>
              <w:t>②</w:t>
            </w:r>
          </w:p>
        </w:tc>
      </w:tr>
      <w:tr w14:paraId="59863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119E50B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w:t>
            </w:r>
          </w:p>
        </w:tc>
        <w:tc>
          <w:tcPr>
            <w:tcW w:w="1317" w:type="dxa"/>
            <w:vAlign w:val="center"/>
          </w:tcPr>
          <w:p w14:paraId="018BAA2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化学需氧量 (COD</w:t>
            </w:r>
            <w:r>
              <w:rPr>
                <w:color w:val="000000" w:themeColor="text1"/>
                <w:kern w:val="0"/>
                <w:sz w:val="22"/>
                <w:szCs w:val="22"/>
                <w:vertAlign w:val="subscript"/>
              </w:rPr>
              <w:t>Cr</w:t>
            </w:r>
            <w:r>
              <w:rPr>
                <w:color w:val="000000" w:themeColor="text1"/>
                <w:kern w:val="0"/>
                <w:sz w:val="22"/>
                <w:szCs w:val="22"/>
              </w:rPr>
              <w:t>)(mg/L) ≤</w:t>
            </w:r>
          </w:p>
        </w:tc>
        <w:tc>
          <w:tcPr>
            <w:tcW w:w="2552" w:type="dxa"/>
            <w:gridSpan w:val="2"/>
            <w:vAlign w:val="center"/>
          </w:tcPr>
          <w:p w14:paraId="10D5F7C4">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50</w:t>
            </w:r>
          </w:p>
        </w:tc>
        <w:tc>
          <w:tcPr>
            <w:tcW w:w="709" w:type="dxa"/>
            <w:vAlign w:val="center"/>
          </w:tcPr>
          <w:p w14:paraId="7B8ED47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708" w:type="dxa"/>
            <w:vAlign w:val="center"/>
          </w:tcPr>
          <w:p w14:paraId="317AF21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51" w:type="dxa"/>
            <w:vAlign w:val="center"/>
          </w:tcPr>
          <w:p w14:paraId="54A7249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50" w:type="dxa"/>
            <w:vAlign w:val="center"/>
          </w:tcPr>
          <w:p w14:paraId="2B34925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50</w:t>
            </w:r>
          </w:p>
        </w:tc>
        <w:tc>
          <w:tcPr>
            <w:tcW w:w="993" w:type="dxa"/>
            <w:vAlign w:val="center"/>
          </w:tcPr>
          <w:p w14:paraId="1ADE343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30</w:t>
            </w:r>
          </w:p>
        </w:tc>
      </w:tr>
      <w:tr w14:paraId="63937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0E49A3A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w:t>
            </w:r>
          </w:p>
        </w:tc>
        <w:tc>
          <w:tcPr>
            <w:tcW w:w="1317" w:type="dxa"/>
            <w:vAlign w:val="center"/>
          </w:tcPr>
          <w:p w14:paraId="3A18799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五日生化需氧量</w:t>
            </w:r>
            <w:r>
              <w:rPr>
                <w:rFonts w:hint="eastAsia"/>
                <w:color w:val="000000" w:themeColor="text1"/>
                <w:kern w:val="0"/>
                <w:sz w:val="22"/>
                <w:szCs w:val="22"/>
                <w:lang w:eastAsia="zh-CN"/>
              </w:rPr>
              <w:t>（</w:t>
            </w:r>
            <w:r>
              <w:rPr>
                <w:color w:val="000000" w:themeColor="text1"/>
                <w:kern w:val="0"/>
                <w:sz w:val="22"/>
                <w:szCs w:val="22"/>
              </w:rPr>
              <w:t>BOD</w:t>
            </w:r>
            <w:r>
              <w:rPr>
                <w:color w:val="000000" w:themeColor="text1"/>
                <w:kern w:val="0"/>
                <w:sz w:val="22"/>
                <w:szCs w:val="22"/>
                <w:vertAlign w:val="subscript"/>
              </w:rPr>
              <w:t>5</w:t>
            </w:r>
            <w:r>
              <w:rPr>
                <w:rFonts w:hint="eastAsia"/>
                <w:color w:val="000000" w:themeColor="text1"/>
                <w:kern w:val="0"/>
                <w:sz w:val="22"/>
                <w:szCs w:val="22"/>
                <w:vertAlign w:val="subscript"/>
                <w:lang w:eastAsia="zh-CN"/>
              </w:rPr>
              <w:t>）</w:t>
            </w:r>
            <w:r>
              <w:rPr>
                <w:color w:val="000000" w:themeColor="text1"/>
                <w:kern w:val="0"/>
                <w:sz w:val="22"/>
                <w:szCs w:val="22"/>
              </w:rPr>
              <w:t>(mg/L) ≤</w:t>
            </w:r>
          </w:p>
        </w:tc>
        <w:tc>
          <w:tcPr>
            <w:tcW w:w="2552" w:type="dxa"/>
            <w:gridSpan w:val="2"/>
            <w:vAlign w:val="center"/>
          </w:tcPr>
          <w:p w14:paraId="05220BD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709" w:type="dxa"/>
            <w:vAlign w:val="center"/>
          </w:tcPr>
          <w:p w14:paraId="062D4CE4">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10</w:t>
            </w:r>
          </w:p>
        </w:tc>
        <w:tc>
          <w:tcPr>
            <w:tcW w:w="708" w:type="dxa"/>
            <w:vAlign w:val="center"/>
          </w:tcPr>
          <w:p w14:paraId="12EB7E2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851" w:type="dxa"/>
            <w:vAlign w:val="center"/>
          </w:tcPr>
          <w:p w14:paraId="6F526D6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r>
              <w:rPr>
                <w:rFonts w:hint="eastAsia"/>
                <w:color w:val="000000" w:themeColor="text1"/>
                <w:kern w:val="0"/>
                <w:sz w:val="22"/>
                <w:szCs w:val="22"/>
                <w:lang w:eastAsia="zh-CN"/>
              </w:rPr>
              <w:t>(</w:t>
            </w:r>
            <w:r>
              <w:rPr>
                <w:color w:val="000000" w:themeColor="text1"/>
                <w:kern w:val="0"/>
                <w:sz w:val="22"/>
                <w:szCs w:val="22"/>
              </w:rPr>
              <w:t>6</w:t>
            </w:r>
            <w:r>
              <w:rPr>
                <w:rFonts w:hint="eastAsia"/>
                <w:color w:val="000000" w:themeColor="text1"/>
                <w:kern w:val="0"/>
                <w:sz w:val="22"/>
                <w:szCs w:val="22"/>
                <w:lang w:eastAsia="zh-CN"/>
              </w:rPr>
              <w:t>)</w:t>
            </w:r>
          </w:p>
        </w:tc>
        <w:tc>
          <w:tcPr>
            <w:tcW w:w="850" w:type="dxa"/>
            <w:vAlign w:val="center"/>
          </w:tcPr>
          <w:p w14:paraId="483C428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93" w:type="dxa"/>
            <w:vAlign w:val="center"/>
          </w:tcPr>
          <w:p w14:paraId="4AD1897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r>
      <w:tr w14:paraId="586C6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2A90CB7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w:t>
            </w:r>
          </w:p>
        </w:tc>
        <w:tc>
          <w:tcPr>
            <w:tcW w:w="1317" w:type="dxa"/>
            <w:vAlign w:val="center"/>
          </w:tcPr>
          <w:p w14:paraId="0FD9A1B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2552" w:type="dxa"/>
            <w:gridSpan w:val="2"/>
            <w:vAlign w:val="center"/>
          </w:tcPr>
          <w:p w14:paraId="53DB3A24">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w:t>
            </w:r>
          </w:p>
        </w:tc>
        <w:tc>
          <w:tcPr>
            <w:tcW w:w="709" w:type="dxa"/>
            <w:vAlign w:val="center"/>
          </w:tcPr>
          <w:p w14:paraId="1C525DCF">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5</w:t>
            </w:r>
          </w:p>
        </w:tc>
        <w:tc>
          <w:tcPr>
            <w:tcW w:w="708" w:type="dxa"/>
            <w:vAlign w:val="center"/>
          </w:tcPr>
          <w:p w14:paraId="1EE582C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8</w:t>
            </w:r>
          </w:p>
        </w:tc>
        <w:tc>
          <w:tcPr>
            <w:tcW w:w="851" w:type="dxa"/>
            <w:vAlign w:val="center"/>
          </w:tcPr>
          <w:p w14:paraId="65D7B99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r>
              <w:rPr>
                <w:rFonts w:hint="eastAsia"/>
                <w:color w:val="000000" w:themeColor="text1"/>
                <w:kern w:val="0"/>
                <w:sz w:val="22"/>
                <w:szCs w:val="22"/>
                <w:lang w:eastAsia="zh-CN"/>
              </w:rPr>
              <w:t>(</w:t>
            </w:r>
            <w:r>
              <w:rPr>
                <w:color w:val="000000" w:themeColor="text1"/>
                <w:kern w:val="0"/>
                <w:sz w:val="22"/>
                <w:szCs w:val="22"/>
              </w:rPr>
              <w:t>3</w:t>
            </w:r>
            <w:r>
              <w:rPr>
                <w:rFonts w:hint="eastAsia"/>
                <w:color w:val="000000" w:themeColor="text1"/>
                <w:kern w:val="0"/>
                <w:sz w:val="22"/>
                <w:szCs w:val="22"/>
                <w:lang w:eastAsia="zh-CN"/>
              </w:rPr>
              <w:t>)</w:t>
            </w:r>
          </w:p>
        </w:tc>
        <w:tc>
          <w:tcPr>
            <w:tcW w:w="850" w:type="dxa"/>
            <w:vAlign w:val="center"/>
          </w:tcPr>
          <w:p w14:paraId="1FF74B1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r>
              <w:rPr>
                <w:rFonts w:hint="eastAsia"/>
                <w:color w:val="000000" w:themeColor="text1"/>
                <w:kern w:val="0"/>
                <w:sz w:val="22"/>
                <w:szCs w:val="22"/>
                <w:lang w:eastAsia="zh-CN"/>
              </w:rPr>
              <w:t>(</w:t>
            </w:r>
            <w:r>
              <w:rPr>
                <w:color w:val="000000" w:themeColor="text1"/>
                <w:kern w:val="0"/>
                <w:sz w:val="22"/>
                <w:szCs w:val="22"/>
              </w:rPr>
              <w:t>8</w:t>
            </w:r>
            <w:r>
              <w:rPr>
                <w:rFonts w:hint="eastAsia"/>
                <w:color w:val="000000" w:themeColor="text1"/>
                <w:kern w:val="0"/>
                <w:sz w:val="22"/>
                <w:szCs w:val="22"/>
                <w:lang w:eastAsia="zh-CN"/>
              </w:rPr>
              <w:t>)</w:t>
            </w:r>
          </w:p>
        </w:tc>
        <w:tc>
          <w:tcPr>
            <w:tcW w:w="993" w:type="dxa"/>
            <w:vAlign w:val="center"/>
          </w:tcPr>
          <w:p w14:paraId="6D079F0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r>
      <w:tr w14:paraId="67308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51A3F9E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4</w:t>
            </w:r>
          </w:p>
        </w:tc>
        <w:tc>
          <w:tcPr>
            <w:tcW w:w="1317" w:type="dxa"/>
            <w:vAlign w:val="center"/>
          </w:tcPr>
          <w:p w14:paraId="1AB7443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总氮 </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2552" w:type="dxa"/>
            <w:gridSpan w:val="2"/>
            <w:vAlign w:val="center"/>
          </w:tcPr>
          <w:p w14:paraId="69636EC5">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w:t>
            </w:r>
          </w:p>
        </w:tc>
        <w:tc>
          <w:tcPr>
            <w:tcW w:w="709" w:type="dxa"/>
            <w:vAlign w:val="center"/>
          </w:tcPr>
          <w:p w14:paraId="269D7C4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708" w:type="dxa"/>
            <w:vAlign w:val="center"/>
          </w:tcPr>
          <w:p w14:paraId="02B6255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51" w:type="dxa"/>
            <w:vAlign w:val="center"/>
          </w:tcPr>
          <w:p w14:paraId="20C310C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r>
              <w:rPr>
                <w:rFonts w:hint="eastAsia"/>
                <w:color w:val="000000" w:themeColor="text1"/>
                <w:kern w:val="0"/>
                <w:sz w:val="22"/>
                <w:szCs w:val="22"/>
                <w:lang w:eastAsia="zh-CN"/>
              </w:rPr>
              <w:t>(</w:t>
            </w:r>
            <w:r>
              <w:rPr>
                <w:color w:val="000000" w:themeColor="text1"/>
                <w:kern w:val="0"/>
                <w:sz w:val="22"/>
                <w:szCs w:val="22"/>
              </w:rPr>
              <w:t>10</w:t>
            </w:r>
            <w:r>
              <w:rPr>
                <w:rFonts w:hint="eastAsia"/>
                <w:color w:val="000000" w:themeColor="text1"/>
                <w:kern w:val="0"/>
                <w:sz w:val="22"/>
                <w:szCs w:val="22"/>
                <w:lang w:eastAsia="zh-CN"/>
              </w:rPr>
              <w:t>)</w:t>
            </w:r>
          </w:p>
        </w:tc>
        <w:tc>
          <w:tcPr>
            <w:tcW w:w="850" w:type="dxa"/>
            <w:vAlign w:val="center"/>
          </w:tcPr>
          <w:p w14:paraId="7667BFD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c>
          <w:tcPr>
            <w:tcW w:w="993" w:type="dxa"/>
            <w:vAlign w:val="center"/>
          </w:tcPr>
          <w:p w14:paraId="0538981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1.5</w:t>
            </w:r>
          </w:p>
        </w:tc>
      </w:tr>
      <w:tr w14:paraId="64084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4B224BDE">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1317" w:type="dxa"/>
            <w:vAlign w:val="center"/>
          </w:tcPr>
          <w:p w14:paraId="7DC5722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 xml:space="preserve">总磷 </w:t>
            </w:r>
            <w:r>
              <w:rPr>
                <w:rFonts w:hint="eastAsia"/>
                <w:color w:val="000000" w:themeColor="text1"/>
                <w:kern w:val="0"/>
                <w:sz w:val="22"/>
                <w:szCs w:val="22"/>
                <w:lang w:eastAsia="zh-CN"/>
              </w:rPr>
              <w:t>（</w:t>
            </w:r>
            <w:r>
              <w:rPr>
                <w:color w:val="000000" w:themeColor="text1"/>
                <w:kern w:val="0"/>
                <w:sz w:val="22"/>
                <w:szCs w:val="22"/>
              </w:rPr>
              <w:t>以P计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2552" w:type="dxa"/>
            <w:gridSpan w:val="2"/>
            <w:vAlign w:val="center"/>
          </w:tcPr>
          <w:p w14:paraId="5F27F25F">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0.5</w:t>
            </w:r>
          </w:p>
        </w:tc>
        <w:tc>
          <w:tcPr>
            <w:tcW w:w="709" w:type="dxa"/>
            <w:vAlign w:val="center"/>
          </w:tcPr>
          <w:p w14:paraId="1A8A106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708" w:type="dxa"/>
            <w:vAlign w:val="center"/>
          </w:tcPr>
          <w:p w14:paraId="3DA372B1">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51" w:type="dxa"/>
            <w:vAlign w:val="center"/>
          </w:tcPr>
          <w:p w14:paraId="4273CA2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r>
              <w:rPr>
                <w:rFonts w:hint="eastAsia"/>
                <w:color w:val="000000" w:themeColor="text1"/>
                <w:kern w:val="0"/>
                <w:sz w:val="22"/>
                <w:szCs w:val="22"/>
                <w:lang w:eastAsia="zh-CN"/>
              </w:rPr>
              <w:t>(</w:t>
            </w:r>
            <w:r>
              <w:rPr>
                <w:color w:val="000000" w:themeColor="text1"/>
                <w:kern w:val="0"/>
                <w:sz w:val="22"/>
                <w:szCs w:val="22"/>
              </w:rPr>
              <w:t>0.3</w:t>
            </w:r>
            <w:r>
              <w:rPr>
                <w:rFonts w:hint="eastAsia"/>
                <w:color w:val="000000" w:themeColor="text1"/>
                <w:kern w:val="0"/>
                <w:sz w:val="22"/>
                <w:szCs w:val="22"/>
                <w:lang w:eastAsia="zh-CN"/>
              </w:rPr>
              <w:t>)</w:t>
            </w:r>
          </w:p>
        </w:tc>
        <w:tc>
          <w:tcPr>
            <w:tcW w:w="850" w:type="dxa"/>
            <w:vAlign w:val="center"/>
          </w:tcPr>
          <w:p w14:paraId="6F1E98B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0.5</w:t>
            </w:r>
          </w:p>
        </w:tc>
        <w:tc>
          <w:tcPr>
            <w:tcW w:w="993" w:type="dxa"/>
            <w:vAlign w:val="center"/>
          </w:tcPr>
          <w:p w14:paraId="03D6D72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0.3(0.1)</w:t>
            </w:r>
          </w:p>
        </w:tc>
      </w:tr>
      <w:tr w14:paraId="70CF8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2DB3B1F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6</w:t>
            </w:r>
          </w:p>
        </w:tc>
        <w:tc>
          <w:tcPr>
            <w:tcW w:w="1317" w:type="dxa"/>
            <w:vAlign w:val="center"/>
          </w:tcPr>
          <w:p w14:paraId="61BEF23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lang w:eastAsia="zh-CN"/>
              </w:rPr>
              <w:t>（</w:t>
            </w:r>
            <w:r>
              <w:rPr>
                <w:color w:val="000000" w:themeColor="text1"/>
                <w:kern w:val="0"/>
                <w:sz w:val="22"/>
                <w:szCs w:val="22"/>
              </w:rPr>
              <w:t>度</w:t>
            </w:r>
            <w:r>
              <w:rPr>
                <w:rFonts w:hint="eastAsia"/>
                <w:color w:val="000000" w:themeColor="text1"/>
                <w:kern w:val="0"/>
                <w:sz w:val="22"/>
                <w:szCs w:val="22"/>
                <w:lang w:eastAsia="zh-CN"/>
              </w:rPr>
              <w:t>）</w:t>
            </w:r>
            <w:r>
              <w:rPr>
                <w:color w:val="000000" w:themeColor="text1"/>
                <w:kern w:val="0"/>
                <w:sz w:val="22"/>
                <w:szCs w:val="22"/>
              </w:rPr>
              <w:t xml:space="preserve"> ≤</w:t>
            </w:r>
          </w:p>
        </w:tc>
        <w:tc>
          <w:tcPr>
            <w:tcW w:w="2552" w:type="dxa"/>
            <w:gridSpan w:val="2"/>
            <w:vAlign w:val="center"/>
          </w:tcPr>
          <w:p w14:paraId="2A510848">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20</w:t>
            </w:r>
          </w:p>
        </w:tc>
        <w:tc>
          <w:tcPr>
            <w:tcW w:w="709" w:type="dxa"/>
            <w:vAlign w:val="center"/>
          </w:tcPr>
          <w:p w14:paraId="01B7766C">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30</w:t>
            </w:r>
          </w:p>
        </w:tc>
        <w:tc>
          <w:tcPr>
            <w:tcW w:w="708" w:type="dxa"/>
            <w:vAlign w:val="center"/>
          </w:tcPr>
          <w:p w14:paraId="7646AC8D">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15</w:t>
            </w:r>
          </w:p>
        </w:tc>
        <w:tc>
          <w:tcPr>
            <w:tcW w:w="851" w:type="dxa"/>
            <w:vAlign w:val="center"/>
          </w:tcPr>
          <w:p w14:paraId="10569A95">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20</w:t>
            </w:r>
          </w:p>
        </w:tc>
        <w:tc>
          <w:tcPr>
            <w:tcW w:w="850" w:type="dxa"/>
            <w:vAlign w:val="center"/>
          </w:tcPr>
          <w:p w14:paraId="65750C2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30</w:t>
            </w:r>
          </w:p>
        </w:tc>
        <w:tc>
          <w:tcPr>
            <w:tcW w:w="993" w:type="dxa"/>
            <w:vAlign w:val="center"/>
          </w:tcPr>
          <w:p w14:paraId="566160E8">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204DD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6525E5E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7</w:t>
            </w:r>
          </w:p>
        </w:tc>
        <w:tc>
          <w:tcPr>
            <w:tcW w:w="1317" w:type="dxa"/>
            <w:vAlign w:val="center"/>
          </w:tcPr>
          <w:p w14:paraId="79F216C0">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悬浮物（SS</w:t>
            </w:r>
            <w:r>
              <w:rPr>
                <w:rFonts w:hint="eastAsia"/>
                <w:color w:val="000000" w:themeColor="text1"/>
                <w:kern w:val="0"/>
                <w:sz w:val="22"/>
                <w:szCs w:val="22"/>
                <w:lang w:eastAsia="zh-CN"/>
              </w:rPr>
              <w:t>）</w:t>
            </w:r>
            <w:r>
              <w:rPr>
                <w:color w:val="000000" w:themeColor="text1"/>
                <w:kern w:val="0"/>
                <w:sz w:val="22"/>
                <w:szCs w:val="22"/>
              </w:rPr>
              <w:t>(mg/L) ≤</w:t>
            </w:r>
          </w:p>
        </w:tc>
        <w:tc>
          <w:tcPr>
            <w:tcW w:w="2552" w:type="dxa"/>
            <w:gridSpan w:val="2"/>
            <w:vAlign w:val="center"/>
          </w:tcPr>
          <w:p w14:paraId="71A4F88B">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709" w:type="dxa"/>
            <w:vAlign w:val="center"/>
          </w:tcPr>
          <w:p w14:paraId="60DFF3A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708" w:type="dxa"/>
            <w:vAlign w:val="center"/>
          </w:tcPr>
          <w:p w14:paraId="0A93B4AD">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51" w:type="dxa"/>
            <w:vAlign w:val="center"/>
          </w:tcPr>
          <w:p w14:paraId="5F87043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850" w:type="dxa"/>
            <w:vAlign w:val="center"/>
          </w:tcPr>
          <w:p w14:paraId="59BAD5F4">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993" w:type="dxa"/>
            <w:vAlign w:val="center"/>
          </w:tcPr>
          <w:p w14:paraId="6FAECF2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r w14:paraId="66981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26" w:type="dxa"/>
            <w:vAlign w:val="center"/>
          </w:tcPr>
          <w:p w14:paraId="658B642A">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8</w:t>
            </w:r>
          </w:p>
        </w:tc>
        <w:tc>
          <w:tcPr>
            <w:tcW w:w="1317" w:type="dxa"/>
            <w:vAlign w:val="center"/>
          </w:tcPr>
          <w:p w14:paraId="2F8E86CF">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lang w:eastAsia="zh-CN"/>
              </w:rPr>
              <w:t>（</w:t>
            </w:r>
            <w:r>
              <w:rPr>
                <w:color w:val="000000" w:themeColor="text1"/>
                <w:kern w:val="0"/>
                <w:sz w:val="22"/>
                <w:szCs w:val="22"/>
              </w:rPr>
              <w:t>NTU</w:t>
            </w:r>
            <w:r>
              <w:rPr>
                <w:rFonts w:hint="eastAsia"/>
                <w:color w:val="000000" w:themeColor="text1"/>
                <w:kern w:val="0"/>
                <w:sz w:val="22"/>
                <w:szCs w:val="22"/>
                <w:lang w:eastAsia="zh-CN"/>
              </w:rPr>
              <w:t>）</w:t>
            </w:r>
            <w:r>
              <w:rPr>
                <w:color w:val="000000" w:themeColor="text1"/>
                <w:kern w:val="0"/>
                <w:sz w:val="22"/>
                <w:szCs w:val="22"/>
              </w:rPr>
              <w:t xml:space="preserve"> ≤</w:t>
            </w:r>
          </w:p>
        </w:tc>
        <w:tc>
          <w:tcPr>
            <w:tcW w:w="1701" w:type="dxa"/>
            <w:vAlign w:val="center"/>
          </w:tcPr>
          <w:p w14:paraId="09D68E1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851" w:type="dxa"/>
            <w:vAlign w:val="center"/>
          </w:tcPr>
          <w:p w14:paraId="0AF82FA3">
            <w:pPr>
              <w:widowControl/>
              <w:adjustRightInd w:val="0"/>
              <w:snapToGrid w:val="0"/>
              <w:ind w:left="-105" w:leftChars="-50" w:right="-105" w:rightChars="-50"/>
              <w:jc w:val="center"/>
              <w:rPr>
                <w:color w:val="000000" w:themeColor="text1"/>
                <w:kern w:val="0"/>
                <w:sz w:val="22"/>
                <w:szCs w:val="22"/>
              </w:rPr>
            </w:pPr>
            <w:r>
              <w:rPr>
                <w:rFonts w:hint="eastAsia"/>
                <w:color w:val="000000" w:themeColor="text1"/>
                <w:kern w:val="0"/>
                <w:sz w:val="22"/>
                <w:szCs w:val="22"/>
              </w:rPr>
              <w:t>-</w:t>
            </w:r>
          </w:p>
        </w:tc>
        <w:tc>
          <w:tcPr>
            <w:tcW w:w="709" w:type="dxa"/>
            <w:vAlign w:val="center"/>
          </w:tcPr>
          <w:p w14:paraId="6E484106">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p>
        </w:tc>
        <w:tc>
          <w:tcPr>
            <w:tcW w:w="708" w:type="dxa"/>
            <w:vAlign w:val="center"/>
          </w:tcPr>
          <w:p w14:paraId="64F387F3">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5</w:t>
            </w:r>
          </w:p>
        </w:tc>
        <w:tc>
          <w:tcPr>
            <w:tcW w:w="851" w:type="dxa"/>
            <w:vAlign w:val="center"/>
          </w:tcPr>
          <w:p w14:paraId="6DB37062">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10</w:t>
            </w:r>
            <w:r>
              <w:rPr>
                <w:rFonts w:hint="eastAsia"/>
                <w:color w:val="000000" w:themeColor="text1"/>
                <w:kern w:val="0"/>
                <w:sz w:val="22"/>
                <w:szCs w:val="22"/>
                <w:lang w:eastAsia="zh-CN"/>
              </w:rPr>
              <w:t>(</w:t>
            </w:r>
            <w:r>
              <w:rPr>
                <w:color w:val="000000" w:themeColor="text1"/>
                <w:kern w:val="0"/>
                <w:sz w:val="22"/>
                <w:szCs w:val="22"/>
              </w:rPr>
              <w:t>5</w:t>
            </w:r>
            <w:r>
              <w:rPr>
                <w:rFonts w:hint="eastAsia"/>
                <w:color w:val="000000" w:themeColor="text1"/>
                <w:kern w:val="0"/>
                <w:sz w:val="22"/>
                <w:szCs w:val="22"/>
                <w:lang w:eastAsia="zh-CN"/>
              </w:rPr>
              <w:t>)</w:t>
            </w:r>
          </w:p>
        </w:tc>
        <w:tc>
          <w:tcPr>
            <w:tcW w:w="850" w:type="dxa"/>
            <w:vAlign w:val="center"/>
          </w:tcPr>
          <w:p w14:paraId="17EB4A27">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c>
          <w:tcPr>
            <w:tcW w:w="993" w:type="dxa"/>
            <w:vAlign w:val="center"/>
          </w:tcPr>
          <w:p w14:paraId="38887909">
            <w:pPr>
              <w:widowControl/>
              <w:adjustRightInd w:val="0"/>
              <w:snapToGrid w:val="0"/>
              <w:ind w:left="-105" w:leftChars="-50" w:right="-105" w:rightChars="-50"/>
              <w:jc w:val="center"/>
              <w:rPr>
                <w:color w:val="000000" w:themeColor="text1"/>
                <w:kern w:val="0"/>
                <w:sz w:val="22"/>
                <w:szCs w:val="22"/>
              </w:rPr>
            </w:pPr>
            <w:r>
              <w:rPr>
                <w:color w:val="000000" w:themeColor="text1"/>
                <w:kern w:val="0"/>
                <w:sz w:val="22"/>
                <w:szCs w:val="22"/>
              </w:rPr>
              <w:t>-</w:t>
            </w:r>
          </w:p>
        </w:tc>
      </w:tr>
    </w:tbl>
    <w:p w14:paraId="35828B9B">
      <w:pPr>
        <w:autoSpaceDE w:val="0"/>
        <w:autoSpaceDN w:val="0"/>
        <w:adjustRightInd w:val="0"/>
        <w:snapToGrid w:val="0"/>
        <w:textAlignment w:val="baseline"/>
        <w:rPr>
          <w:color w:val="000000" w:themeColor="text1"/>
          <w:kern w:val="0"/>
          <w:szCs w:val="21"/>
        </w:rPr>
      </w:pPr>
      <w:r>
        <w:rPr>
          <w:color w:val="000000" w:themeColor="text1"/>
          <w:kern w:val="0"/>
          <w:szCs w:val="21"/>
        </w:rPr>
        <w:t>注：</w:t>
      </w:r>
      <w:r>
        <w:rPr>
          <w:rFonts w:hint="eastAsia" w:ascii="宋体" w:hAnsi="宋体" w:cs="宋体"/>
          <w:color w:val="000000" w:themeColor="text1"/>
          <w:kern w:val="0"/>
          <w:szCs w:val="21"/>
        </w:rPr>
        <w:t>①</w:t>
      </w:r>
      <w:r>
        <w:rPr>
          <w:color w:val="000000" w:themeColor="text1"/>
          <w:kern w:val="0"/>
          <w:szCs w:val="21"/>
        </w:rPr>
        <w:t>是指《城镇污水处理厂污染物排放标准》中的一级A标准；</w:t>
      </w:r>
    </w:p>
    <w:p w14:paraId="25E2100D">
      <w:pPr>
        <w:autoSpaceDE w:val="0"/>
        <w:autoSpaceDN w:val="0"/>
        <w:adjustRightInd w:val="0"/>
        <w:snapToGrid w:val="0"/>
        <w:ind w:firstLine="420" w:firstLineChars="200"/>
        <w:textAlignment w:val="baseline"/>
        <w:rPr>
          <w:color w:val="000000" w:themeColor="text1"/>
          <w:kern w:val="0"/>
          <w:szCs w:val="21"/>
        </w:rPr>
      </w:pPr>
      <w:r>
        <w:rPr>
          <w:rFonts w:hint="eastAsia" w:ascii="宋体" w:hAnsi="宋体" w:cs="宋体"/>
          <w:color w:val="000000" w:themeColor="text1"/>
          <w:kern w:val="0"/>
          <w:szCs w:val="21"/>
        </w:rPr>
        <w:t>②</w:t>
      </w:r>
      <w:r>
        <w:rPr>
          <w:color w:val="000000" w:themeColor="text1"/>
          <w:kern w:val="0"/>
          <w:szCs w:val="21"/>
        </w:rPr>
        <w:t>是指《地表水环境质量标准》中的Ⅳ类标准。</w:t>
      </w:r>
    </w:p>
    <w:p w14:paraId="5D3D03B0">
      <w:pPr>
        <w:autoSpaceDE w:val="0"/>
        <w:autoSpaceDN w:val="0"/>
        <w:spacing w:line="600" w:lineRule="exact"/>
        <w:ind w:firstLine="560" w:firstLineChars="200"/>
        <w:textAlignment w:val="baseline"/>
        <w:rPr>
          <w:b/>
          <w:bCs/>
          <w:color w:val="000000" w:themeColor="text1"/>
          <w:sz w:val="24"/>
        </w:rPr>
      </w:pPr>
      <w:r>
        <w:rPr>
          <w:rFonts w:hint="eastAsia" w:ascii="宋体" w:cs="宋体"/>
          <w:color w:val="000000" w:themeColor="text1"/>
          <w:kern w:val="0"/>
          <w:sz w:val="28"/>
          <w:szCs w:val="28"/>
        </w:rPr>
        <w:t>因此，平阴县各污水处理厂现状出水水质已达到</w:t>
      </w:r>
      <w:r>
        <w:rPr>
          <w:rFonts w:hint="eastAsia"/>
          <w:color w:val="000000" w:themeColor="text1"/>
          <w:sz w:val="28"/>
          <w:szCs w:val="36"/>
        </w:rPr>
        <w:t>《城镇污水处理厂污染物排放标准》（GB18918-2002）一级A 标准，部分水厂的出水达到《地表水环境质量标准》（GB3838-2002）Ⅳ类标准；</w:t>
      </w:r>
      <w:r>
        <w:rPr>
          <w:rFonts w:hint="eastAsia" w:ascii="宋体" w:cs="宋体"/>
          <w:color w:val="000000" w:themeColor="text1"/>
          <w:kern w:val="0"/>
          <w:sz w:val="28"/>
          <w:szCs w:val="28"/>
        </w:rPr>
        <w:t>经消毒后，就能满足城市再生水的要求，工业用水主要是热电厂、炭素生产企业用水，工业企业可根据生产工艺用水要求自行进行深度处理较合理。鉴于城市杂用水对浊度的要求，为保证供水安全，平阴县再生水厂出水水质需确保达到下表标准限值。</w:t>
      </w:r>
    </w:p>
    <w:p w14:paraId="4CF25AEE">
      <w:pPr>
        <w:autoSpaceDE w:val="0"/>
        <w:autoSpaceDN w:val="0"/>
        <w:spacing w:line="600" w:lineRule="exact"/>
        <w:jc w:val="center"/>
        <w:textAlignment w:val="baseline"/>
        <w:rPr>
          <w:b/>
          <w:bCs/>
          <w:color w:val="000000" w:themeColor="text1"/>
          <w:sz w:val="24"/>
        </w:rPr>
      </w:pPr>
      <w:r>
        <w:rPr>
          <w:rFonts w:hint="eastAsia"/>
          <w:b/>
          <w:bCs/>
          <w:color w:val="000000" w:themeColor="text1"/>
          <w:sz w:val="24"/>
        </w:rPr>
        <w:t>表</w:t>
      </w:r>
      <w:r>
        <w:rPr>
          <w:b/>
          <w:bCs/>
          <w:color w:val="000000" w:themeColor="text1"/>
          <w:sz w:val="24"/>
        </w:rPr>
        <w:t xml:space="preserve">7.2-8  </w:t>
      </w:r>
      <w:r>
        <w:rPr>
          <w:rFonts w:hint="eastAsia"/>
          <w:b/>
          <w:bCs/>
          <w:color w:val="000000" w:themeColor="text1"/>
          <w:sz w:val="24"/>
        </w:rPr>
        <w:t>平阴县再生水厂出水水质指标限制</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5299"/>
        <w:gridCol w:w="2016"/>
      </w:tblGrid>
      <w:tr w14:paraId="6BFF1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vAlign w:val="center"/>
          </w:tcPr>
          <w:p w14:paraId="7A34D83F">
            <w:pPr>
              <w:widowControl/>
              <w:adjustRightInd w:val="0"/>
              <w:snapToGrid w:val="0"/>
              <w:jc w:val="center"/>
              <w:rPr>
                <w:color w:val="000000" w:themeColor="text1"/>
                <w:kern w:val="0"/>
                <w:sz w:val="22"/>
                <w:szCs w:val="22"/>
              </w:rPr>
            </w:pPr>
            <w:r>
              <w:rPr>
                <w:color w:val="000000" w:themeColor="text1"/>
                <w:kern w:val="0"/>
                <w:sz w:val="22"/>
                <w:szCs w:val="22"/>
              </w:rPr>
              <w:t>序号</w:t>
            </w:r>
          </w:p>
        </w:tc>
        <w:tc>
          <w:tcPr>
            <w:tcW w:w="3109" w:type="pct"/>
            <w:vAlign w:val="center"/>
          </w:tcPr>
          <w:p w14:paraId="5858E963">
            <w:pPr>
              <w:widowControl/>
              <w:adjustRightInd w:val="0"/>
              <w:snapToGrid w:val="0"/>
              <w:jc w:val="center"/>
              <w:rPr>
                <w:color w:val="000000" w:themeColor="text1"/>
                <w:kern w:val="0"/>
                <w:sz w:val="22"/>
                <w:szCs w:val="22"/>
              </w:rPr>
            </w:pPr>
            <w:r>
              <w:rPr>
                <w:rFonts w:hint="eastAsia"/>
                <w:color w:val="000000" w:themeColor="text1"/>
                <w:kern w:val="0"/>
                <w:sz w:val="22"/>
                <w:szCs w:val="22"/>
              </w:rPr>
              <w:t>指标</w:t>
            </w:r>
          </w:p>
        </w:tc>
        <w:tc>
          <w:tcPr>
            <w:tcW w:w="1183" w:type="pct"/>
            <w:noWrap/>
            <w:vAlign w:val="center"/>
          </w:tcPr>
          <w:p w14:paraId="65FE6895">
            <w:pPr>
              <w:widowControl/>
              <w:adjustRightInd w:val="0"/>
              <w:snapToGrid w:val="0"/>
              <w:jc w:val="center"/>
              <w:rPr>
                <w:color w:val="000000" w:themeColor="text1"/>
                <w:kern w:val="0"/>
                <w:sz w:val="22"/>
                <w:szCs w:val="22"/>
              </w:rPr>
            </w:pPr>
            <w:r>
              <w:rPr>
                <w:color w:val="000000" w:themeColor="text1"/>
                <w:kern w:val="0"/>
                <w:sz w:val="22"/>
                <w:szCs w:val="22"/>
              </w:rPr>
              <w:t>标准限值</w:t>
            </w:r>
          </w:p>
        </w:tc>
      </w:tr>
      <w:tr w14:paraId="19D72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noWrap/>
            <w:vAlign w:val="center"/>
          </w:tcPr>
          <w:p w14:paraId="33706BC1">
            <w:pPr>
              <w:widowControl/>
              <w:adjustRightInd w:val="0"/>
              <w:snapToGrid w:val="0"/>
              <w:jc w:val="center"/>
              <w:rPr>
                <w:color w:val="000000" w:themeColor="text1"/>
                <w:kern w:val="0"/>
                <w:sz w:val="22"/>
                <w:szCs w:val="22"/>
              </w:rPr>
            </w:pPr>
            <w:r>
              <w:rPr>
                <w:color w:val="000000" w:themeColor="text1"/>
                <w:kern w:val="0"/>
                <w:sz w:val="22"/>
                <w:szCs w:val="22"/>
              </w:rPr>
              <w:t>1</w:t>
            </w:r>
          </w:p>
        </w:tc>
        <w:tc>
          <w:tcPr>
            <w:tcW w:w="3109" w:type="pct"/>
            <w:vAlign w:val="center"/>
          </w:tcPr>
          <w:p w14:paraId="7AE2893A">
            <w:pPr>
              <w:widowControl/>
              <w:adjustRightInd w:val="0"/>
              <w:snapToGrid w:val="0"/>
              <w:jc w:val="center"/>
              <w:rPr>
                <w:color w:val="000000" w:themeColor="text1"/>
                <w:kern w:val="0"/>
                <w:sz w:val="22"/>
                <w:szCs w:val="22"/>
              </w:rPr>
            </w:pPr>
            <w:r>
              <w:rPr>
                <w:color w:val="000000" w:themeColor="text1"/>
                <w:kern w:val="0"/>
                <w:sz w:val="22"/>
                <w:szCs w:val="22"/>
              </w:rPr>
              <w:t>化学需氧量 (COD</w:t>
            </w:r>
            <w:r>
              <w:rPr>
                <w:color w:val="000000" w:themeColor="text1"/>
                <w:kern w:val="0"/>
                <w:sz w:val="22"/>
                <w:szCs w:val="22"/>
                <w:vertAlign w:val="subscript"/>
              </w:rPr>
              <w:t>Cr</w:t>
            </w:r>
            <w:r>
              <w:rPr>
                <w:color w:val="000000" w:themeColor="text1"/>
                <w:kern w:val="0"/>
                <w:sz w:val="22"/>
                <w:szCs w:val="22"/>
              </w:rPr>
              <w:t>)(mg/L)</w:t>
            </w:r>
          </w:p>
        </w:tc>
        <w:tc>
          <w:tcPr>
            <w:tcW w:w="1183" w:type="pct"/>
            <w:noWrap/>
            <w:vAlign w:val="center"/>
          </w:tcPr>
          <w:p w14:paraId="5FB76629">
            <w:pPr>
              <w:widowControl/>
              <w:adjustRightInd w:val="0"/>
              <w:snapToGrid w:val="0"/>
              <w:jc w:val="center"/>
              <w:rPr>
                <w:color w:val="000000" w:themeColor="text1"/>
                <w:kern w:val="0"/>
                <w:sz w:val="22"/>
                <w:szCs w:val="22"/>
              </w:rPr>
            </w:pPr>
            <w:r>
              <w:rPr>
                <w:color w:val="000000" w:themeColor="text1"/>
                <w:kern w:val="0"/>
                <w:sz w:val="22"/>
                <w:szCs w:val="22"/>
              </w:rPr>
              <w:t>50</w:t>
            </w:r>
          </w:p>
        </w:tc>
      </w:tr>
      <w:tr w14:paraId="10C48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noWrap/>
            <w:vAlign w:val="center"/>
          </w:tcPr>
          <w:p w14:paraId="6E492957">
            <w:pPr>
              <w:widowControl/>
              <w:adjustRightInd w:val="0"/>
              <w:snapToGrid w:val="0"/>
              <w:jc w:val="center"/>
              <w:rPr>
                <w:color w:val="000000" w:themeColor="text1"/>
                <w:kern w:val="0"/>
                <w:sz w:val="22"/>
                <w:szCs w:val="22"/>
              </w:rPr>
            </w:pPr>
            <w:r>
              <w:rPr>
                <w:color w:val="000000" w:themeColor="text1"/>
                <w:kern w:val="0"/>
                <w:sz w:val="22"/>
                <w:szCs w:val="22"/>
              </w:rPr>
              <w:t>2</w:t>
            </w:r>
          </w:p>
        </w:tc>
        <w:tc>
          <w:tcPr>
            <w:tcW w:w="3109" w:type="pct"/>
            <w:vAlign w:val="center"/>
          </w:tcPr>
          <w:p w14:paraId="07C3DF60">
            <w:pPr>
              <w:widowControl/>
              <w:adjustRightInd w:val="0"/>
              <w:snapToGrid w:val="0"/>
              <w:jc w:val="center"/>
              <w:rPr>
                <w:color w:val="000000" w:themeColor="text1"/>
                <w:kern w:val="0"/>
                <w:sz w:val="22"/>
                <w:szCs w:val="22"/>
              </w:rPr>
            </w:pPr>
            <w:r>
              <w:rPr>
                <w:color w:val="000000" w:themeColor="text1"/>
                <w:kern w:val="0"/>
                <w:sz w:val="22"/>
                <w:szCs w:val="22"/>
              </w:rPr>
              <w:t>氨氮</w:t>
            </w:r>
            <w:r>
              <w:rPr>
                <w:rFonts w:hint="eastAsia"/>
                <w:color w:val="000000" w:themeColor="text1"/>
                <w:kern w:val="0"/>
                <w:sz w:val="22"/>
                <w:szCs w:val="22"/>
                <w:lang w:eastAsia="zh-CN"/>
              </w:rPr>
              <w:t>（</w:t>
            </w:r>
            <w:r>
              <w:rPr>
                <w:color w:val="000000" w:themeColor="text1"/>
                <w:kern w:val="0"/>
                <w:sz w:val="22"/>
                <w:szCs w:val="22"/>
              </w:rPr>
              <w:t>以N计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1183" w:type="pct"/>
            <w:noWrap/>
            <w:vAlign w:val="center"/>
          </w:tcPr>
          <w:p w14:paraId="005D2797">
            <w:pPr>
              <w:widowControl/>
              <w:adjustRightInd w:val="0"/>
              <w:snapToGrid w:val="0"/>
              <w:jc w:val="center"/>
              <w:rPr>
                <w:color w:val="000000" w:themeColor="text1"/>
                <w:kern w:val="0"/>
                <w:sz w:val="22"/>
                <w:szCs w:val="22"/>
              </w:rPr>
            </w:pPr>
            <w:r>
              <w:rPr>
                <w:color w:val="000000" w:themeColor="text1"/>
                <w:kern w:val="0"/>
                <w:sz w:val="22"/>
                <w:szCs w:val="22"/>
              </w:rPr>
              <w:t>5</w:t>
            </w:r>
          </w:p>
        </w:tc>
      </w:tr>
      <w:tr w14:paraId="7C7AB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noWrap/>
            <w:vAlign w:val="center"/>
          </w:tcPr>
          <w:p w14:paraId="5F0D7DC4">
            <w:pPr>
              <w:widowControl/>
              <w:adjustRightInd w:val="0"/>
              <w:snapToGrid w:val="0"/>
              <w:jc w:val="center"/>
              <w:rPr>
                <w:color w:val="000000" w:themeColor="text1"/>
                <w:kern w:val="0"/>
                <w:sz w:val="22"/>
                <w:szCs w:val="22"/>
              </w:rPr>
            </w:pPr>
            <w:r>
              <w:rPr>
                <w:color w:val="000000" w:themeColor="text1"/>
                <w:kern w:val="0"/>
                <w:sz w:val="22"/>
                <w:szCs w:val="22"/>
              </w:rPr>
              <w:t>3</w:t>
            </w:r>
          </w:p>
        </w:tc>
        <w:tc>
          <w:tcPr>
            <w:tcW w:w="3109" w:type="pct"/>
            <w:vAlign w:val="center"/>
          </w:tcPr>
          <w:p w14:paraId="239E9F41">
            <w:pPr>
              <w:widowControl/>
              <w:adjustRightInd w:val="0"/>
              <w:snapToGrid w:val="0"/>
              <w:jc w:val="center"/>
              <w:rPr>
                <w:color w:val="000000" w:themeColor="text1"/>
                <w:kern w:val="0"/>
                <w:sz w:val="22"/>
                <w:szCs w:val="22"/>
              </w:rPr>
            </w:pPr>
            <w:r>
              <w:rPr>
                <w:color w:val="000000" w:themeColor="text1"/>
                <w:kern w:val="0"/>
                <w:sz w:val="22"/>
                <w:szCs w:val="22"/>
              </w:rPr>
              <w:t xml:space="preserve">总磷 </w:t>
            </w:r>
            <w:r>
              <w:rPr>
                <w:rFonts w:hint="eastAsia"/>
                <w:color w:val="000000" w:themeColor="text1"/>
                <w:kern w:val="0"/>
                <w:sz w:val="22"/>
                <w:szCs w:val="22"/>
                <w:lang w:eastAsia="zh-CN"/>
              </w:rPr>
              <w:t>（</w:t>
            </w:r>
            <w:r>
              <w:rPr>
                <w:color w:val="000000" w:themeColor="text1"/>
                <w:kern w:val="0"/>
                <w:sz w:val="22"/>
                <w:szCs w:val="22"/>
              </w:rPr>
              <w:t>以P计 mg/L</w:t>
            </w:r>
            <w:r>
              <w:rPr>
                <w:rFonts w:hint="eastAsia"/>
                <w:color w:val="000000" w:themeColor="text1"/>
                <w:kern w:val="0"/>
                <w:sz w:val="22"/>
                <w:szCs w:val="22"/>
                <w:lang w:eastAsia="zh-CN"/>
              </w:rPr>
              <w:t>）</w:t>
            </w:r>
            <w:r>
              <w:rPr>
                <w:color w:val="000000" w:themeColor="text1"/>
                <w:kern w:val="0"/>
                <w:sz w:val="22"/>
                <w:szCs w:val="22"/>
              </w:rPr>
              <w:t xml:space="preserve"> </w:t>
            </w:r>
          </w:p>
        </w:tc>
        <w:tc>
          <w:tcPr>
            <w:tcW w:w="1183" w:type="pct"/>
            <w:noWrap/>
            <w:vAlign w:val="center"/>
          </w:tcPr>
          <w:p w14:paraId="17503E82">
            <w:pPr>
              <w:widowControl/>
              <w:adjustRightInd w:val="0"/>
              <w:snapToGrid w:val="0"/>
              <w:jc w:val="center"/>
              <w:rPr>
                <w:color w:val="000000" w:themeColor="text1"/>
                <w:kern w:val="0"/>
                <w:sz w:val="22"/>
                <w:szCs w:val="22"/>
              </w:rPr>
            </w:pPr>
            <w:r>
              <w:rPr>
                <w:color w:val="000000" w:themeColor="text1"/>
                <w:kern w:val="0"/>
                <w:sz w:val="22"/>
                <w:szCs w:val="22"/>
              </w:rPr>
              <w:t>0.5</w:t>
            </w:r>
          </w:p>
        </w:tc>
      </w:tr>
      <w:tr w14:paraId="67056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noWrap/>
            <w:vAlign w:val="center"/>
          </w:tcPr>
          <w:p w14:paraId="0AA6ECBD">
            <w:pPr>
              <w:widowControl/>
              <w:adjustRightInd w:val="0"/>
              <w:snapToGrid w:val="0"/>
              <w:jc w:val="center"/>
              <w:rPr>
                <w:color w:val="000000" w:themeColor="text1"/>
                <w:kern w:val="0"/>
                <w:sz w:val="22"/>
                <w:szCs w:val="22"/>
              </w:rPr>
            </w:pPr>
            <w:r>
              <w:rPr>
                <w:color w:val="000000" w:themeColor="text1"/>
                <w:kern w:val="0"/>
                <w:sz w:val="22"/>
                <w:szCs w:val="22"/>
              </w:rPr>
              <w:t>4</w:t>
            </w:r>
          </w:p>
        </w:tc>
        <w:tc>
          <w:tcPr>
            <w:tcW w:w="3109" w:type="pct"/>
            <w:vAlign w:val="center"/>
          </w:tcPr>
          <w:p w14:paraId="40D4C43C">
            <w:pPr>
              <w:widowControl/>
              <w:adjustRightInd w:val="0"/>
              <w:snapToGrid w:val="0"/>
              <w:jc w:val="center"/>
              <w:rPr>
                <w:color w:val="000000" w:themeColor="text1"/>
                <w:kern w:val="0"/>
                <w:sz w:val="22"/>
                <w:szCs w:val="22"/>
              </w:rPr>
            </w:pPr>
            <w:r>
              <w:rPr>
                <w:color w:val="000000" w:themeColor="text1"/>
                <w:kern w:val="0"/>
                <w:sz w:val="22"/>
                <w:szCs w:val="22"/>
              </w:rPr>
              <w:t>色度</w:t>
            </w:r>
            <w:r>
              <w:rPr>
                <w:rFonts w:hint="eastAsia"/>
                <w:color w:val="000000" w:themeColor="text1"/>
                <w:kern w:val="0"/>
                <w:sz w:val="22"/>
                <w:szCs w:val="22"/>
                <w:lang w:eastAsia="zh-CN"/>
              </w:rPr>
              <w:t>（</w:t>
            </w:r>
            <w:r>
              <w:rPr>
                <w:color w:val="000000" w:themeColor="text1"/>
                <w:kern w:val="0"/>
                <w:sz w:val="22"/>
                <w:szCs w:val="22"/>
              </w:rPr>
              <w:t>度</w:t>
            </w:r>
            <w:r>
              <w:rPr>
                <w:rFonts w:hint="eastAsia"/>
                <w:color w:val="000000" w:themeColor="text1"/>
                <w:kern w:val="0"/>
                <w:sz w:val="22"/>
                <w:szCs w:val="22"/>
                <w:lang w:eastAsia="zh-CN"/>
              </w:rPr>
              <w:t>）</w:t>
            </w:r>
            <w:r>
              <w:rPr>
                <w:color w:val="000000" w:themeColor="text1"/>
                <w:kern w:val="0"/>
                <w:sz w:val="22"/>
                <w:szCs w:val="22"/>
              </w:rPr>
              <w:t xml:space="preserve"> </w:t>
            </w:r>
          </w:p>
        </w:tc>
        <w:tc>
          <w:tcPr>
            <w:tcW w:w="1183" w:type="pct"/>
            <w:noWrap/>
            <w:vAlign w:val="center"/>
          </w:tcPr>
          <w:p w14:paraId="3D7906C4">
            <w:pPr>
              <w:widowControl/>
              <w:adjustRightInd w:val="0"/>
              <w:snapToGrid w:val="0"/>
              <w:jc w:val="center"/>
              <w:rPr>
                <w:color w:val="000000" w:themeColor="text1"/>
                <w:kern w:val="0"/>
                <w:sz w:val="22"/>
                <w:szCs w:val="22"/>
              </w:rPr>
            </w:pPr>
            <w:r>
              <w:rPr>
                <w:rFonts w:hint="eastAsia"/>
                <w:color w:val="000000" w:themeColor="text1"/>
                <w:kern w:val="0"/>
                <w:sz w:val="22"/>
                <w:szCs w:val="22"/>
              </w:rPr>
              <w:t>20</w:t>
            </w:r>
          </w:p>
        </w:tc>
      </w:tr>
      <w:tr w14:paraId="14CA7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noWrap/>
            <w:vAlign w:val="center"/>
          </w:tcPr>
          <w:p w14:paraId="553223F6">
            <w:pPr>
              <w:widowControl/>
              <w:adjustRightInd w:val="0"/>
              <w:snapToGrid w:val="0"/>
              <w:jc w:val="center"/>
              <w:rPr>
                <w:color w:val="000000" w:themeColor="text1"/>
                <w:kern w:val="0"/>
                <w:sz w:val="22"/>
                <w:szCs w:val="22"/>
              </w:rPr>
            </w:pPr>
            <w:r>
              <w:rPr>
                <w:color w:val="000000" w:themeColor="text1"/>
                <w:kern w:val="0"/>
                <w:sz w:val="22"/>
                <w:szCs w:val="22"/>
              </w:rPr>
              <w:t>5</w:t>
            </w:r>
          </w:p>
        </w:tc>
        <w:tc>
          <w:tcPr>
            <w:tcW w:w="3109" w:type="pct"/>
            <w:vAlign w:val="center"/>
          </w:tcPr>
          <w:p w14:paraId="7F9A709A">
            <w:pPr>
              <w:widowControl/>
              <w:adjustRightInd w:val="0"/>
              <w:snapToGrid w:val="0"/>
              <w:jc w:val="center"/>
              <w:rPr>
                <w:color w:val="000000" w:themeColor="text1"/>
                <w:kern w:val="0"/>
                <w:sz w:val="22"/>
                <w:szCs w:val="22"/>
              </w:rPr>
            </w:pPr>
            <w:r>
              <w:rPr>
                <w:color w:val="000000" w:themeColor="text1"/>
                <w:kern w:val="0"/>
                <w:sz w:val="22"/>
                <w:szCs w:val="22"/>
              </w:rPr>
              <w:t>浊度</w:t>
            </w:r>
            <w:r>
              <w:rPr>
                <w:rFonts w:hint="eastAsia"/>
                <w:color w:val="000000" w:themeColor="text1"/>
                <w:kern w:val="0"/>
                <w:sz w:val="22"/>
                <w:szCs w:val="22"/>
                <w:lang w:eastAsia="zh-CN"/>
              </w:rPr>
              <w:t>（</w:t>
            </w:r>
            <w:r>
              <w:rPr>
                <w:color w:val="000000" w:themeColor="text1"/>
                <w:kern w:val="0"/>
                <w:sz w:val="22"/>
                <w:szCs w:val="22"/>
              </w:rPr>
              <w:t>NTU</w:t>
            </w:r>
            <w:r>
              <w:rPr>
                <w:rFonts w:hint="eastAsia"/>
                <w:color w:val="000000" w:themeColor="text1"/>
                <w:kern w:val="0"/>
                <w:sz w:val="22"/>
                <w:szCs w:val="22"/>
                <w:lang w:eastAsia="zh-CN"/>
              </w:rPr>
              <w:t>）</w:t>
            </w:r>
            <w:r>
              <w:rPr>
                <w:color w:val="000000" w:themeColor="text1"/>
                <w:kern w:val="0"/>
                <w:sz w:val="22"/>
                <w:szCs w:val="22"/>
              </w:rPr>
              <w:t xml:space="preserve"> </w:t>
            </w:r>
          </w:p>
        </w:tc>
        <w:tc>
          <w:tcPr>
            <w:tcW w:w="1183" w:type="pct"/>
            <w:noWrap/>
            <w:vAlign w:val="center"/>
          </w:tcPr>
          <w:p w14:paraId="62DEB4C9">
            <w:pPr>
              <w:widowControl/>
              <w:adjustRightInd w:val="0"/>
              <w:snapToGrid w:val="0"/>
              <w:jc w:val="center"/>
              <w:rPr>
                <w:color w:val="000000" w:themeColor="text1"/>
                <w:kern w:val="0"/>
                <w:sz w:val="22"/>
                <w:szCs w:val="22"/>
              </w:rPr>
            </w:pPr>
            <w:r>
              <w:rPr>
                <w:rFonts w:hint="eastAsia"/>
                <w:color w:val="000000" w:themeColor="text1"/>
                <w:kern w:val="0"/>
                <w:sz w:val="22"/>
                <w:szCs w:val="22"/>
              </w:rPr>
              <w:t>5</w:t>
            </w:r>
          </w:p>
        </w:tc>
      </w:tr>
    </w:tbl>
    <w:p w14:paraId="69B56CC7">
      <w:pPr>
        <w:autoSpaceDE w:val="0"/>
        <w:autoSpaceDN w:val="0"/>
        <w:adjustRightInd w:val="0"/>
        <w:snapToGrid w:val="0"/>
        <w:spacing w:line="600" w:lineRule="exact"/>
        <w:textAlignment w:val="bottom"/>
        <w:outlineLvl w:val="2"/>
        <w:rPr>
          <w:b/>
          <w:color w:val="000000" w:themeColor="text1"/>
          <w:sz w:val="28"/>
          <w:szCs w:val="28"/>
        </w:rPr>
      </w:pPr>
      <w:bookmarkStart w:id="204" w:name="_Toc143780522"/>
      <w:bookmarkStart w:id="205" w:name="_Toc144243751"/>
      <w:r>
        <w:rPr>
          <w:b/>
          <w:color w:val="000000" w:themeColor="text1"/>
          <w:sz w:val="28"/>
          <w:szCs w:val="28"/>
        </w:rPr>
        <w:t xml:space="preserve">7.2.5 </w:t>
      </w:r>
      <w:r>
        <w:rPr>
          <w:rFonts w:hint="eastAsia"/>
          <w:b/>
          <w:color w:val="000000" w:themeColor="text1"/>
          <w:sz w:val="28"/>
          <w:szCs w:val="28"/>
        </w:rPr>
        <w:t>再生水厂工艺选择</w:t>
      </w:r>
      <w:bookmarkEnd w:id="204"/>
      <w:bookmarkEnd w:id="205"/>
    </w:p>
    <w:p w14:paraId="58D0A530">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平阴县现有</w:t>
      </w:r>
      <w:r>
        <w:rPr>
          <w:color w:val="000000" w:themeColor="text1"/>
          <w:sz w:val="28"/>
          <w:szCs w:val="36"/>
        </w:rPr>
        <w:t>5</w:t>
      </w:r>
      <w:r>
        <w:rPr>
          <w:rFonts w:hint="eastAsia"/>
          <w:color w:val="000000" w:themeColor="text1"/>
          <w:sz w:val="28"/>
          <w:szCs w:val="36"/>
        </w:rPr>
        <w:t>座污水处理厂及规划建设污水处理厂的出水水质均达到《城镇污水处理厂污染物排放标准》一级A标准，污水处理厂出水后只需再经消毒，就能满足城市再生水的要求。</w:t>
      </w:r>
    </w:p>
    <w:p w14:paraId="74A36753">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为保证再生水厂出水余氯符合标准要求，再生水厂需新建二氧化氯消毒设施，建设加氯间、清水池、吸水井、再生水外输泵房及变配电室，再生水厂净化处理工艺流程详见图</w:t>
      </w:r>
      <w:r>
        <w:rPr>
          <w:color w:val="000000" w:themeColor="text1"/>
          <w:sz w:val="28"/>
          <w:szCs w:val="36"/>
        </w:rPr>
        <w:t>7.2-1</w:t>
      </w:r>
      <w:r>
        <w:rPr>
          <w:rFonts w:hint="eastAsia"/>
          <w:color w:val="000000" w:themeColor="text1"/>
          <w:sz w:val="28"/>
          <w:szCs w:val="36"/>
        </w:rPr>
        <w:t>。</w:t>
      </w:r>
    </w:p>
    <w:p w14:paraId="49748DA2">
      <w:pPr>
        <w:autoSpaceDE w:val="0"/>
        <w:autoSpaceDN w:val="0"/>
        <w:textAlignment w:val="baseline"/>
        <w:rPr>
          <w:color w:val="000000" w:themeColor="text1"/>
          <w:sz w:val="28"/>
          <w:szCs w:val="36"/>
        </w:rPr>
      </w:pPr>
      <w:r>
        <w:rPr>
          <w:color w:val="000000" w:themeColor="text1"/>
        </w:rPr>
        <w:drawing>
          <wp:inline distT="0" distB="0" distL="0" distR="0">
            <wp:extent cx="5274310" cy="1463040"/>
            <wp:effectExtent l="0" t="0" r="0" b="0"/>
            <wp:docPr id="20099290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29090" name="图片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1463040"/>
                    </a:xfrm>
                    <a:prstGeom prst="rect">
                      <a:avLst/>
                    </a:prstGeom>
                    <a:noFill/>
                    <a:ln>
                      <a:noFill/>
                    </a:ln>
                  </pic:spPr>
                </pic:pic>
              </a:graphicData>
            </a:graphic>
          </wp:inline>
        </w:drawing>
      </w:r>
    </w:p>
    <w:p w14:paraId="07BE1EF0">
      <w:pPr>
        <w:autoSpaceDE w:val="0"/>
        <w:autoSpaceDN w:val="0"/>
        <w:jc w:val="center"/>
        <w:textAlignment w:val="baseline"/>
        <w:rPr>
          <w:b/>
          <w:bCs/>
          <w:color w:val="000000" w:themeColor="text1"/>
          <w:sz w:val="24"/>
          <w:szCs w:val="32"/>
        </w:rPr>
      </w:pPr>
      <w:r>
        <w:rPr>
          <w:rFonts w:hint="eastAsia"/>
          <w:b/>
          <w:bCs/>
          <w:color w:val="000000" w:themeColor="text1"/>
          <w:sz w:val="24"/>
          <w:szCs w:val="32"/>
        </w:rPr>
        <w:t>图</w:t>
      </w:r>
      <w:r>
        <w:rPr>
          <w:b/>
          <w:bCs/>
          <w:color w:val="000000" w:themeColor="text1"/>
          <w:sz w:val="24"/>
          <w:szCs w:val="32"/>
        </w:rPr>
        <w:t xml:space="preserve">7.2-1  </w:t>
      </w:r>
      <w:r>
        <w:rPr>
          <w:rFonts w:hint="eastAsia"/>
          <w:b/>
          <w:bCs/>
          <w:color w:val="000000" w:themeColor="text1"/>
          <w:sz w:val="24"/>
          <w:szCs w:val="32"/>
        </w:rPr>
        <w:t>再生水厂净化处理工艺流程图</w:t>
      </w:r>
    </w:p>
    <w:p w14:paraId="1F67469C">
      <w:pPr>
        <w:snapToGrid w:val="0"/>
        <w:spacing w:before="120" w:beforeLines="50" w:after="120" w:afterLines="50" w:line="600" w:lineRule="exact"/>
        <w:outlineLvl w:val="1"/>
        <w:rPr>
          <w:b/>
          <w:color w:val="000000" w:themeColor="text1"/>
          <w:sz w:val="30"/>
          <w:szCs w:val="30"/>
        </w:rPr>
      </w:pPr>
      <w:bookmarkStart w:id="206" w:name="_Toc144243752"/>
      <w:bookmarkStart w:id="207" w:name="_Toc181472947"/>
      <w:r>
        <w:rPr>
          <w:b/>
          <w:color w:val="000000" w:themeColor="text1"/>
          <w:sz w:val="30"/>
          <w:szCs w:val="30"/>
        </w:rPr>
        <w:t xml:space="preserve">7.3 </w:t>
      </w:r>
      <w:r>
        <w:rPr>
          <w:rFonts w:hint="eastAsia"/>
          <w:b/>
          <w:color w:val="000000" w:themeColor="text1"/>
          <w:sz w:val="30"/>
          <w:szCs w:val="30"/>
        </w:rPr>
        <w:t>输配水工程</w:t>
      </w:r>
      <w:bookmarkEnd w:id="206"/>
      <w:bookmarkEnd w:id="207"/>
    </w:p>
    <w:p w14:paraId="67EB36D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据调研，城市杂用输配水工程主要有加压泵站、输水管网等；工业企业再生水利用工程主要有加压泵站、输水管网；河湖生态补水工程主要是输水管网。</w:t>
      </w:r>
    </w:p>
    <w:p w14:paraId="329DF7E6">
      <w:pPr>
        <w:autoSpaceDE w:val="0"/>
        <w:autoSpaceDN w:val="0"/>
        <w:adjustRightInd w:val="0"/>
        <w:snapToGrid w:val="0"/>
        <w:spacing w:line="600" w:lineRule="exact"/>
        <w:textAlignment w:val="bottom"/>
        <w:outlineLvl w:val="2"/>
        <w:rPr>
          <w:b/>
          <w:color w:val="000000" w:themeColor="text1"/>
          <w:sz w:val="28"/>
          <w:szCs w:val="28"/>
        </w:rPr>
      </w:pPr>
      <w:bookmarkStart w:id="208" w:name="_Toc144243753"/>
      <w:bookmarkStart w:id="209" w:name="_Toc143780524"/>
      <w:r>
        <w:rPr>
          <w:b/>
          <w:color w:val="000000" w:themeColor="text1"/>
          <w:sz w:val="28"/>
          <w:szCs w:val="28"/>
        </w:rPr>
        <w:t xml:space="preserve">7.3.1 </w:t>
      </w:r>
      <w:r>
        <w:rPr>
          <w:rFonts w:hint="eastAsia"/>
          <w:b/>
          <w:color w:val="000000" w:themeColor="text1"/>
          <w:sz w:val="28"/>
          <w:szCs w:val="28"/>
        </w:rPr>
        <w:t>规划原则</w:t>
      </w:r>
      <w:bookmarkEnd w:id="208"/>
      <w:bookmarkEnd w:id="209"/>
    </w:p>
    <w:p w14:paraId="6D9BBF69">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城市再生水管网应满足城市再生水水量、水质、水压及安全供水的要求，并按照城市地形、系统布局、用户位置、技术经济等因素综合评价后确定，具体规划原则如下。</w:t>
      </w:r>
    </w:p>
    <w:p w14:paraId="0866862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1、再生水管网应充分考虑再生水用水大户的分布，尽可能沿再生水用户进行布置。</w:t>
      </w:r>
    </w:p>
    <w:p w14:paraId="4CFCBBE0">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2、再生水管网采用环状和枝状网相结合的形式，重要用户呈环状布置，各边角地方可呈枝状布置，既要减少供水距离，又要考虑便于远期城市再生水管网系统联网供水。</w:t>
      </w:r>
    </w:p>
    <w:p w14:paraId="450EE775">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3、再生水管网尽量沿新建道路一并铺设，减少拆迁量及对现有设施的破坏，并尽量避免或减少穿越河道、铁路等障碍物。</w:t>
      </w:r>
    </w:p>
    <w:p w14:paraId="687C23E8">
      <w:pPr>
        <w:autoSpaceDE w:val="0"/>
        <w:autoSpaceDN w:val="0"/>
        <w:adjustRightInd w:val="0"/>
        <w:snapToGrid w:val="0"/>
        <w:spacing w:line="600" w:lineRule="exact"/>
        <w:textAlignment w:val="bottom"/>
        <w:outlineLvl w:val="2"/>
        <w:rPr>
          <w:b/>
          <w:color w:val="000000" w:themeColor="text1"/>
          <w:sz w:val="28"/>
          <w:szCs w:val="28"/>
        </w:rPr>
      </w:pPr>
      <w:bookmarkStart w:id="210" w:name="_Toc143780525"/>
      <w:bookmarkStart w:id="211" w:name="_Toc144243754"/>
      <w:r>
        <w:rPr>
          <w:b/>
          <w:color w:val="000000" w:themeColor="text1"/>
          <w:sz w:val="28"/>
          <w:szCs w:val="28"/>
        </w:rPr>
        <w:t xml:space="preserve">7.3.2 </w:t>
      </w:r>
      <w:r>
        <w:rPr>
          <w:rFonts w:hint="eastAsia"/>
          <w:b/>
          <w:color w:val="000000" w:themeColor="text1"/>
          <w:sz w:val="28"/>
          <w:szCs w:val="28"/>
        </w:rPr>
        <w:t>管网布置方案</w:t>
      </w:r>
      <w:bookmarkEnd w:id="210"/>
      <w:bookmarkEnd w:id="211"/>
    </w:p>
    <w:p w14:paraId="142EF5E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由于平阴县的中心城区及各城镇的主干道大部分已经建成，各类管线布置错综复杂，破路埋设再生水管网不仅影响道路交通，而且工程复杂，造价较高，因此本工程再生水管网尽量选择规划路网，结合道路新建进行敷设。再生水除了直接供给工业用水大户外，主要利用在路面浇洒、城市绿化、景观河道补水等，所以再生水管网尽可能沿绿化率较高的道路进行敷设，较为集中的公园、广场等大块绿地以及景观河道交汇点作为集中流量考虑。</w:t>
      </w:r>
    </w:p>
    <w:p w14:paraId="0ADC8FE9">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考虑到再生水与自来水在安全性及保证性方面的差异、管网造价，结合现在城市再生水事业发展的特点，推荐采用枝状管网的方式敷设，根据平阴县道路规划及道路旁管位实际状况进行敷设。</w:t>
      </w:r>
    </w:p>
    <w:p w14:paraId="1F51F952">
      <w:pPr>
        <w:autoSpaceDE w:val="0"/>
        <w:autoSpaceDN w:val="0"/>
        <w:adjustRightInd w:val="0"/>
        <w:snapToGrid w:val="0"/>
        <w:spacing w:line="600" w:lineRule="exact"/>
        <w:textAlignment w:val="bottom"/>
        <w:outlineLvl w:val="2"/>
        <w:rPr>
          <w:b/>
          <w:color w:val="000000" w:themeColor="text1"/>
          <w:sz w:val="28"/>
          <w:szCs w:val="28"/>
        </w:rPr>
      </w:pPr>
      <w:bookmarkStart w:id="212" w:name="_Toc143780526"/>
      <w:bookmarkStart w:id="213" w:name="_Toc144243755"/>
      <w:r>
        <w:rPr>
          <w:b/>
          <w:color w:val="000000" w:themeColor="text1"/>
          <w:sz w:val="28"/>
          <w:szCs w:val="28"/>
        </w:rPr>
        <w:t xml:space="preserve">7.3.3 </w:t>
      </w:r>
      <w:r>
        <w:rPr>
          <w:rFonts w:hint="eastAsia"/>
          <w:b/>
          <w:color w:val="000000" w:themeColor="text1"/>
          <w:sz w:val="28"/>
          <w:szCs w:val="28"/>
        </w:rPr>
        <w:t>供水管网</w:t>
      </w:r>
      <w:bookmarkEnd w:id="212"/>
      <w:bookmarkEnd w:id="213"/>
    </w:p>
    <w:p w14:paraId="04F18ACA">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1、工业供水管网</w:t>
      </w:r>
    </w:p>
    <w:p w14:paraId="41660880">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由于工业用水保证率较高。因此，工业用户尽量单独铺设供水管道。</w:t>
      </w:r>
    </w:p>
    <w:p w14:paraId="0260FB4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2、城市杂用水供水管网</w:t>
      </w:r>
    </w:p>
    <w:p w14:paraId="2B10B9E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城市绿化用水：敷设在道路绿化带内，一片绿地开一个支管，并配有水表等计量装置，刷卡取水。公园、广场用水，再生水管网敷设至公园的周围，再生水管网上开一个支管，采用洒水喷头形式计量取水。</w:t>
      </w:r>
    </w:p>
    <w:p w14:paraId="3C7F7E52">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道路浇洒用水：铺设在道路绿化带内，路口附近处均设置取水点，保证1.5km内至少一处取水点，并配有水表等计量装置，便于洒水车刷卡取水。</w:t>
      </w:r>
    </w:p>
    <w:p w14:paraId="06A79DE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生活杂用水：从市政管网接至小区内，在小区内敷设再生水管网，设置取水点，绿化等杂用水计量刷卡取水。工业企业绿化用水：再生水管网敷设至工业企业的周围，再生水管网上开一个支管，采用洒水喷头形式计量取水。</w:t>
      </w:r>
    </w:p>
    <w:p w14:paraId="67617AF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3、景观环境用水供水管网</w:t>
      </w:r>
    </w:p>
    <w:p w14:paraId="59E437AA">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再生水管网敷设至河道附近，再生水管网上开若干支管，用闸门控制河道补水量。</w:t>
      </w:r>
    </w:p>
    <w:p w14:paraId="3071DF6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本规划敷设的仅为再生水主管道，进入小区、绿地、公园内的管网不包括在内。</w:t>
      </w:r>
    </w:p>
    <w:p w14:paraId="358F8CE0">
      <w:pPr>
        <w:snapToGrid w:val="0"/>
        <w:spacing w:before="120" w:beforeLines="50" w:after="120" w:afterLines="50" w:line="600" w:lineRule="exact"/>
        <w:outlineLvl w:val="1"/>
        <w:rPr>
          <w:b/>
          <w:color w:val="000000" w:themeColor="text1"/>
          <w:sz w:val="30"/>
          <w:szCs w:val="30"/>
        </w:rPr>
      </w:pPr>
      <w:bookmarkStart w:id="214" w:name="_Toc144243756"/>
      <w:bookmarkStart w:id="215" w:name="_Toc181472948"/>
      <w:r>
        <w:rPr>
          <w:b/>
          <w:color w:val="000000" w:themeColor="text1"/>
          <w:sz w:val="30"/>
          <w:szCs w:val="30"/>
        </w:rPr>
        <w:t xml:space="preserve">7.4 </w:t>
      </w:r>
      <w:r>
        <w:rPr>
          <w:rFonts w:hint="eastAsia"/>
          <w:b/>
          <w:color w:val="000000" w:themeColor="text1"/>
          <w:sz w:val="30"/>
          <w:szCs w:val="30"/>
        </w:rPr>
        <w:t>管理维护设施</w:t>
      </w:r>
      <w:bookmarkEnd w:id="214"/>
      <w:bookmarkEnd w:id="215"/>
    </w:p>
    <w:p w14:paraId="43DF99D4">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为做好再生水厂及供水管网的管理维护工作需要配套建设部分管理维护设施，如在再生水供水管网配套建设检修阀井等附属设施；同时做好再生水厂及供水管网的安全防护和监测工作。</w:t>
      </w:r>
    </w:p>
    <w:p w14:paraId="1E52B62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1、附属设施</w:t>
      </w:r>
    </w:p>
    <w:p w14:paraId="08B4B686">
      <w:pPr>
        <w:autoSpaceDE w:val="0"/>
        <w:autoSpaceDN w:val="0"/>
        <w:spacing w:line="600" w:lineRule="exact"/>
        <w:ind w:firstLine="560" w:firstLineChars="200"/>
        <w:textAlignment w:val="baseline"/>
        <w:rPr>
          <w:color w:val="000000" w:themeColor="text1"/>
          <w:sz w:val="28"/>
          <w:szCs w:val="36"/>
        </w:rPr>
      </w:pPr>
      <w:r>
        <w:rPr>
          <w:rFonts w:hint="eastAsia" w:ascii="宋体" w:cs="宋体"/>
          <w:color w:val="000000" w:themeColor="text1"/>
          <w:kern w:val="0"/>
          <w:sz w:val="28"/>
          <w:szCs w:val="28"/>
        </w:rPr>
        <w:t>再生水供水管网配套附属构筑物主要是检修阀井、泄水阀井、排气阀井等。</w:t>
      </w:r>
    </w:p>
    <w:p w14:paraId="201E69CE">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（1）检修阀井</w:t>
      </w:r>
    </w:p>
    <w:p w14:paraId="3D5C43F7">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为方便以后对再生水供水管网的管理维护，管道沿线设置检修阀，结合管线沿线穿越的道路等设计，综合确定检修阀的位置和数量。</w:t>
      </w:r>
    </w:p>
    <w:p w14:paraId="034386C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（2）排气阀井</w:t>
      </w:r>
    </w:p>
    <w:p w14:paraId="0B5B3497">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根据管网布局，在每隔一定距离和管网系统的较高部位设置排气阀，用以排除管内积聚的空气，并在管道需要检修、放空时进入空气，保持输水畅通，增强管网系统的输水能力；同时在产生水锤时可使空气自动进入，避免产生负压。排气阀不直接安装在管线上，采用支线安装，与闸阀组合设置。管线高点及穿越道路或河道两端分别设置排气阀，在管线起伏不大的部分，每隔1km设一个排气阀。</w:t>
      </w:r>
    </w:p>
    <w:p w14:paraId="774539BE">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（3）泄水阀井</w:t>
      </w:r>
    </w:p>
    <w:p w14:paraId="4072918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泄水阀是考虑管道排泥和管道检修排水以及管道事故维修的需要而设置的，泄水阀采用三通形式与输水干管连接，均安装在管道的最低位置，并设置在靠近河道、沟渠的地方，以便排除管内沉积物或检修时排空管道里的水。泄水管出口通往泄水湿井内，管道泄水时，采用自备小</w:t>
      </w:r>
      <w:r>
        <w:rPr>
          <w:rFonts w:hint="eastAsia" w:ascii="宋体" w:cs="宋体"/>
          <w:color w:val="000000" w:themeColor="text1"/>
          <w:kern w:val="0"/>
          <w:sz w:val="28"/>
          <w:szCs w:val="28"/>
        </w:rPr>
        <w:t>型潜水泵从湿井内抽水排入就近的沟渠内。</w:t>
      </w:r>
    </w:p>
    <w:p w14:paraId="54DA1C0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2、安全防护</w:t>
      </w:r>
    </w:p>
    <w:p w14:paraId="40A206CA">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（1）再生水厂与各用户之间设置通信系统；</w:t>
      </w:r>
    </w:p>
    <w:p w14:paraId="38EA0AC6">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（2）再生水处理构筑物上面的通道，设置安全防护栏杆，地面应有防滑措施。</w:t>
      </w:r>
    </w:p>
    <w:p w14:paraId="3986F657">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（3）再生水管道系统严禁与饮用水管道系统、自备水源供水系统连接。</w:t>
      </w:r>
    </w:p>
    <w:p w14:paraId="2467BD1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（4）再生水管道取水接口和取水龙头处应配置“再生水不得饮用”的明显标识。</w:t>
      </w:r>
    </w:p>
    <w:p w14:paraId="7AC108B1">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（5）再生水输配水管网中所有组件和附属设施的显著位置应配置“再生水”明显标识，再生水管道明装时应采用识别色，并配置“再生水管道”明显标识，埋地再生水管道应在管道上方设置明显标志带。</w:t>
      </w:r>
    </w:p>
    <w:p w14:paraId="23A88940">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（6）再生水调蓄池的排空管道、溢流管道严禁直接与下水道连通。</w:t>
      </w:r>
    </w:p>
    <w:p w14:paraId="1367805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3、安全监测控制</w:t>
      </w:r>
    </w:p>
    <w:p w14:paraId="6F6A73AB">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（1）再生水厂应设自动检测与控制系统，输配水管道宜设自动检测与控制系统。</w:t>
      </w:r>
    </w:p>
    <w:p w14:paraId="0FBEEB1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（2）再生水水源收集系统中的工业废水接入口，宜设置水质监测点和控制闸门。</w:t>
      </w:r>
    </w:p>
    <w:p w14:paraId="19DCECC3">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（3）再生水厂进水口、出水口应设置水质、水量在线监测及预警系统。</w:t>
      </w:r>
    </w:p>
    <w:p w14:paraId="5931360A">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（4）加氯消毒设施必须设置漏氯监测报警和安全处置系统。</w:t>
      </w:r>
    </w:p>
    <w:p w14:paraId="1BEA5DD9">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（5）再生水厂主要处理单元应设置符合生产运行要求和监管部门规定的水质监测设备。</w:t>
      </w:r>
    </w:p>
    <w:p w14:paraId="0947D9EC">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（6）再生水厂进出水口与主要处理单元以及用户用水点应设置水样取样装置。</w:t>
      </w:r>
    </w:p>
    <w:p w14:paraId="69259128">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（7）再生水厂出厂管道起端、配水管网中的特征点，以及各用户进户管道上宜设置测流、测压装置，并宜设置遥测、遥信、遥控系统。</w:t>
      </w:r>
    </w:p>
    <w:p w14:paraId="39C29A54">
      <w:pPr>
        <w:autoSpaceDE w:val="0"/>
        <w:autoSpaceDN w:val="0"/>
        <w:spacing w:line="600" w:lineRule="exact"/>
        <w:ind w:firstLine="560" w:firstLineChars="200"/>
        <w:textAlignment w:val="baseline"/>
        <w:rPr>
          <w:color w:val="000000" w:themeColor="text1"/>
          <w:sz w:val="28"/>
          <w:szCs w:val="36"/>
        </w:rPr>
      </w:pPr>
    </w:p>
    <w:p w14:paraId="046AEC9F">
      <w:pPr>
        <w:pageBreakBefore/>
        <w:tabs>
          <w:tab w:val="center" w:pos="4535"/>
          <w:tab w:val="right" w:pos="9070"/>
        </w:tabs>
        <w:spacing w:before="240" w:beforeLines="100" w:after="360" w:afterLines="150" w:line="600" w:lineRule="exact"/>
        <w:jc w:val="center"/>
        <w:outlineLvl w:val="0"/>
        <w:rPr>
          <w:b/>
          <w:color w:val="000000" w:themeColor="text1"/>
          <w:sz w:val="44"/>
          <w:szCs w:val="36"/>
        </w:rPr>
      </w:pPr>
      <w:bookmarkStart w:id="216" w:name="_Toc181472949"/>
      <w:bookmarkStart w:id="217" w:name="_Toc55920565"/>
      <w:bookmarkStart w:id="218" w:name="_Toc144243757"/>
      <w:bookmarkStart w:id="219" w:name="_Toc55920560"/>
      <w:r>
        <w:rPr>
          <w:b/>
          <w:color w:val="000000" w:themeColor="text1"/>
          <w:sz w:val="44"/>
          <w:szCs w:val="36"/>
        </w:rPr>
        <w:t>第</w:t>
      </w:r>
      <w:r>
        <w:rPr>
          <w:rFonts w:hint="eastAsia"/>
          <w:b/>
          <w:color w:val="000000" w:themeColor="text1"/>
          <w:sz w:val="44"/>
          <w:szCs w:val="36"/>
        </w:rPr>
        <w:t>八</w:t>
      </w:r>
      <w:r>
        <w:rPr>
          <w:b/>
          <w:color w:val="000000" w:themeColor="text1"/>
          <w:sz w:val="44"/>
          <w:szCs w:val="36"/>
        </w:rPr>
        <w:t>章  投资估算</w:t>
      </w:r>
      <w:bookmarkEnd w:id="216"/>
      <w:bookmarkEnd w:id="217"/>
      <w:bookmarkEnd w:id="218"/>
    </w:p>
    <w:p w14:paraId="1D64D462">
      <w:pPr>
        <w:snapToGrid w:val="0"/>
        <w:spacing w:before="120" w:beforeLines="50" w:after="120" w:afterLines="50" w:line="600" w:lineRule="exact"/>
        <w:outlineLvl w:val="1"/>
        <w:rPr>
          <w:b/>
          <w:color w:val="000000" w:themeColor="text1"/>
          <w:sz w:val="30"/>
          <w:szCs w:val="30"/>
        </w:rPr>
      </w:pPr>
      <w:bookmarkStart w:id="220" w:name="_Toc144243758"/>
      <w:bookmarkStart w:id="221" w:name="_Toc181472950"/>
      <w:bookmarkStart w:id="222" w:name="_Toc55920566"/>
      <w:r>
        <w:rPr>
          <w:b/>
          <w:color w:val="000000" w:themeColor="text1"/>
          <w:sz w:val="30"/>
          <w:szCs w:val="30"/>
        </w:rPr>
        <w:t xml:space="preserve">8.1 </w:t>
      </w:r>
      <w:r>
        <w:rPr>
          <w:rFonts w:hint="eastAsia"/>
          <w:b/>
          <w:color w:val="000000" w:themeColor="text1"/>
          <w:sz w:val="30"/>
          <w:szCs w:val="30"/>
        </w:rPr>
        <w:t>规划建设项目实施原则</w:t>
      </w:r>
      <w:bookmarkEnd w:id="220"/>
      <w:bookmarkEnd w:id="221"/>
    </w:p>
    <w:p w14:paraId="48D10E91">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再生水工程的规划建设与城市整体规划建设是密切相关的，对于平阴县的经济发展和人民生活水平的提高以及对城市环境的改善起到举足轻重的作用，为保证再生水工程的顺利实施，尽快发挥再生水工程的效益，在工程规划实施中应遵循以下原则：</w:t>
      </w:r>
    </w:p>
    <w:p w14:paraId="1728A652">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1、规划工程的实施应符合建设项目的建设和审批程序。</w:t>
      </w:r>
    </w:p>
    <w:p w14:paraId="0D8162DF">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2、规划工程的实施应与平阴县城市国土空间规划及道路规划的建设相协调。</w:t>
      </w:r>
    </w:p>
    <w:p w14:paraId="37BAB8A3">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3、再生水供水管网的建设应与水源工程、污水处理厂工程、再生水厂工程的建设实施同步进行，使其相互发挥效益。</w:t>
      </w:r>
    </w:p>
    <w:p w14:paraId="114A24D4">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4、管网工程应先建主干管、干管，后建支管。</w:t>
      </w:r>
    </w:p>
    <w:p w14:paraId="401F1645">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5、建立专门的机构作为项目执行单位负责工程的实施、组织、协调和管理。</w:t>
      </w:r>
    </w:p>
    <w:p w14:paraId="3B473859">
      <w:pPr>
        <w:snapToGrid w:val="0"/>
        <w:spacing w:before="120" w:beforeLines="50" w:after="120" w:afterLines="50" w:line="600" w:lineRule="exact"/>
        <w:outlineLvl w:val="1"/>
        <w:rPr>
          <w:b/>
          <w:color w:val="000000" w:themeColor="text1"/>
          <w:sz w:val="30"/>
          <w:szCs w:val="30"/>
        </w:rPr>
      </w:pPr>
      <w:bookmarkStart w:id="223" w:name="_Toc144243759"/>
      <w:bookmarkStart w:id="224" w:name="_Toc181472951"/>
      <w:r>
        <w:rPr>
          <w:b/>
          <w:color w:val="000000" w:themeColor="text1"/>
          <w:sz w:val="30"/>
          <w:szCs w:val="30"/>
        </w:rPr>
        <w:t xml:space="preserve">8.2 </w:t>
      </w:r>
      <w:r>
        <w:rPr>
          <w:rFonts w:hint="eastAsia"/>
          <w:b/>
          <w:color w:val="000000" w:themeColor="text1"/>
          <w:sz w:val="30"/>
          <w:szCs w:val="30"/>
        </w:rPr>
        <w:t>规划建设内容及投资估算</w:t>
      </w:r>
      <w:bookmarkEnd w:id="223"/>
      <w:bookmarkEnd w:id="224"/>
    </w:p>
    <w:p w14:paraId="55B1F42D">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再生水工程近期建设实施计划仅是按平阴县城市发展规划建设进度进行初步性的安排。在实施中本着先主后次，先急后缓的原则，也可根据实际情况进行工程期限和工程项目的调整。</w:t>
      </w:r>
    </w:p>
    <w:p w14:paraId="7C4FC0E0">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1、近期规划建设</w:t>
      </w:r>
    </w:p>
    <w:p w14:paraId="71CCAF41">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近期规划新扩建再生水供水工程5处，新建再生水供水管网总长约5</w:t>
      </w:r>
      <w:r>
        <w:rPr>
          <w:bCs/>
          <w:color w:val="000000" w:themeColor="text1"/>
          <w:sz w:val="28"/>
          <w:szCs w:val="28"/>
        </w:rPr>
        <w:t>0</w:t>
      </w:r>
      <w:r>
        <w:rPr>
          <w:rFonts w:hint="eastAsia"/>
          <w:bCs/>
          <w:color w:val="000000" w:themeColor="text1"/>
          <w:sz w:val="28"/>
          <w:szCs w:val="28"/>
        </w:rPr>
        <w:t>km；再生水利用工程项目近期规划投资约4.76亿元，具体详见表</w:t>
      </w:r>
      <w:r>
        <w:rPr>
          <w:bCs/>
          <w:color w:val="000000" w:themeColor="text1"/>
          <w:sz w:val="28"/>
          <w:szCs w:val="28"/>
        </w:rPr>
        <w:t>8.2</w:t>
      </w:r>
      <w:r>
        <w:rPr>
          <w:rFonts w:hint="eastAsia"/>
          <w:bCs/>
          <w:color w:val="000000" w:themeColor="text1"/>
          <w:sz w:val="28"/>
          <w:szCs w:val="28"/>
        </w:rPr>
        <w:t>。</w:t>
      </w:r>
    </w:p>
    <w:p w14:paraId="54B29A8C">
      <w:pPr>
        <w:autoSpaceDE w:val="0"/>
        <w:autoSpaceDN w:val="0"/>
        <w:spacing w:line="600" w:lineRule="exact"/>
        <w:ind w:firstLine="560" w:firstLineChars="200"/>
        <w:textAlignment w:val="baseline"/>
        <w:rPr>
          <w:bCs/>
          <w:color w:val="000000" w:themeColor="text1"/>
          <w:sz w:val="28"/>
          <w:szCs w:val="28"/>
        </w:rPr>
      </w:pPr>
      <w:r>
        <w:rPr>
          <w:bCs/>
          <w:color w:val="000000" w:themeColor="text1"/>
          <w:sz w:val="28"/>
          <w:szCs w:val="28"/>
        </w:rPr>
        <w:t>2</w:t>
      </w:r>
      <w:r>
        <w:rPr>
          <w:rFonts w:hint="eastAsia"/>
          <w:bCs/>
          <w:color w:val="000000" w:themeColor="text1"/>
          <w:sz w:val="28"/>
          <w:szCs w:val="28"/>
        </w:rPr>
        <w:t>、远期规划建设</w:t>
      </w:r>
    </w:p>
    <w:p w14:paraId="62DFD592">
      <w:pPr>
        <w:autoSpaceDE w:val="0"/>
        <w:autoSpaceDN w:val="0"/>
        <w:spacing w:line="600" w:lineRule="exact"/>
        <w:ind w:firstLine="560" w:firstLineChars="200"/>
        <w:textAlignment w:val="baseline"/>
        <w:rPr>
          <w:bCs/>
          <w:color w:val="000000" w:themeColor="text1"/>
          <w:sz w:val="28"/>
          <w:szCs w:val="28"/>
        </w:rPr>
      </w:pPr>
      <w:r>
        <w:rPr>
          <w:rFonts w:hint="eastAsia"/>
          <w:bCs/>
          <w:color w:val="000000" w:themeColor="text1"/>
          <w:sz w:val="28"/>
          <w:szCs w:val="28"/>
        </w:rPr>
        <w:t>远期规划新扩建再生水供水工程</w:t>
      </w:r>
      <w:r>
        <w:rPr>
          <w:bCs/>
          <w:color w:val="000000" w:themeColor="text1"/>
          <w:sz w:val="28"/>
          <w:szCs w:val="28"/>
        </w:rPr>
        <w:t>8</w:t>
      </w:r>
      <w:r>
        <w:rPr>
          <w:rFonts w:hint="eastAsia"/>
          <w:bCs/>
          <w:color w:val="000000" w:themeColor="text1"/>
          <w:sz w:val="28"/>
          <w:szCs w:val="28"/>
        </w:rPr>
        <w:t>处，新建再生水供水管网总长约3</w:t>
      </w:r>
      <w:r>
        <w:rPr>
          <w:bCs/>
          <w:color w:val="000000" w:themeColor="text1"/>
          <w:sz w:val="28"/>
          <w:szCs w:val="28"/>
        </w:rPr>
        <w:t>0</w:t>
      </w:r>
      <w:r>
        <w:rPr>
          <w:rFonts w:hint="eastAsia"/>
          <w:bCs/>
          <w:color w:val="000000" w:themeColor="text1"/>
          <w:sz w:val="28"/>
          <w:szCs w:val="28"/>
        </w:rPr>
        <w:t>km；再生水利用工程项目远期规划投资约3.66亿元，具体详见表</w:t>
      </w:r>
      <w:r>
        <w:rPr>
          <w:bCs/>
          <w:color w:val="000000" w:themeColor="text1"/>
          <w:sz w:val="28"/>
          <w:szCs w:val="28"/>
        </w:rPr>
        <w:t>8.2</w:t>
      </w:r>
      <w:r>
        <w:rPr>
          <w:rFonts w:hint="eastAsia"/>
          <w:bCs/>
          <w:color w:val="000000" w:themeColor="text1"/>
          <w:sz w:val="28"/>
          <w:szCs w:val="28"/>
        </w:rPr>
        <w:t>。</w:t>
      </w:r>
    </w:p>
    <w:p w14:paraId="5A065804">
      <w:pPr>
        <w:autoSpaceDE w:val="0"/>
        <w:autoSpaceDN w:val="0"/>
        <w:spacing w:line="600" w:lineRule="exact"/>
        <w:jc w:val="center"/>
        <w:textAlignment w:val="baseline"/>
        <w:rPr>
          <w:b/>
          <w:color w:val="000000" w:themeColor="text1"/>
          <w:sz w:val="24"/>
        </w:rPr>
      </w:pPr>
      <w:r>
        <w:rPr>
          <w:rFonts w:hint="eastAsia"/>
          <w:b/>
          <w:color w:val="000000" w:themeColor="text1"/>
          <w:sz w:val="24"/>
        </w:rPr>
        <w:t>表</w:t>
      </w:r>
      <w:r>
        <w:rPr>
          <w:b/>
          <w:color w:val="000000" w:themeColor="text1"/>
          <w:sz w:val="24"/>
        </w:rPr>
        <w:t xml:space="preserve">8.2  </w:t>
      </w:r>
      <w:r>
        <w:rPr>
          <w:rFonts w:hint="eastAsia"/>
          <w:b/>
          <w:color w:val="000000" w:themeColor="text1"/>
          <w:sz w:val="24"/>
        </w:rPr>
        <w:t>平阴县规划年再生水供水工程建设规划及投资估算</w:t>
      </w:r>
    </w:p>
    <w:tbl>
      <w:tblPr>
        <w:tblStyle w:val="46"/>
        <w:tblW w:w="8637" w:type="dxa"/>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2513"/>
        <w:gridCol w:w="1009"/>
        <w:gridCol w:w="1007"/>
        <w:gridCol w:w="856"/>
        <w:gridCol w:w="838"/>
        <w:gridCol w:w="865"/>
        <w:gridCol w:w="850"/>
      </w:tblGrid>
      <w:tr w14:paraId="62DCD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vMerge w:val="restart"/>
            <w:noWrap/>
            <w:vAlign w:val="center"/>
          </w:tcPr>
          <w:p w14:paraId="5F769CDD">
            <w:pPr>
              <w:widowControl/>
              <w:adjustRightInd w:val="0"/>
              <w:snapToGrid w:val="0"/>
              <w:jc w:val="center"/>
              <w:rPr>
                <w:color w:val="000000"/>
                <w:kern w:val="0"/>
                <w:sz w:val="22"/>
                <w:szCs w:val="22"/>
              </w:rPr>
            </w:pPr>
            <w:r>
              <w:rPr>
                <w:color w:val="000000"/>
                <w:kern w:val="0"/>
                <w:sz w:val="22"/>
                <w:szCs w:val="22"/>
              </w:rPr>
              <w:t>序号</w:t>
            </w:r>
          </w:p>
        </w:tc>
        <w:tc>
          <w:tcPr>
            <w:tcW w:w="2513" w:type="dxa"/>
            <w:vMerge w:val="restart"/>
            <w:noWrap/>
            <w:vAlign w:val="center"/>
          </w:tcPr>
          <w:p w14:paraId="646CB535">
            <w:pPr>
              <w:widowControl/>
              <w:adjustRightInd w:val="0"/>
              <w:snapToGrid w:val="0"/>
              <w:jc w:val="center"/>
              <w:rPr>
                <w:color w:val="000000"/>
                <w:kern w:val="0"/>
                <w:sz w:val="22"/>
                <w:szCs w:val="22"/>
              </w:rPr>
            </w:pPr>
            <w:r>
              <w:rPr>
                <w:color w:val="000000"/>
                <w:kern w:val="0"/>
                <w:sz w:val="22"/>
                <w:szCs w:val="22"/>
              </w:rPr>
              <w:t>建设项目</w:t>
            </w:r>
          </w:p>
        </w:tc>
        <w:tc>
          <w:tcPr>
            <w:tcW w:w="2872" w:type="dxa"/>
            <w:gridSpan w:val="3"/>
            <w:noWrap/>
            <w:vAlign w:val="center"/>
          </w:tcPr>
          <w:p w14:paraId="397093D0">
            <w:pPr>
              <w:widowControl/>
              <w:adjustRightInd w:val="0"/>
              <w:snapToGrid w:val="0"/>
              <w:jc w:val="center"/>
              <w:rPr>
                <w:color w:val="000000"/>
                <w:kern w:val="0"/>
                <w:sz w:val="22"/>
                <w:szCs w:val="22"/>
              </w:rPr>
            </w:pPr>
            <w:r>
              <w:rPr>
                <w:color w:val="000000"/>
                <w:kern w:val="0"/>
                <w:sz w:val="22"/>
                <w:szCs w:val="22"/>
              </w:rPr>
              <w:t>近期规划/万元</w:t>
            </w:r>
          </w:p>
        </w:tc>
        <w:tc>
          <w:tcPr>
            <w:tcW w:w="2553" w:type="dxa"/>
            <w:gridSpan w:val="3"/>
            <w:noWrap/>
            <w:vAlign w:val="center"/>
          </w:tcPr>
          <w:p w14:paraId="2EE35912">
            <w:pPr>
              <w:widowControl/>
              <w:adjustRightInd w:val="0"/>
              <w:snapToGrid w:val="0"/>
              <w:jc w:val="center"/>
              <w:rPr>
                <w:color w:val="000000"/>
                <w:kern w:val="0"/>
                <w:sz w:val="22"/>
                <w:szCs w:val="22"/>
              </w:rPr>
            </w:pPr>
            <w:r>
              <w:rPr>
                <w:color w:val="000000"/>
                <w:kern w:val="0"/>
                <w:sz w:val="22"/>
                <w:szCs w:val="22"/>
              </w:rPr>
              <w:t>远期规划/万元</w:t>
            </w:r>
          </w:p>
        </w:tc>
      </w:tr>
      <w:tr w14:paraId="743BB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vMerge w:val="continue"/>
            <w:vAlign w:val="center"/>
          </w:tcPr>
          <w:p w14:paraId="4E4EFCF4">
            <w:pPr>
              <w:widowControl/>
              <w:adjustRightInd w:val="0"/>
              <w:snapToGrid w:val="0"/>
              <w:jc w:val="left"/>
              <w:rPr>
                <w:color w:val="000000"/>
                <w:kern w:val="0"/>
                <w:sz w:val="22"/>
                <w:szCs w:val="22"/>
              </w:rPr>
            </w:pPr>
          </w:p>
        </w:tc>
        <w:tc>
          <w:tcPr>
            <w:tcW w:w="2513" w:type="dxa"/>
            <w:vMerge w:val="continue"/>
            <w:vAlign w:val="center"/>
          </w:tcPr>
          <w:p w14:paraId="474AFD4C">
            <w:pPr>
              <w:widowControl/>
              <w:adjustRightInd w:val="0"/>
              <w:snapToGrid w:val="0"/>
              <w:jc w:val="left"/>
              <w:rPr>
                <w:color w:val="000000"/>
                <w:kern w:val="0"/>
                <w:sz w:val="22"/>
                <w:szCs w:val="22"/>
              </w:rPr>
            </w:pPr>
          </w:p>
        </w:tc>
        <w:tc>
          <w:tcPr>
            <w:tcW w:w="1009" w:type="dxa"/>
            <w:noWrap/>
            <w:vAlign w:val="center"/>
          </w:tcPr>
          <w:p w14:paraId="22E43297">
            <w:pPr>
              <w:widowControl/>
              <w:adjustRightInd w:val="0"/>
              <w:snapToGrid w:val="0"/>
              <w:jc w:val="center"/>
              <w:rPr>
                <w:color w:val="000000"/>
                <w:kern w:val="0"/>
                <w:sz w:val="22"/>
                <w:szCs w:val="22"/>
              </w:rPr>
            </w:pPr>
            <w:r>
              <w:rPr>
                <w:color w:val="000000"/>
                <w:kern w:val="0"/>
                <w:sz w:val="22"/>
                <w:szCs w:val="22"/>
              </w:rPr>
              <w:t>水厂</w:t>
            </w:r>
          </w:p>
        </w:tc>
        <w:tc>
          <w:tcPr>
            <w:tcW w:w="1007" w:type="dxa"/>
            <w:noWrap/>
            <w:vAlign w:val="center"/>
          </w:tcPr>
          <w:p w14:paraId="437BE2F0">
            <w:pPr>
              <w:widowControl/>
              <w:adjustRightInd w:val="0"/>
              <w:snapToGrid w:val="0"/>
              <w:jc w:val="center"/>
              <w:rPr>
                <w:color w:val="000000"/>
                <w:kern w:val="0"/>
                <w:sz w:val="22"/>
                <w:szCs w:val="22"/>
              </w:rPr>
            </w:pPr>
            <w:r>
              <w:rPr>
                <w:color w:val="000000"/>
                <w:kern w:val="0"/>
                <w:sz w:val="22"/>
                <w:szCs w:val="22"/>
              </w:rPr>
              <w:t>供水</w:t>
            </w:r>
          </w:p>
          <w:p w14:paraId="27758680">
            <w:pPr>
              <w:widowControl/>
              <w:adjustRightInd w:val="0"/>
              <w:snapToGrid w:val="0"/>
              <w:jc w:val="center"/>
              <w:rPr>
                <w:color w:val="000000"/>
                <w:kern w:val="0"/>
                <w:sz w:val="22"/>
                <w:szCs w:val="22"/>
              </w:rPr>
            </w:pPr>
            <w:r>
              <w:rPr>
                <w:color w:val="000000"/>
                <w:kern w:val="0"/>
                <w:sz w:val="22"/>
                <w:szCs w:val="22"/>
              </w:rPr>
              <w:t>管网</w:t>
            </w:r>
          </w:p>
        </w:tc>
        <w:tc>
          <w:tcPr>
            <w:tcW w:w="856" w:type="dxa"/>
            <w:noWrap/>
            <w:vAlign w:val="center"/>
          </w:tcPr>
          <w:p w14:paraId="62B5A674">
            <w:pPr>
              <w:widowControl/>
              <w:adjustRightInd w:val="0"/>
              <w:snapToGrid w:val="0"/>
              <w:jc w:val="center"/>
              <w:rPr>
                <w:color w:val="000000"/>
                <w:kern w:val="0"/>
                <w:sz w:val="22"/>
                <w:szCs w:val="22"/>
              </w:rPr>
            </w:pPr>
            <w:r>
              <w:rPr>
                <w:color w:val="000000"/>
                <w:kern w:val="0"/>
                <w:sz w:val="22"/>
                <w:szCs w:val="22"/>
              </w:rPr>
              <w:t>小计</w:t>
            </w:r>
          </w:p>
        </w:tc>
        <w:tc>
          <w:tcPr>
            <w:tcW w:w="838" w:type="dxa"/>
            <w:noWrap/>
            <w:vAlign w:val="center"/>
          </w:tcPr>
          <w:p w14:paraId="6DBF94B1">
            <w:pPr>
              <w:widowControl/>
              <w:adjustRightInd w:val="0"/>
              <w:snapToGrid w:val="0"/>
              <w:jc w:val="center"/>
              <w:rPr>
                <w:color w:val="000000"/>
                <w:kern w:val="0"/>
                <w:sz w:val="22"/>
                <w:szCs w:val="22"/>
              </w:rPr>
            </w:pPr>
            <w:r>
              <w:rPr>
                <w:color w:val="000000"/>
                <w:kern w:val="0"/>
                <w:sz w:val="22"/>
                <w:szCs w:val="22"/>
              </w:rPr>
              <w:t>水厂</w:t>
            </w:r>
          </w:p>
        </w:tc>
        <w:tc>
          <w:tcPr>
            <w:tcW w:w="865" w:type="dxa"/>
            <w:noWrap/>
            <w:vAlign w:val="center"/>
          </w:tcPr>
          <w:p w14:paraId="48DA7524">
            <w:pPr>
              <w:widowControl/>
              <w:adjustRightInd w:val="0"/>
              <w:snapToGrid w:val="0"/>
              <w:jc w:val="center"/>
              <w:rPr>
                <w:color w:val="000000"/>
                <w:kern w:val="0"/>
                <w:sz w:val="22"/>
                <w:szCs w:val="22"/>
              </w:rPr>
            </w:pPr>
            <w:r>
              <w:rPr>
                <w:color w:val="000000"/>
                <w:kern w:val="0"/>
                <w:sz w:val="22"/>
                <w:szCs w:val="22"/>
              </w:rPr>
              <w:t>供水</w:t>
            </w:r>
          </w:p>
          <w:p w14:paraId="69B8415C">
            <w:pPr>
              <w:widowControl/>
              <w:adjustRightInd w:val="0"/>
              <w:snapToGrid w:val="0"/>
              <w:jc w:val="center"/>
              <w:rPr>
                <w:color w:val="000000"/>
                <w:kern w:val="0"/>
                <w:sz w:val="22"/>
                <w:szCs w:val="22"/>
              </w:rPr>
            </w:pPr>
            <w:r>
              <w:rPr>
                <w:color w:val="000000"/>
                <w:kern w:val="0"/>
                <w:sz w:val="22"/>
                <w:szCs w:val="22"/>
              </w:rPr>
              <w:t>管网</w:t>
            </w:r>
          </w:p>
        </w:tc>
        <w:tc>
          <w:tcPr>
            <w:tcW w:w="850" w:type="dxa"/>
            <w:noWrap/>
            <w:vAlign w:val="center"/>
          </w:tcPr>
          <w:p w14:paraId="5CB05863">
            <w:pPr>
              <w:widowControl/>
              <w:adjustRightInd w:val="0"/>
              <w:snapToGrid w:val="0"/>
              <w:jc w:val="center"/>
              <w:rPr>
                <w:color w:val="000000"/>
                <w:kern w:val="0"/>
                <w:sz w:val="22"/>
                <w:szCs w:val="22"/>
              </w:rPr>
            </w:pPr>
            <w:r>
              <w:rPr>
                <w:color w:val="000000"/>
                <w:kern w:val="0"/>
                <w:sz w:val="22"/>
                <w:szCs w:val="22"/>
              </w:rPr>
              <w:t>小计</w:t>
            </w:r>
          </w:p>
        </w:tc>
      </w:tr>
      <w:tr w14:paraId="5AFBB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3136A946">
            <w:pPr>
              <w:widowControl/>
              <w:adjustRightInd w:val="0"/>
              <w:snapToGrid w:val="0"/>
              <w:jc w:val="center"/>
              <w:rPr>
                <w:rFonts w:eastAsia="等线"/>
                <w:color w:val="000000"/>
                <w:kern w:val="0"/>
                <w:sz w:val="22"/>
                <w:szCs w:val="22"/>
              </w:rPr>
            </w:pPr>
            <w:r>
              <w:rPr>
                <w:rFonts w:eastAsia="等线"/>
                <w:color w:val="000000"/>
              </w:rPr>
              <w:t>1</w:t>
            </w:r>
          </w:p>
        </w:tc>
        <w:tc>
          <w:tcPr>
            <w:tcW w:w="2513" w:type="dxa"/>
            <w:noWrap/>
            <w:vAlign w:val="center"/>
          </w:tcPr>
          <w:p w14:paraId="1908B647">
            <w:pPr>
              <w:widowControl/>
              <w:adjustRightInd w:val="0"/>
              <w:snapToGrid w:val="0"/>
              <w:jc w:val="center"/>
              <w:rPr>
                <w:color w:val="000000"/>
                <w:kern w:val="0"/>
                <w:sz w:val="22"/>
                <w:szCs w:val="22"/>
              </w:rPr>
            </w:pPr>
            <w:bookmarkStart w:id="225" w:name="_Hlk190788104"/>
            <w:r>
              <w:rPr>
                <w:rFonts w:hint="eastAsia"/>
                <w:color w:val="000000"/>
              </w:rPr>
              <w:t>城区再生水利用工程</w:t>
            </w:r>
            <w:bookmarkEnd w:id="225"/>
          </w:p>
        </w:tc>
        <w:tc>
          <w:tcPr>
            <w:tcW w:w="1009" w:type="dxa"/>
            <w:noWrap/>
            <w:vAlign w:val="center"/>
          </w:tcPr>
          <w:p w14:paraId="7E457F15">
            <w:pPr>
              <w:widowControl/>
              <w:adjustRightInd w:val="0"/>
              <w:snapToGrid w:val="0"/>
              <w:jc w:val="center"/>
              <w:rPr>
                <w:rFonts w:eastAsia="等线"/>
                <w:color w:val="000000"/>
                <w:kern w:val="0"/>
                <w:sz w:val="22"/>
                <w:szCs w:val="22"/>
              </w:rPr>
            </w:pPr>
            <w:r>
              <w:rPr>
                <w:rFonts w:eastAsia="等线"/>
                <w:color w:val="000000"/>
                <w:szCs w:val="21"/>
              </w:rPr>
              <w:t>5500</w:t>
            </w:r>
          </w:p>
        </w:tc>
        <w:tc>
          <w:tcPr>
            <w:tcW w:w="1007" w:type="dxa"/>
            <w:noWrap/>
            <w:vAlign w:val="center"/>
          </w:tcPr>
          <w:p w14:paraId="4B2938CC">
            <w:pPr>
              <w:widowControl/>
              <w:adjustRightInd w:val="0"/>
              <w:snapToGrid w:val="0"/>
              <w:jc w:val="center"/>
              <w:rPr>
                <w:rFonts w:eastAsia="等线"/>
                <w:color w:val="000000"/>
                <w:kern w:val="0"/>
                <w:sz w:val="22"/>
                <w:szCs w:val="22"/>
              </w:rPr>
            </w:pPr>
            <w:r>
              <w:rPr>
                <w:rFonts w:eastAsia="等线"/>
                <w:color w:val="000000"/>
                <w:szCs w:val="21"/>
              </w:rPr>
              <w:t>2800</w:t>
            </w:r>
          </w:p>
        </w:tc>
        <w:tc>
          <w:tcPr>
            <w:tcW w:w="856" w:type="dxa"/>
            <w:noWrap/>
            <w:vAlign w:val="center"/>
          </w:tcPr>
          <w:p w14:paraId="0774C0CE">
            <w:pPr>
              <w:widowControl/>
              <w:adjustRightInd w:val="0"/>
              <w:snapToGrid w:val="0"/>
              <w:jc w:val="center"/>
              <w:rPr>
                <w:rFonts w:eastAsia="等线"/>
                <w:color w:val="000000"/>
                <w:kern w:val="0"/>
                <w:sz w:val="22"/>
                <w:szCs w:val="22"/>
              </w:rPr>
            </w:pPr>
            <w:r>
              <w:rPr>
                <w:rFonts w:eastAsia="等线"/>
                <w:color w:val="000000"/>
                <w:szCs w:val="21"/>
              </w:rPr>
              <w:t>8300</w:t>
            </w:r>
          </w:p>
        </w:tc>
        <w:tc>
          <w:tcPr>
            <w:tcW w:w="838" w:type="dxa"/>
            <w:noWrap/>
            <w:vAlign w:val="center"/>
          </w:tcPr>
          <w:p w14:paraId="25155862">
            <w:pPr>
              <w:widowControl/>
              <w:adjustRightInd w:val="0"/>
              <w:snapToGrid w:val="0"/>
              <w:jc w:val="center"/>
              <w:rPr>
                <w:rFonts w:eastAsia="等线"/>
                <w:color w:val="000000"/>
                <w:kern w:val="0"/>
                <w:sz w:val="22"/>
                <w:szCs w:val="22"/>
              </w:rPr>
            </w:pPr>
            <w:r>
              <w:rPr>
                <w:rFonts w:eastAsia="等线"/>
                <w:color w:val="000000"/>
                <w:szCs w:val="21"/>
              </w:rPr>
              <w:t>-</w:t>
            </w:r>
          </w:p>
        </w:tc>
        <w:tc>
          <w:tcPr>
            <w:tcW w:w="865" w:type="dxa"/>
            <w:noWrap/>
            <w:vAlign w:val="center"/>
          </w:tcPr>
          <w:p w14:paraId="3EEC6E42">
            <w:pPr>
              <w:widowControl/>
              <w:adjustRightInd w:val="0"/>
              <w:snapToGrid w:val="0"/>
              <w:jc w:val="center"/>
              <w:rPr>
                <w:rFonts w:eastAsia="等线"/>
                <w:color w:val="000000"/>
                <w:kern w:val="0"/>
                <w:sz w:val="22"/>
                <w:szCs w:val="22"/>
              </w:rPr>
            </w:pPr>
            <w:r>
              <w:rPr>
                <w:rFonts w:eastAsia="等线"/>
                <w:color w:val="000000"/>
                <w:szCs w:val="21"/>
              </w:rPr>
              <w:t>-</w:t>
            </w:r>
          </w:p>
        </w:tc>
        <w:tc>
          <w:tcPr>
            <w:tcW w:w="850" w:type="dxa"/>
            <w:noWrap/>
            <w:vAlign w:val="center"/>
          </w:tcPr>
          <w:p w14:paraId="0F4EBED5">
            <w:pPr>
              <w:widowControl/>
              <w:adjustRightInd w:val="0"/>
              <w:snapToGrid w:val="0"/>
              <w:jc w:val="center"/>
              <w:rPr>
                <w:rFonts w:eastAsia="等线"/>
                <w:color w:val="000000"/>
                <w:kern w:val="0"/>
                <w:sz w:val="22"/>
                <w:szCs w:val="22"/>
              </w:rPr>
            </w:pPr>
            <w:r>
              <w:rPr>
                <w:rFonts w:eastAsia="等线"/>
                <w:color w:val="000000"/>
                <w:szCs w:val="21"/>
              </w:rPr>
              <w:t>-</w:t>
            </w:r>
          </w:p>
        </w:tc>
      </w:tr>
      <w:tr w14:paraId="062E8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05BED6E7">
            <w:pPr>
              <w:widowControl/>
              <w:adjustRightInd w:val="0"/>
              <w:snapToGrid w:val="0"/>
              <w:jc w:val="center"/>
              <w:rPr>
                <w:rFonts w:eastAsia="等线"/>
                <w:color w:val="000000"/>
                <w:kern w:val="0"/>
                <w:sz w:val="22"/>
                <w:szCs w:val="22"/>
              </w:rPr>
            </w:pPr>
            <w:r>
              <w:rPr>
                <w:rFonts w:eastAsia="等线"/>
                <w:color w:val="000000"/>
              </w:rPr>
              <w:t>2</w:t>
            </w:r>
          </w:p>
        </w:tc>
        <w:tc>
          <w:tcPr>
            <w:tcW w:w="2513" w:type="dxa"/>
            <w:noWrap/>
            <w:vAlign w:val="center"/>
          </w:tcPr>
          <w:p w14:paraId="0547147E">
            <w:pPr>
              <w:widowControl/>
              <w:adjustRightInd w:val="0"/>
              <w:snapToGrid w:val="0"/>
              <w:jc w:val="center"/>
              <w:rPr>
                <w:color w:val="000000"/>
                <w:kern w:val="0"/>
                <w:sz w:val="22"/>
                <w:szCs w:val="22"/>
              </w:rPr>
            </w:pPr>
            <w:bookmarkStart w:id="226" w:name="_Hlk190788115"/>
            <w:r>
              <w:rPr>
                <w:rFonts w:hint="eastAsia"/>
                <w:color w:val="000000"/>
              </w:rPr>
              <w:t>锦水河西支综合治理工程</w:t>
            </w:r>
            <w:bookmarkEnd w:id="226"/>
            <w:r>
              <w:rPr>
                <w:rFonts w:hint="eastAsia"/>
                <w:color w:val="000000"/>
              </w:rPr>
              <w:t>（污水处理厂建设）</w:t>
            </w:r>
          </w:p>
        </w:tc>
        <w:tc>
          <w:tcPr>
            <w:tcW w:w="1009" w:type="dxa"/>
            <w:noWrap/>
            <w:vAlign w:val="center"/>
          </w:tcPr>
          <w:p w14:paraId="12E9DE92">
            <w:pPr>
              <w:widowControl/>
              <w:adjustRightInd w:val="0"/>
              <w:snapToGrid w:val="0"/>
              <w:jc w:val="center"/>
              <w:rPr>
                <w:rFonts w:eastAsia="等线"/>
                <w:color w:val="000000"/>
                <w:kern w:val="0"/>
                <w:sz w:val="22"/>
                <w:szCs w:val="22"/>
              </w:rPr>
            </w:pPr>
            <w:r>
              <w:rPr>
                <w:rFonts w:eastAsia="等线"/>
                <w:color w:val="000000"/>
                <w:szCs w:val="21"/>
              </w:rPr>
              <w:t>15000</w:t>
            </w:r>
          </w:p>
        </w:tc>
        <w:tc>
          <w:tcPr>
            <w:tcW w:w="1007" w:type="dxa"/>
            <w:noWrap/>
            <w:vAlign w:val="center"/>
          </w:tcPr>
          <w:p w14:paraId="310C54BE">
            <w:pPr>
              <w:widowControl/>
              <w:adjustRightInd w:val="0"/>
              <w:snapToGrid w:val="0"/>
              <w:jc w:val="center"/>
              <w:rPr>
                <w:rFonts w:eastAsia="等线"/>
                <w:color w:val="000000"/>
                <w:kern w:val="0"/>
                <w:sz w:val="22"/>
                <w:szCs w:val="22"/>
              </w:rPr>
            </w:pPr>
            <w:r>
              <w:rPr>
                <w:rFonts w:eastAsia="等线"/>
                <w:color w:val="000000"/>
                <w:szCs w:val="21"/>
              </w:rPr>
              <w:t>4500</w:t>
            </w:r>
          </w:p>
        </w:tc>
        <w:tc>
          <w:tcPr>
            <w:tcW w:w="856" w:type="dxa"/>
            <w:noWrap/>
            <w:vAlign w:val="center"/>
          </w:tcPr>
          <w:p w14:paraId="411BBE5C">
            <w:pPr>
              <w:widowControl/>
              <w:adjustRightInd w:val="0"/>
              <w:snapToGrid w:val="0"/>
              <w:jc w:val="center"/>
              <w:rPr>
                <w:rFonts w:eastAsia="等线"/>
                <w:color w:val="000000"/>
                <w:kern w:val="0"/>
                <w:sz w:val="22"/>
                <w:szCs w:val="22"/>
              </w:rPr>
            </w:pPr>
            <w:r>
              <w:rPr>
                <w:rFonts w:eastAsia="等线"/>
                <w:color w:val="000000"/>
                <w:szCs w:val="21"/>
              </w:rPr>
              <w:t>19500</w:t>
            </w:r>
          </w:p>
        </w:tc>
        <w:tc>
          <w:tcPr>
            <w:tcW w:w="838" w:type="dxa"/>
            <w:noWrap/>
            <w:vAlign w:val="center"/>
          </w:tcPr>
          <w:p w14:paraId="6062B83F">
            <w:pPr>
              <w:widowControl/>
              <w:adjustRightInd w:val="0"/>
              <w:snapToGrid w:val="0"/>
              <w:jc w:val="center"/>
              <w:rPr>
                <w:rFonts w:eastAsia="等线"/>
                <w:color w:val="000000"/>
                <w:kern w:val="0"/>
                <w:sz w:val="22"/>
                <w:szCs w:val="22"/>
              </w:rPr>
            </w:pPr>
            <w:r>
              <w:rPr>
                <w:rFonts w:eastAsia="等线"/>
                <w:color w:val="000000"/>
                <w:szCs w:val="21"/>
              </w:rPr>
              <w:t>-</w:t>
            </w:r>
          </w:p>
        </w:tc>
        <w:tc>
          <w:tcPr>
            <w:tcW w:w="865" w:type="dxa"/>
            <w:noWrap/>
            <w:vAlign w:val="center"/>
          </w:tcPr>
          <w:p w14:paraId="46432725">
            <w:pPr>
              <w:widowControl/>
              <w:adjustRightInd w:val="0"/>
              <w:snapToGrid w:val="0"/>
              <w:jc w:val="center"/>
              <w:rPr>
                <w:rFonts w:eastAsia="等线"/>
                <w:color w:val="000000"/>
                <w:kern w:val="0"/>
                <w:sz w:val="22"/>
                <w:szCs w:val="22"/>
              </w:rPr>
            </w:pPr>
            <w:r>
              <w:rPr>
                <w:rFonts w:eastAsia="等线"/>
                <w:color w:val="000000"/>
                <w:szCs w:val="21"/>
              </w:rPr>
              <w:t>-</w:t>
            </w:r>
          </w:p>
        </w:tc>
        <w:tc>
          <w:tcPr>
            <w:tcW w:w="850" w:type="dxa"/>
            <w:noWrap/>
            <w:vAlign w:val="center"/>
          </w:tcPr>
          <w:p w14:paraId="1941A39D">
            <w:pPr>
              <w:widowControl/>
              <w:adjustRightInd w:val="0"/>
              <w:snapToGrid w:val="0"/>
              <w:jc w:val="center"/>
              <w:rPr>
                <w:rFonts w:eastAsia="等线"/>
                <w:color w:val="000000"/>
                <w:kern w:val="0"/>
                <w:sz w:val="22"/>
                <w:szCs w:val="22"/>
              </w:rPr>
            </w:pPr>
            <w:r>
              <w:rPr>
                <w:rFonts w:eastAsia="等线"/>
                <w:color w:val="000000"/>
                <w:szCs w:val="21"/>
              </w:rPr>
              <w:t>-</w:t>
            </w:r>
          </w:p>
        </w:tc>
      </w:tr>
      <w:tr w14:paraId="18FE6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4282B532">
            <w:pPr>
              <w:widowControl/>
              <w:adjustRightInd w:val="0"/>
              <w:snapToGrid w:val="0"/>
              <w:jc w:val="center"/>
              <w:rPr>
                <w:rFonts w:eastAsia="等线"/>
                <w:color w:val="000000"/>
                <w:kern w:val="0"/>
                <w:sz w:val="22"/>
                <w:szCs w:val="22"/>
              </w:rPr>
            </w:pPr>
            <w:r>
              <w:rPr>
                <w:rFonts w:eastAsia="等线"/>
                <w:color w:val="000000"/>
              </w:rPr>
              <w:t>3</w:t>
            </w:r>
          </w:p>
        </w:tc>
        <w:tc>
          <w:tcPr>
            <w:tcW w:w="2513" w:type="dxa"/>
            <w:noWrap/>
            <w:vAlign w:val="center"/>
          </w:tcPr>
          <w:p w14:paraId="2B6E2152">
            <w:pPr>
              <w:widowControl/>
              <w:adjustRightInd w:val="0"/>
              <w:snapToGrid w:val="0"/>
              <w:jc w:val="center"/>
              <w:rPr>
                <w:color w:val="000000"/>
                <w:kern w:val="0"/>
                <w:sz w:val="22"/>
                <w:szCs w:val="22"/>
              </w:rPr>
            </w:pPr>
            <w:bookmarkStart w:id="227" w:name="_Hlk190788148"/>
            <w:r>
              <w:rPr>
                <w:rFonts w:hint="eastAsia"/>
                <w:color w:val="000000"/>
              </w:rPr>
              <w:t>锦水河西支再生水利用工程</w:t>
            </w:r>
            <w:bookmarkEnd w:id="227"/>
          </w:p>
        </w:tc>
        <w:tc>
          <w:tcPr>
            <w:tcW w:w="1009" w:type="dxa"/>
            <w:noWrap/>
            <w:vAlign w:val="center"/>
          </w:tcPr>
          <w:p w14:paraId="3B011EAE">
            <w:pPr>
              <w:widowControl/>
              <w:adjustRightInd w:val="0"/>
              <w:snapToGrid w:val="0"/>
              <w:jc w:val="center"/>
              <w:rPr>
                <w:rFonts w:eastAsia="等线"/>
                <w:color w:val="000000"/>
                <w:kern w:val="0"/>
                <w:sz w:val="22"/>
                <w:szCs w:val="22"/>
              </w:rPr>
            </w:pPr>
            <w:r>
              <w:rPr>
                <w:rFonts w:eastAsia="等线"/>
                <w:color w:val="000000"/>
                <w:szCs w:val="21"/>
              </w:rPr>
              <w:t>-</w:t>
            </w:r>
          </w:p>
        </w:tc>
        <w:tc>
          <w:tcPr>
            <w:tcW w:w="1007" w:type="dxa"/>
            <w:noWrap/>
            <w:vAlign w:val="center"/>
          </w:tcPr>
          <w:p w14:paraId="3502D586">
            <w:pPr>
              <w:widowControl/>
              <w:adjustRightInd w:val="0"/>
              <w:snapToGrid w:val="0"/>
              <w:jc w:val="center"/>
              <w:rPr>
                <w:rFonts w:eastAsia="等线"/>
                <w:color w:val="000000"/>
                <w:kern w:val="0"/>
                <w:sz w:val="22"/>
                <w:szCs w:val="22"/>
              </w:rPr>
            </w:pPr>
            <w:r>
              <w:rPr>
                <w:rFonts w:eastAsia="等线"/>
                <w:color w:val="000000"/>
                <w:szCs w:val="21"/>
              </w:rPr>
              <w:t>-</w:t>
            </w:r>
          </w:p>
        </w:tc>
        <w:tc>
          <w:tcPr>
            <w:tcW w:w="856" w:type="dxa"/>
            <w:noWrap/>
            <w:vAlign w:val="center"/>
          </w:tcPr>
          <w:p w14:paraId="48C64720">
            <w:pPr>
              <w:widowControl/>
              <w:adjustRightInd w:val="0"/>
              <w:snapToGrid w:val="0"/>
              <w:jc w:val="center"/>
              <w:rPr>
                <w:rFonts w:eastAsia="等线"/>
                <w:color w:val="000000"/>
                <w:kern w:val="0"/>
                <w:sz w:val="22"/>
                <w:szCs w:val="22"/>
              </w:rPr>
            </w:pPr>
            <w:r>
              <w:rPr>
                <w:rFonts w:eastAsia="等线"/>
                <w:color w:val="000000"/>
                <w:szCs w:val="21"/>
              </w:rPr>
              <w:t>-</w:t>
            </w:r>
          </w:p>
        </w:tc>
        <w:tc>
          <w:tcPr>
            <w:tcW w:w="838" w:type="dxa"/>
            <w:noWrap/>
            <w:vAlign w:val="center"/>
          </w:tcPr>
          <w:p w14:paraId="79A38178">
            <w:pPr>
              <w:widowControl/>
              <w:adjustRightInd w:val="0"/>
              <w:snapToGrid w:val="0"/>
              <w:jc w:val="center"/>
              <w:rPr>
                <w:rFonts w:eastAsia="等线"/>
                <w:color w:val="000000"/>
                <w:kern w:val="0"/>
                <w:sz w:val="22"/>
                <w:szCs w:val="22"/>
              </w:rPr>
            </w:pPr>
            <w:r>
              <w:rPr>
                <w:rFonts w:eastAsia="等线"/>
                <w:color w:val="000000"/>
                <w:szCs w:val="21"/>
              </w:rPr>
              <w:t>5500</w:t>
            </w:r>
          </w:p>
        </w:tc>
        <w:tc>
          <w:tcPr>
            <w:tcW w:w="865" w:type="dxa"/>
            <w:noWrap/>
            <w:vAlign w:val="center"/>
          </w:tcPr>
          <w:p w14:paraId="10AAD98C">
            <w:pPr>
              <w:widowControl/>
              <w:adjustRightInd w:val="0"/>
              <w:snapToGrid w:val="0"/>
              <w:jc w:val="center"/>
              <w:rPr>
                <w:rFonts w:eastAsia="等线"/>
                <w:color w:val="000000"/>
                <w:kern w:val="0"/>
                <w:sz w:val="22"/>
                <w:szCs w:val="22"/>
              </w:rPr>
            </w:pPr>
            <w:r>
              <w:rPr>
                <w:rFonts w:eastAsia="等线"/>
                <w:color w:val="000000"/>
                <w:szCs w:val="21"/>
              </w:rPr>
              <w:t>2500</w:t>
            </w:r>
          </w:p>
        </w:tc>
        <w:tc>
          <w:tcPr>
            <w:tcW w:w="850" w:type="dxa"/>
            <w:noWrap/>
            <w:vAlign w:val="center"/>
          </w:tcPr>
          <w:p w14:paraId="05689A91">
            <w:pPr>
              <w:widowControl/>
              <w:adjustRightInd w:val="0"/>
              <w:snapToGrid w:val="0"/>
              <w:jc w:val="center"/>
              <w:rPr>
                <w:rFonts w:eastAsia="等线"/>
                <w:color w:val="000000"/>
                <w:kern w:val="0"/>
                <w:sz w:val="22"/>
                <w:szCs w:val="22"/>
              </w:rPr>
            </w:pPr>
            <w:r>
              <w:rPr>
                <w:rFonts w:eastAsia="等线"/>
                <w:color w:val="000000"/>
                <w:szCs w:val="21"/>
              </w:rPr>
              <w:t>8000</w:t>
            </w:r>
          </w:p>
        </w:tc>
      </w:tr>
      <w:tr w14:paraId="2C931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72486380">
            <w:pPr>
              <w:widowControl/>
              <w:adjustRightInd w:val="0"/>
              <w:snapToGrid w:val="0"/>
              <w:jc w:val="center"/>
              <w:rPr>
                <w:rFonts w:eastAsia="等线"/>
                <w:color w:val="000000"/>
                <w:kern w:val="0"/>
                <w:sz w:val="22"/>
                <w:szCs w:val="22"/>
              </w:rPr>
            </w:pPr>
            <w:bookmarkStart w:id="228" w:name="_Hlk190788122"/>
            <w:bookmarkStart w:id="229" w:name="_Hlk190788160"/>
            <w:r>
              <w:rPr>
                <w:rFonts w:eastAsia="等线"/>
                <w:color w:val="000000"/>
              </w:rPr>
              <w:t>4</w:t>
            </w:r>
          </w:p>
        </w:tc>
        <w:tc>
          <w:tcPr>
            <w:tcW w:w="2513" w:type="dxa"/>
            <w:noWrap/>
            <w:vAlign w:val="center"/>
          </w:tcPr>
          <w:p w14:paraId="5E1E1B23">
            <w:pPr>
              <w:widowControl/>
              <w:adjustRightInd w:val="0"/>
              <w:snapToGrid w:val="0"/>
              <w:jc w:val="center"/>
              <w:rPr>
                <w:color w:val="000000"/>
                <w:kern w:val="0"/>
                <w:sz w:val="22"/>
                <w:szCs w:val="22"/>
              </w:rPr>
            </w:pPr>
            <w:r>
              <w:rPr>
                <w:rFonts w:hint="eastAsia"/>
                <w:color w:val="000000"/>
              </w:rPr>
              <w:t>平阴再生水调水工程</w:t>
            </w:r>
          </w:p>
        </w:tc>
        <w:tc>
          <w:tcPr>
            <w:tcW w:w="1009" w:type="dxa"/>
            <w:noWrap/>
            <w:vAlign w:val="center"/>
          </w:tcPr>
          <w:p w14:paraId="4403EE73">
            <w:pPr>
              <w:widowControl/>
              <w:adjustRightInd w:val="0"/>
              <w:snapToGrid w:val="0"/>
              <w:jc w:val="center"/>
              <w:rPr>
                <w:rFonts w:eastAsia="等线"/>
                <w:color w:val="000000"/>
                <w:kern w:val="0"/>
                <w:sz w:val="22"/>
                <w:szCs w:val="22"/>
              </w:rPr>
            </w:pPr>
            <w:r>
              <w:rPr>
                <w:rFonts w:eastAsia="等线"/>
                <w:color w:val="000000"/>
                <w:szCs w:val="21"/>
              </w:rPr>
              <w:t>2600</w:t>
            </w:r>
          </w:p>
        </w:tc>
        <w:tc>
          <w:tcPr>
            <w:tcW w:w="1007" w:type="dxa"/>
            <w:noWrap/>
            <w:vAlign w:val="center"/>
          </w:tcPr>
          <w:p w14:paraId="65DF785C">
            <w:pPr>
              <w:widowControl/>
              <w:adjustRightInd w:val="0"/>
              <w:snapToGrid w:val="0"/>
              <w:jc w:val="center"/>
              <w:rPr>
                <w:rFonts w:eastAsia="等线"/>
                <w:color w:val="000000"/>
                <w:kern w:val="0"/>
                <w:sz w:val="22"/>
                <w:szCs w:val="22"/>
              </w:rPr>
            </w:pPr>
            <w:r>
              <w:rPr>
                <w:rFonts w:eastAsia="等线"/>
                <w:color w:val="000000"/>
                <w:szCs w:val="21"/>
              </w:rPr>
              <w:t>3000</w:t>
            </w:r>
          </w:p>
        </w:tc>
        <w:tc>
          <w:tcPr>
            <w:tcW w:w="856" w:type="dxa"/>
            <w:noWrap/>
            <w:vAlign w:val="center"/>
          </w:tcPr>
          <w:p w14:paraId="49193F4F">
            <w:pPr>
              <w:widowControl/>
              <w:adjustRightInd w:val="0"/>
              <w:snapToGrid w:val="0"/>
              <w:jc w:val="center"/>
              <w:rPr>
                <w:rFonts w:eastAsia="等线"/>
                <w:color w:val="000000"/>
                <w:kern w:val="0"/>
                <w:sz w:val="22"/>
                <w:szCs w:val="22"/>
              </w:rPr>
            </w:pPr>
            <w:r>
              <w:rPr>
                <w:rFonts w:eastAsia="等线"/>
                <w:color w:val="000000"/>
                <w:szCs w:val="21"/>
              </w:rPr>
              <w:t>5600</w:t>
            </w:r>
          </w:p>
        </w:tc>
        <w:tc>
          <w:tcPr>
            <w:tcW w:w="838" w:type="dxa"/>
            <w:noWrap/>
            <w:vAlign w:val="center"/>
          </w:tcPr>
          <w:p w14:paraId="689E8407">
            <w:pPr>
              <w:widowControl/>
              <w:adjustRightInd w:val="0"/>
              <w:snapToGrid w:val="0"/>
              <w:jc w:val="center"/>
              <w:rPr>
                <w:rFonts w:eastAsia="等线"/>
                <w:color w:val="000000"/>
                <w:kern w:val="0"/>
                <w:sz w:val="22"/>
                <w:szCs w:val="22"/>
              </w:rPr>
            </w:pPr>
            <w:r>
              <w:rPr>
                <w:rFonts w:eastAsia="等线"/>
                <w:color w:val="000000"/>
                <w:szCs w:val="21"/>
              </w:rPr>
              <w:t>2000</w:t>
            </w:r>
          </w:p>
        </w:tc>
        <w:tc>
          <w:tcPr>
            <w:tcW w:w="865" w:type="dxa"/>
            <w:noWrap/>
            <w:vAlign w:val="center"/>
          </w:tcPr>
          <w:p w14:paraId="243BE194">
            <w:pPr>
              <w:widowControl/>
              <w:adjustRightInd w:val="0"/>
              <w:snapToGrid w:val="0"/>
              <w:jc w:val="center"/>
              <w:rPr>
                <w:rFonts w:eastAsia="等线"/>
                <w:color w:val="000000"/>
                <w:kern w:val="0"/>
                <w:sz w:val="22"/>
                <w:szCs w:val="22"/>
              </w:rPr>
            </w:pPr>
            <w:r>
              <w:rPr>
                <w:rFonts w:eastAsia="等线"/>
                <w:color w:val="000000"/>
                <w:szCs w:val="21"/>
              </w:rPr>
              <w:t>1800</w:t>
            </w:r>
          </w:p>
        </w:tc>
        <w:tc>
          <w:tcPr>
            <w:tcW w:w="850" w:type="dxa"/>
            <w:noWrap/>
            <w:vAlign w:val="center"/>
          </w:tcPr>
          <w:p w14:paraId="2849A6DC">
            <w:pPr>
              <w:widowControl/>
              <w:adjustRightInd w:val="0"/>
              <w:snapToGrid w:val="0"/>
              <w:jc w:val="center"/>
              <w:rPr>
                <w:rFonts w:eastAsia="等线"/>
                <w:color w:val="000000"/>
                <w:kern w:val="0"/>
                <w:sz w:val="22"/>
                <w:szCs w:val="22"/>
              </w:rPr>
            </w:pPr>
            <w:r>
              <w:rPr>
                <w:rFonts w:eastAsia="等线"/>
                <w:color w:val="000000"/>
                <w:szCs w:val="21"/>
              </w:rPr>
              <w:t>3800</w:t>
            </w:r>
          </w:p>
        </w:tc>
      </w:tr>
      <w:tr w14:paraId="37B79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215922FB">
            <w:pPr>
              <w:widowControl/>
              <w:adjustRightInd w:val="0"/>
              <w:snapToGrid w:val="0"/>
              <w:jc w:val="center"/>
              <w:rPr>
                <w:rFonts w:eastAsia="等线"/>
                <w:color w:val="000000"/>
                <w:kern w:val="0"/>
                <w:sz w:val="22"/>
                <w:szCs w:val="22"/>
              </w:rPr>
            </w:pPr>
            <w:r>
              <w:rPr>
                <w:rFonts w:eastAsia="等线"/>
                <w:color w:val="000000"/>
              </w:rPr>
              <w:t>5</w:t>
            </w:r>
          </w:p>
        </w:tc>
        <w:tc>
          <w:tcPr>
            <w:tcW w:w="2513" w:type="dxa"/>
            <w:noWrap/>
            <w:vAlign w:val="center"/>
          </w:tcPr>
          <w:p w14:paraId="739FCA20">
            <w:pPr>
              <w:widowControl/>
              <w:adjustRightInd w:val="0"/>
              <w:snapToGrid w:val="0"/>
              <w:jc w:val="center"/>
              <w:rPr>
                <w:color w:val="000000"/>
                <w:kern w:val="0"/>
                <w:sz w:val="22"/>
                <w:szCs w:val="22"/>
              </w:rPr>
            </w:pPr>
            <w:r>
              <w:rPr>
                <w:rFonts w:hint="eastAsia"/>
                <w:color w:val="000000"/>
              </w:rPr>
              <w:t>安城镇再生水厂</w:t>
            </w:r>
          </w:p>
        </w:tc>
        <w:tc>
          <w:tcPr>
            <w:tcW w:w="1009" w:type="dxa"/>
            <w:noWrap/>
            <w:vAlign w:val="center"/>
          </w:tcPr>
          <w:p w14:paraId="541A30C0">
            <w:pPr>
              <w:widowControl/>
              <w:adjustRightInd w:val="0"/>
              <w:snapToGrid w:val="0"/>
              <w:jc w:val="center"/>
              <w:rPr>
                <w:rFonts w:eastAsia="等线"/>
                <w:color w:val="000000"/>
                <w:kern w:val="0"/>
                <w:sz w:val="22"/>
                <w:szCs w:val="22"/>
              </w:rPr>
            </w:pPr>
            <w:r>
              <w:rPr>
                <w:rFonts w:eastAsia="等线"/>
                <w:color w:val="000000"/>
                <w:szCs w:val="21"/>
              </w:rPr>
              <w:t>5300</w:t>
            </w:r>
          </w:p>
        </w:tc>
        <w:tc>
          <w:tcPr>
            <w:tcW w:w="1007" w:type="dxa"/>
            <w:noWrap/>
            <w:vAlign w:val="center"/>
          </w:tcPr>
          <w:p w14:paraId="0BCD0ACC">
            <w:pPr>
              <w:widowControl/>
              <w:adjustRightInd w:val="0"/>
              <w:snapToGrid w:val="0"/>
              <w:jc w:val="center"/>
              <w:rPr>
                <w:rFonts w:eastAsia="等线"/>
                <w:color w:val="000000"/>
                <w:kern w:val="0"/>
                <w:sz w:val="22"/>
                <w:szCs w:val="22"/>
              </w:rPr>
            </w:pPr>
            <w:r>
              <w:rPr>
                <w:rFonts w:eastAsia="等线"/>
                <w:color w:val="000000"/>
                <w:szCs w:val="21"/>
              </w:rPr>
              <w:t>2600</w:t>
            </w:r>
          </w:p>
        </w:tc>
        <w:tc>
          <w:tcPr>
            <w:tcW w:w="856" w:type="dxa"/>
            <w:noWrap/>
            <w:vAlign w:val="center"/>
          </w:tcPr>
          <w:p w14:paraId="5423EDCE">
            <w:pPr>
              <w:widowControl/>
              <w:adjustRightInd w:val="0"/>
              <w:snapToGrid w:val="0"/>
              <w:jc w:val="center"/>
              <w:rPr>
                <w:rFonts w:eastAsia="等线"/>
                <w:color w:val="000000"/>
                <w:kern w:val="0"/>
                <w:sz w:val="22"/>
                <w:szCs w:val="22"/>
              </w:rPr>
            </w:pPr>
            <w:r>
              <w:rPr>
                <w:rFonts w:eastAsia="等线"/>
                <w:color w:val="000000"/>
                <w:szCs w:val="21"/>
              </w:rPr>
              <w:t>7900</w:t>
            </w:r>
          </w:p>
        </w:tc>
        <w:tc>
          <w:tcPr>
            <w:tcW w:w="838" w:type="dxa"/>
            <w:noWrap/>
            <w:vAlign w:val="center"/>
          </w:tcPr>
          <w:p w14:paraId="0166CC6F">
            <w:pPr>
              <w:widowControl/>
              <w:adjustRightInd w:val="0"/>
              <w:snapToGrid w:val="0"/>
              <w:jc w:val="center"/>
              <w:rPr>
                <w:rFonts w:eastAsia="等线"/>
                <w:color w:val="000000"/>
                <w:kern w:val="0"/>
                <w:sz w:val="22"/>
                <w:szCs w:val="22"/>
              </w:rPr>
            </w:pPr>
            <w:r>
              <w:rPr>
                <w:rFonts w:eastAsia="等线"/>
                <w:color w:val="000000"/>
                <w:szCs w:val="21"/>
              </w:rPr>
              <w:t>3000</w:t>
            </w:r>
          </w:p>
        </w:tc>
        <w:tc>
          <w:tcPr>
            <w:tcW w:w="865" w:type="dxa"/>
            <w:noWrap/>
            <w:vAlign w:val="center"/>
          </w:tcPr>
          <w:p w14:paraId="5FBD7492">
            <w:pPr>
              <w:widowControl/>
              <w:adjustRightInd w:val="0"/>
              <w:snapToGrid w:val="0"/>
              <w:jc w:val="center"/>
              <w:rPr>
                <w:rFonts w:eastAsia="等线"/>
                <w:color w:val="000000"/>
                <w:kern w:val="0"/>
                <w:sz w:val="22"/>
                <w:szCs w:val="22"/>
              </w:rPr>
            </w:pPr>
            <w:r>
              <w:rPr>
                <w:rFonts w:eastAsia="等线"/>
                <w:color w:val="000000"/>
                <w:szCs w:val="21"/>
              </w:rPr>
              <w:t>1500</w:t>
            </w:r>
          </w:p>
        </w:tc>
        <w:tc>
          <w:tcPr>
            <w:tcW w:w="850" w:type="dxa"/>
            <w:noWrap/>
            <w:vAlign w:val="center"/>
          </w:tcPr>
          <w:p w14:paraId="022DF25D">
            <w:pPr>
              <w:widowControl/>
              <w:adjustRightInd w:val="0"/>
              <w:snapToGrid w:val="0"/>
              <w:jc w:val="center"/>
              <w:rPr>
                <w:rFonts w:eastAsia="等线"/>
                <w:color w:val="000000"/>
                <w:kern w:val="0"/>
                <w:sz w:val="22"/>
                <w:szCs w:val="22"/>
              </w:rPr>
            </w:pPr>
            <w:r>
              <w:rPr>
                <w:rFonts w:eastAsia="等线"/>
                <w:color w:val="000000"/>
                <w:szCs w:val="21"/>
              </w:rPr>
              <w:t>4500</w:t>
            </w:r>
          </w:p>
        </w:tc>
      </w:tr>
      <w:bookmarkEnd w:id="228"/>
      <w:tr w14:paraId="39BFA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197F0053">
            <w:pPr>
              <w:widowControl/>
              <w:adjustRightInd w:val="0"/>
              <w:snapToGrid w:val="0"/>
              <w:jc w:val="center"/>
              <w:rPr>
                <w:rFonts w:eastAsia="等线"/>
                <w:color w:val="000000"/>
                <w:kern w:val="0"/>
                <w:sz w:val="22"/>
                <w:szCs w:val="22"/>
              </w:rPr>
            </w:pPr>
            <w:r>
              <w:rPr>
                <w:rFonts w:eastAsia="等线"/>
                <w:color w:val="000000"/>
              </w:rPr>
              <w:t>6</w:t>
            </w:r>
          </w:p>
        </w:tc>
        <w:tc>
          <w:tcPr>
            <w:tcW w:w="2513" w:type="dxa"/>
            <w:noWrap/>
            <w:vAlign w:val="center"/>
          </w:tcPr>
          <w:p w14:paraId="383C32FD">
            <w:pPr>
              <w:widowControl/>
              <w:adjustRightInd w:val="0"/>
              <w:snapToGrid w:val="0"/>
              <w:jc w:val="center"/>
              <w:rPr>
                <w:color w:val="000000"/>
                <w:kern w:val="0"/>
                <w:sz w:val="22"/>
                <w:szCs w:val="22"/>
              </w:rPr>
            </w:pPr>
            <w:r>
              <w:rPr>
                <w:rFonts w:hint="eastAsia"/>
                <w:color w:val="000000"/>
              </w:rPr>
              <w:t>东阿镇再生水厂</w:t>
            </w:r>
          </w:p>
        </w:tc>
        <w:tc>
          <w:tcPr>
            <w:tcW w:w="1009" w:type="dxa"/>
            <w:noWrap/>
            <w:vAlign w:val="center"/>
          </w:tcPr>
          <w:p w14:paraId="787CEEA5">
            <w:pPr>
              <w:widowControl/>
              <w:adjustRightInd w:val="0"/>
              <w:snapToGrid w:val="0"/>
              <w:jc w:val="center"/>
              <w:rPr>
                <w:rFonts w:eastAsia="等线"/>
                <w:color w:val="000000"/>
                <w:kern w:val="0"/>
                <w:sz w:val="22"/>
                <w:szCs w:val="22"/>
              </w:rPr>
            </w:pPr>
            <w:r>
              <w:rPr>
                <w:rFonts w:eastAsia="等线"/>
                <w:color w:val="000000"/>
                <w:szCs w:val="21"/>
              </w:rPr>
              <w:t>-</w:t>
            </w:r>
          </w:p>
        </w:tc>
        <w:tc>
          <w:tcPr>
            <w:tcW w:w="1007" w:type="dxa"/>
            <w:noWrap/>
            <w:vAlign w:val="center"/>
          </w:tcPr>
          <w:p w14:paraId="6BDC2EDE">
            <w:pPr>
              <w:widowControl/>
              <w:adjustRightInd w:val="0"/>
              <w:snapToGrid w:val="0"/>
              <w:jc w:val="center"/>
              <w:rPr>
                <w:rFonts w:eastAsia="等线"/>
                <w:color w:val="000000"/>
                <w:kern w:val="0"/>
                <w:sz w:val="22"/>
                <w:szCs w:val="22"/>
              </w:rPr>
            </w:pPr>
            <w:r>
              <w:rPr>
                <w:rFonts w:eastAsia="等线"/>
                <w:color w:val="000000"/>
                <w:szCs w:val="21"/>
              </w:rPr>
              <w:t>-</w:t>
            </w:r>
          </w:p>
        </w:tc>
        <w:tc>
          <w:tcPr>
            <w:tcW w:w="856" w:type="dxa"/>
            <w:noWrap/>
            <w:vAlign w:val="center"/>
          </w:tcPr>
          <w:p w14:paraId="78FEEF75">
            <w:pPr>
              <w:widowControl/>
              <w:adjustRightInd w:val="0"/>
              <w:snapToGrid w:val="0"/>
              <w:jc w:val="center"/>
              <w:rPr>
                <w:rFonts w:eastAsia="等线"/>
                <w:color w:val="000000"/>
                <w:kern w:val="0"/>
                <w:sz w:val="22"/>
                <w:szCs w:val="22"/>
              </w:rPr>
            </w:pPr>
            <w:r>
              <w:rPr>
                <w:rFonts w:eastAsia="等线"/>
                <w:color w:val="000000"/>
                <w:szCs w:val="21"/>
              </w:rPr>
              <w:t>-</w:t>
            </w:r>
          </w:p>
        </w:tc>
        <w:tc>
          <w:tcPr>
            <w:tcW w:w="838" w:type="dxa"/>
            <w:noWrap/>
            <w:vAlign w:val="center"/>
          </w:tcPr>
          <w:p w14:paraId="67356299">
            <w:pPr>
              <w:widowControl/>
              <w:adjustRightInd w:val="0"/>
              <w:snapToGrid w:val="0"/>
              <w:jc w:val="center"/>
              <w:rPr>
                <w:rFonts w:eastAsia="等线"/>
                <w:color w:val="000000"/>
                <w:kern w:val="0"/>
                <w:sz w:val="22"/>
                <w:szCs w:val="22"/>
              </w:rPr>
            </w:pPr>
            <w:r>
              <w:rPr>
                <w:rFonts w:eastAsia="等线"/>
                <w:color w:val="000000"/>
                <w:szCs w:val="21"/>
              </w:rPr>
              <w:t>2200</w:t>
            </w:r>
          </w:p>
        </w:tc>
        <w:tc>
          <w:tcPr>
            <w:tcW w:w="865" w:type="dxa"/>
            <w:noWrap/>
            <w:vAlign w:val="center"/>
          </w:tcPr>
          <w:p w14:paraId="0614749B">
            <w:pPr>
              <w:widowControl/>
              <w:adjustRightInd w:val="0"/>
              <w:snapToGrid w:val="0"/>
              <w:jc w:val="center"/>
              <w:rPr>
                <w:rFonts w:eastAsia="等线"/>
                <w:color w:val="000000"/>
                <w:kern w:val="0"/>
                <w:sz w:val="22"/>
                <w:szCs w:val="22"/>
              </w:rPr>
            </w:pPr>
            <w:r>
              <w:rPr>
                <w:rFonts w:eastAsia="等线"/>
                <w:color w:val="000000"/>
                <w:szCs w:val="21"/>
              </w:rPr>
              <w:t>1200</w:t>
            </w:r>
          </w:p>
        </w:tc>
        <w:tc>
          <w:tcPr>
            <w:tcW w:w="850" w:type="dxa"/>
            <w:noWrap/>
            <w:vAlign w:val="center"/>
          </w:tcPr>
          <w:p w14:paraId="59CA1CCC">
            <w:pPr>
              <w:widowControl/>
              <w:adjustRightInd w:val="0"/>
              <w:snapToGrid w:val="0"/>
              <w:jc w:val="center"/>
              <w:rPr>
                <w:rFonts w:eastAsia="等线"/>
                <w:color w:val="000000"/>
                <w:kern w:val="0"/>
                <w:sz w:val="22"/>
                <w:szCs w:val="22"/>
              </w:rPr>
            </w:pPr>
            <w:r>
              <w:rPr>
                <w:rFonts w:eastAsia="等线"/>
                <w:color w:val="000000"/>
                <w:szCs w:val="21"/>
              </w:rPr>
              <w:t>3400</w:t>
            </w:r>
          </w:p>
        </w:tc>
      </w:tr>
      <w:tr w14:paraId="57A7D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0903B69F">
            <w:pPr>
              <w:widowControl/>
              <w:adjustRightInd w:val="0"/>
              <w:snapToGrid w:val="0"/>
              <w:jc w:val="center"/>
              <w:rPr>
                <w:rFonts w:eastAsia="等线"/>
                <w:color w:val="000000"/>
                <w:kern w:val="0"/>
                <w:sz w:val="22"/>
                <w:szCs w:val="22"/>
              </w:rPr>
            </w:pPr>
            <w:r>
              <w:rPr>
                <w:rFonts w:eastAsia="等线"/>
                <w:color w:val="000000"/>
              </w:rPr>
              <w:t>7</w:t>
            </w:r>
          </w:p>
        </w:tc>
        <w:tc>
          <w:tcPr>
            <w:tcW w:w="2513" w:type="dxa"/>
            <w:vAlign w:val="center"/>
          </w:tcPr>
          <w:p w14:paraId="6E81AA54">
            <w:pPr>
              <w:widowControl/>
              <w:adjustRightInd w:val="0"/>
              <w:snapToGrid w:val="0"/>
              <w:jc w:val="center"/>
              <w:rPr>
                <w:color w:val="000000"/>
                <w:kern w:val="0"/>
                <w:sz w:val="22"/>
                <w:szCs w:val="22"/>
              </w:rPr>
            </w:pPr>
            <w:bookmarkStart w:id="230" w:name="_Hlk190788130"/>
            <w:r>
              <w:rPr>
                <w:rFonts w:hint="eastAsia"/>
                <w:color w:val="000000"/>
              </w:rPr>
              <w:t>孔村镇再生水厂</w:t>
            </w:r>
            <w:bookmarkEnd w:id="230"/>
          </w:p>
        </w:tc>
        <w:tc>
          <w:tcPr>
            <w:tcW w:w="1009" w:type="dxa"/>
            <w:noWrap/>
            <w:vAlign w:val="center"/>
          </w:tcPr>
          <w:p w14:paraId="7F705E09">
            <w:pPr>
              <w:widowControl/>
              <w:adjustRightInd w:val="0"/>
              <w:snapToGrid w:val="0"/>
              <w:jc w:val="center"/>
              <w:rPr>
                <w:rFonts w:eastAsia="等线"/>
                <w:color w:val="000000"/>
                <w:kern w:val="0"/>
                <w:sz w:val="22"/>
                <w:szCs w:val="22"/>
              </w:rPr>
            </w:pPr>
            <w:r>
              <w:rPr>
                <w:rFonts w:eastAsia="等线"/>
                <w:color w:val="000000"/>
                <w:szCs w:val="21"/>
              </w:rPr>
              <w:t>3500</w:t>
            </w:r>
          </w:p>
        </w:tc>
        <w:tc>
          <w:tcPr>
            <w:tcW w:w="1007" w:type="dxa"/>
            <w:noWrap/>
            <w:vAlign w:val="center"/>
          </w:tcPr>
          <w:p w14:paraId="14D4737C">
            <w:pPr>
              <w:widowControl/>
              <w:adjustRightInd w:val="0"/>
              <w:snapToGrid w:val="0"/>
              <w:jc w:val="center"/>
              <w:rPr>
                <w:rFonts w:eastAsia="等线"/>
                <w:color w:val="000000"/>
                <w:kern w:val="0"/>
                <w:sz w:val="22"/>
                <w:szCs w:val="22"/>
              </w:rPr>
            </w:pPr>
            <w:r>
              <w:rPr>
                <w:rFonts w:eastAsia="等线"/>
                <w:color w:val="000000"/>
                <w:szCs w:val="21"/>
              </w:rPr>
              <w:t>2800</w:t>
            </w:r>
          </w:p>
        </w:tc>
        <w:tc>
          <w:tcPr>
            <w:tcW w:w="856" w:type="dxa"/>
            <w:noWrap/>
            <w:vAlign w:val="center"/>
          </w:tcPr>
          <w:p w14:paraId="355F2B66">
            <w:pPr>
              <w:widowControl/>
              <w:adjustRightInd w:val="0"/>
              <w:snapToGrid w:val="0"/>
              <w:jc w:val="center"/>
              <w:rPr>
                <w:rFonts w:eastAsia="等线"/>
                <w:color w:val="000000"/>
                <w:kern w:val="0"/>
                <w:sz w:val="22"/>
                <w:szCs w:val="22"/>
              </w:rPr>
            </w:pPr>
            <w:r>
              <w:rPr>
                <w:rFonts w:eastAsia="等线"/>
                <w:color w:val="000000"/>
                <w:szCs w:val="21"/>
              </w:rPr>
              <w:t>6300</w:t>
            </w:r>
          </w:p>
        </w:tc>
        <w:tc>
          <w:tcPr>
            <w:tcW w:w="838" w:type="dxa"/>
            <w:noWrap/>
            <w:vAlign w:val="center"/>
          </w:tcPr>
          <w:p w14:paraId="1F10A93F">
            <w:pPr>
              <w:widowControl/>
              <w:adjustRightInd w:val="0"/>
              <w:snapToGrid w:val="0"/>
              <w:jc w:val="center"/>
              <w:rPr>
                <w:rFonts w:eastAsia="等线"/>
                <w:color w:val="000000"/>
                <w:kern w:val="0"/>
                <w:sz w:val="22"/>
                <w:szCs w:val="22"/>
              </w:rPr>
            </w:pPr>
            <w:r>
              <w:rPr>
                <w:rFonts w:eastAsia="等线"/>
                <w:color w:val="000000"/>
                <w:szCs w:val="21"/>
              </w:rPr>
              <w:t>2700</w:t>
            </w:r>
          </w:p>
        </w:tc>
        <w:tc>
          <w:tcPr>
            <w:tcW w:w="865" w:type="dxa"/>
            <w:noWrap/>
            <w:vAlign w:val="center"/>
          </w:tcPr>
          <w:p w14:paraId="5D398A69">
            <w:pPr>
              <w:widowControl/>
              <w:adjustRightInd w:val="0"/>
              <w:snapToGrid w:val="0"/>
              <w:jc w:val="center"/>
              <w:rPr>
                <w:rFonts w:eastAsia="等线"/>
                <w:color w:val="000000"/>
                <w:kern w:val="0"/>
                <w:sz w:val="22"/>
                <w:szCs w:val="22"/>
              </w:rPr>
            </w:pPr>
            <w:r>
              <w:rPr>
                <w:rFonts w:eastAsia="等线"/>
                <w:color w:val="000000"/>
                <w:szCs w:val="21"/>
              </w:rPr>
              <w:t>1500</w:t>
            </w:r>
          </w:p>
        </w:tc>
        <w:tc>
          <w:tcPr>
            <w:tcW w:w="850" w:type="dxa"/>
            <w:noWrap/>
            <w:vAlign w:val="center"/>
          </w:tcPr>
          <w:p w14:paraId="037FC4A7">
            <w:pPr>
              <w:widowControl/>
              <w:adjustRightInd w:val="0"/>
              <w:snapToGrid w:val="0"/>
              <w:jc w:val="center"/>
              <w:rPr>
                <w:rFonts w:eastAsia="等线"/>
                <w:color w:val="000000"/>
                <w:kern w:val="0"/>
                <w:sz w:val="22"/>
                <w:szCs w:val="22"/>
              </w:rPr>
            </w:pPr>
            <w:r>
              <w:rPr>
                <w:rFonts w:eastAsia="等线"/>
                <w:color w:val="000000"/>
                <w:szCs w:val="21"/>
              </w:rPr>
              <w:t>4200</w:t>
            </w:r>
          </w:p>
        </w:tc>
      </w:tr>
      <w:tr w14:paraId="38790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5D70F541">
            <w:pPr>
              <w:widowControl/>
              <w:adjustRightInd w:val="0"/>
              <w:snapToGrid w:val="0"/>
              <w:jc w:val="center"/>
              <w:rPr>
                <w:rFonts w:eastAsia="等线"/>
                <w:color w:val="000000"/>
                <w:kern w:val="0"/>
                <w:sz w:val="22"/>
                <w:szCs w:val="22"/>
              </w:rPr>
            </w:pPr>
            <w:r>
              <w:rPr>
                <w:rFonts w:eastAsia="等线"/>
                <w:color w:val="000000"/>
              </w:rPr>
              <w:t>8</w:t>
            </w:r>
          </w:p>
        </w:tc>
        <w:tc>
          <w:tcPr>
            <w:tcW w:w="2513" w:type="dxa"/>
            <w:vAlign w:val="center"/>
          </w:tcPr>
          <w:p w14:paraId="517DA5CA">
            <w:pPr>
              <w:widowControl/>
              <w:adjustRightInd w:val="0"/>
              <w:snapToGrid w:val="0"/>
              <w:jc w:val="center"/>
              <w:rPr>
                <w:color w:val="000000"/>
                <w:kern w:val="0"/>
                <w:sz w:val="22"/>
                <w:szCs w:val="22"/>
              </w:rPr>
            </w:pPr>
            <w:r>
              <w:rPr>
                <w:rFonts w:hint="eastAsia"/>
                <w:color w:val="000000"/>
              </w:rPr>
              <w:t>孝直镇再生水厂</w:t>
            </w:r>
          </w:p>
        </w:tc>
        <w:tc>
          <w:tcPr>
            <w:tcW w:w="1009" w:type="dxa"/>
            <w:noWrap/>
            <w:vAlign w:val="center"/>
          </w:tcPr>
          <w:p w14:paraId="5C4E14CB">
            <w:pPr>
              <w:widowControl/>
              <w:adjustRightInd w:val="0"/>
              <w:snapToGrid w:val="0"/>
              <w:jc w:val="center"/>
              <w:rPr>
                <w:rFonts w:eastAsia="等线"/>
                <w:color w:val="000000"/>
                <w:kern w:val="0"/>
                <w:sz w:val="22"/>
                <w:szCs w:val="22"/>
              </w:rPr>
            </w:pPr>
            <w:r>
              <w:rPr>
                <w:rFonts w:hint="eastAsia" w:eastAsia="等线"/>
                <w:color w:val="000000"/>
                <w:kern w:val="0"/>
                <w:sz w:val="22"/>
                <w:szCs w:val="22"/>
              </w:rPr>
              <w:t>-</w:t>
            </w:r>
          </w:p>
        </w:tc>
        <w:tc>
          <w:tcPr>
            <w:tcW w:w="1007" w:type="dxa"/>
            <w:noWrap/>
            <w:vAlign w:val="center"/>
          </w:tcPr>
          <w:p w14:paraId="3A80847E">
            <w:pPr>
              <w:widowControl/>
              <w:adjustRightInd w:val="0"/>
              <w:snapToGrid w:val="0"/>
              <w:jc w:val="center"/>
              <w:rPr>
                <w:rFonts w:eastAsia="等线"/>
                <w:color w:val="000000"/>
                <w:kern w:val="0"/>
                <w:sz w:val="22"/>
                <w:szCs w:val="22"/>
              </w:rPr>
            </w:pPr>
            <w:r>
              <w:rPr>
                <w:rFonts w:eastAsia="等线"/>
                <w:color w:val="000000"/>
                <w:szCs w:val="21"/>
              </w:rPr>
              <w:t>-</w:t>
            </w:r>
          </w:p>
        </w:tc>
        <w:tc>
          <w:tcPr>
            <w:tcW w:w="856" w:type="dxa"/>
            <w:noWrap/>
            <w:vAlign w:val="center"/>
          </w:tcPr>
          <w:p w14:paraId="6F6799F5">
            <w:pPr>
              <w:widowControl/>
              <w:adjustRightInd w:val="0"/>
              <w:snapToGrid w:val="0"/>
              <w:jc w:val="center"/>
              <w:rPr>
                <w:rFonts w:eastAsia="等线"/>
                <w:color w:val="000000"/>
                <w:kern w:val="0"/>
                <w:sz w:val="22"/>
                <w:szCs w:val="22"/>
              </w:rPr>
            </w:pPr>
            <w:r>
              <w:rPr>
                <w:rFonts w:eastAsia="等线"/>
                <w:color w:val="000000"/>
                <w:szCs w:val="21"/>
              </w:rPr>
              <w:t>-</w:t>
            </w:r>
          </w:p>
        </w:tc>
        <w:tc>
          <w:tcPr>
            <w:tcW w:w="838" w:type="dxa"/>
            <w:noWrap/>
            <w:vAlign w:val="center"/>
          </w:tcPr>
          <w:p w14:paraId="748A3114">
            <w:pPr>
              <w:widowControl/>
              <w:adjustRightInd w:val="0"/>
              <w:snapToGrid w:val="0"/>
              <w:jc w:val="center"/>
              <w:rPr>
                <w:rFonts w:eastAsia="等线"/>
                <w:color w:val="000000"/>
                <w:kern w:val="0"/>
                <w:sz w:val="22"/>
                <w:szCs w:val="22"/>
              </w:rPr>
            </w:pPr>
            <w:r>
              <w:rPr>
                <w:rFonts w:eastAsia="等线"/>
                <w:color w:val="000000"/>
                <w:szCs w:val="21"/>
              </w:rPr>
              <w:t>2400</w:t>
            </w:r>
          </w:p>
        </w:tc>
        <w:tc>
          <w:tcPr>
            <w:tcW w:w="865" w:type="dxa"/>
            <w:noWrap/>
            <w:vAlign w:val="center"/>
          </w:tcPr>
          <w:p w14:paraId="7489CDD0">
            <w:pPr>
              <w:widowControl/>
              <w:adjustRightInd w:val="0"/>
              <w:snapToGrid w:val="0"/>
              <w:jc w:val="center"/>
              <w:rPr>
                <w:rFonts w:eastAsia="等线"/>
                <w:color w:val="000000"/>
                <w:kern w:val="0"/>
                <w:sz w:val="22"/>
                <w:szCs w:val="22"/>
              </w:rPr>
            </w:pPr>
            <w:r>
              <w:rPr>
                <w:rFonts w:eastAsia="等线"/>
                <w:color w:val="000000"/>
                <w:szCs w:val="21"/>
              </w:rPr>
              <w:t>1500</w:t>
            </w:r>
          </w:p>
        </w:tc>
        <w:tc>
          <w:tcPr>
            <w:tcW w:w="850" w:type="dxa"/>
            <w:noWrap/>
            <w:vAlign w:val="center"/>
          </w:tcPr>
          <w:p w14:paraId="65A9A703">
            <w:pPr>
              <w:widowControl/>
              <w:adjustRightInd w:val="0"/>
              <w:snapToGrid w:val="0"/>
              <w:jc w:val="center"/>
              <w:rPr>
                <w:rFonts w:eastAsia="等线"/>
                <w:color w:val="000000"/>
                <w:kern w:val="0"/>
                <w:sz w:val="22"/>
                <w:szCs w:val="22"/>
              </w:rPr>
            </w:pPr>
            <w:r>
              <w:rPr>
                <w:rFonts w:eastAsia="等线"/>
                <w:color w:val="000000"/>
                <w:szCs w:val="21"/>
              </w:rPr>
              <w:t>3900</w:t>
            </w:r>
          </w:p>
        </w:tc>
      </w:tr>
      <w:tr w14:paraId="31248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152AE75C">
            <w:pPr>
              <w:widowControl/>
              <w:adjustRightInd w:val="0"/>
              <w:snapToGrid w:val="0"/>
              <w:jc w:val="center"/>
              <w:rPr>
                <w:rFonts w:eastAsia="等线"/>
                <w:color w:val="000000"/>
                <w:kern w:val="0"/>
                <w:sz w:val="22"/>
                <w:szCs w:val="22"/>
              </w:rPr>
            </w:pPr>
            <w:r>
              <w:rPr>
                <w:rFonts w:eastAsia="等线"/>
                <w:color w:val="000000"/>
              </w:rPr>
              <w:t>9</w:t>
            </w:r>
          </w:p>
        </w:tc>
        <w:tc>
          <w:tcPr>
            <w:tcW w:w="2513" w:type="dxa"/>
            <w:vAlign w:val="center"/>
          </w:tcPr>
          <w:p w14:paraId="29FA6367">
            <w:pPr>
              <w:widowControl/>
              <w:adjustRightInd w:val="0"/>
              <w:snapToGrid w:val="0"/>
              <w:jc w:val="center"/>
              <w:rPr>
                <w:color w:val="000000"/>
                <w:kern w:val="0"/>
                <w:sz w:val="22"/>
                <w:szCs w:val="22"/>
              </w:rPr>
            </w:pPr>
            <w:r>
              <w:rPr>
                <w:rFonts w:hint="eastAsia"/>
                <w:color w:val="000000"/>
              </w:rPr>
              <w:t>玫瑰镇再生水厂</w:t>
            </w:r>
          </w:p>
        </w:tc>
        <w:tc>
          <w:tcPr>
            <w:tcW w:w="1009" w:type="dxa"/>
            <w:noWrap/>
            <w:vAlign w:val="center"/>
          </w:tcPr>
          <w:p w14:paraId="05C43BFD">
            <w:pPr>
              <w:widowControl/>
              <w:adjustRightInd w:val="0"/>
              <w:snapToGrid w:val="0"/>
              <w:jc w:val="center"/>
              <w:rPr>
                <w:rFonts w:eastAsia="等线"/>
                <w:color w:val="000000"/>
                <w:kern w:val="0"/>
                <w:sz w:val="22"/>
                <w:szCs w:val="22"/>
              </w:rPr>
            </w:pPr>
            <w:r>
              <w:rPr>
                <w:rFonts w:eastAsia="等线"/>
                <w:color w:val="000000"/>
                <w:szCs w:val="21"/>
              </w:rPr>
              <w:t>-</w:t>
            </w:r>
          </w:p>
        </w:tc>
        <w:tc>
          <w:tcPr>
            <w:tcW w:w="1007" w:type="dxa"/>
            <w:noWrap/>
            <w:vAlign w:val="center"/>
          </w:tcPr>
          <w:p w14:paraId="543E1D05">
            <w:pPr>
              <w:widowControl/>
              <w:adjustRightInd w:val="0"/>
              <w:snapToGrid w:val="0"/>
              <w:jc w:val="center"/>
              <w:rPr>
                <w:rFonts w:eastAsia="等线"/>
                <w:color w:val="000000"/>
                <w:kern w:val="0"/>
                <w:sz w:val="22"/>
                <w:szCs w:val="22"/>
              </w:rPr>
            </w:pPr>
            <w:r>
              <w:rPr>
                <w:rFonts w:eastAsia="等线"/>
                <w:color w:val="000000"/>
                <w:szCs w:val="21"/>
              </w:rPr>
              <w:t>-</w:t>
            </w:r>
          </w:p>
        </w:tc>
        <w:tc>
          <w:tcPr>
            <w:tcW w:w="856" w:type="dxa"/>
            <w:noWrap/>
            <w:vAlign w:val="center"/>
          </w:tcPr>
          <w:p w14:paraId="6DEC26ED">
            <w:pPr>
              <w:widowControl/>
              <w:adjustRightInd w:val="0"/>
              <w:snapToGrid w:val="0"/>
              <w:jc w:val="center"/>
              <w:rPr>
                <w:rFonts w:eastAsia="等线"/>
                <w:color w:val="000000"/>
                <w:kern w:val="0"/>
                <w:sz w:val="22"/>
                <w:szCs w:val="22"/>
              </w:rPr>
            </w:pPr>
            <w:r>
              <w:rPr>
                <w:rFonts w:eastAsia="等线"/>
                <w:color w:val="000000"/>
                <w:szCs w:val="21"/>
              </w:rPr>
              <w:t>-</w:t>
            </w:r>
          </w:p>
        </w:tc>
        <w:tc>
          <w:tcPr>
            <w:tcW w:w="838" w:type="dxa"/>
            <w:noWrap/>
            <w:vAlign w:val="center"/>
          </w:tcPr>
          <w:p w14:paraId="179E3156">
            <w:pPr>
              <w:widowControl/>
              <w:adjustRightInd w:val="0"/>
              <w:snapToGrid w:val="0"/>
              <w:jc w:val="center"/>
              <w:rPr>
                <w:rFonts w:eastAsia="等线"/>
                <w:color w:val="000000"/>
                <w:kern w:val="0"/>
                <w:sz w:val="22"/>
                <w:szCs w:val="22"/>
              </w:rPr>
            </w:pPr>
            <w:r>
              <w:rPr>
                <w:rFonts w:eastAsia="等线"/>
                <w:color w:val="000000"/>
                <w:szCs w:val="21"/>
              </w:rPr>
              <w:t>3200</w:t>
            </w:r>
          </w:p>
        </w:tc>
        <w:tc>
          <w:tcPr>
            <w:tcW w:w="865" w:type="dxa"/>
            <w:noWrap/>
            <w:vAlign w:val="center"/>
          </w:tcPr>
          <w:p w14:paraId="2AD75EA0">
            <w:pPr>
              <w:widowControl/>
              <w:adjustRightInd w:val="0"/>
              <w:snapToGrid w:val="0"/>
              <w:jc w:val="center"/>
              <w:rPr>
                <w:rFonts w:eastAsia="等线"/>
                <w:color w:val="000000"/>
                <w:kern w:val="0"/>
                <w:sz w:val="22"/>
                <w:szCs w:val="22"/>
              </w:rPr>
            </w:pPr>
            <w:r>
              <w:rPr>
                <w:rFonts w:eastAsia="等线"/>
                <w:color w:val="000000"/>
                <w:szCs w:val="21"/>
              </w:rPr>
              <w:t>1800</w:t>
            </w:r>
          </w:p>
        </w:tc>
        <w:tc>
          <w:tcPr>
            <w:tcW w:w="850" w:type="dxa"/>
            <w:noWrap/>
            <w:vAlign w:val="center"/>
          </w:tcPr>
          <w:p w14:paraId="2355E450">
            <w:pPr>
              <w:widowControl/>
              <w:adjustRightInd w:val="0"/>
              <w:snapToGrid w:val="0"/>
              <w:jc w:val="center"/>
              <w:rPr>
                <w:rFonts w:eastAsia="等线"/>
                <w:color w:val="000000"/>
                <w:kern w:val="0"/>
                <w:sz w:val="22"/>
                <w:szCs w:val="22"/>
              </w:rPr>
            </w:pPr>
            <w:r>
              <w:rPr>
                <w:rFonts w:eastAsia="等线"/>
                <w:color w:val="000000"/>
                <w:szCs w:val="21"/>
              </w:rPr>
              <w:t>5000</w:t>
            </w:r>
          </w:p>
        </w:tc>
      </w:tr>
      <w:tr w14:paraId="387DA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62ACA067">
            <w:pPr>
              <w:widowControl/>
              <w:adjustRightInd w:val="0"/>
              <w:snapToGrid w:val="0"/>
              <w:jc w:val="center"/>
              <w:rPr>
                <w:rFonts w:eastAsia="等线"/>
                <w:color w:val="000000"/>
                <w:kern w:val="0"/>
                <w:sz w:val="22"/>
                <w:szCs w:val="22"/>
              </w:rPr>
            </w:pPr>
            <w:r>
              <w:rPr>
                <w:rFonts w:eastAsia="等线"/>
                <w:color w:val="000000"/>
              </w:rPr>
              <w:t>10</w:t>
            </w:r>
          </w:p>
        </w:tc>
        <w:tc>
          <w:tcPr>
            <w:tcW w:w="2513" w:type="dxa"/>
            <w:vAlign w:val="center"/>
          </w:tcPr>
          <w:p w14:paraId="13928AD4">
            <w:pPr>
              <w:widowControl/>
              <w:adjustRightInd w:val="0"/>
              <w:snapToGrid w:val="0"/>
              <w:jc w:val="center"/>
              <w:rPr>
                <w:color w:val="000000"/>
                <w:kern w:val="0"/>
                <w:sz w:val="22"/>
                <w:szCs w:val="22"/>
              </w:rPr>
            </w:pPr>
            <w:r>
              <w:rPr>
                <w:rFonts w:hint="eastAsia"/>
                <w:color w:val="000000"/>
              </w:rPr>
              <w:t>洪范池镇再生水厂</w:t>
            </w:r>
          </w:p>
        </w:tc>
        <w:tc>
          <w:tcPr>
            <w:tcW w:w="1009" w:type="dxa"/>
            <w:noWrap/>
            <w:vAlign w:val="center"/>
          </w:tcPr>
          <w:p w14:paraId="77E4A0B5">
            <w:pPr>
              <w:widowControl/>
              <w:adjustRightInd w:val="0"/>
              <w:snapToGrid w:val="0"/>
              <w:jc w:val="center"/>
              <w:rPr>
                <w:rFonts w:eastAsia="等线"/>
                <w:color w:val="000000"/>
                <w:kern w:val="0"/>
                <w:sz w:val="22"/>
                <w:szCs w:val="22"/>
              </w:rPr>
            </w:pPr>
            <w:r>
              <w:rPr>
                <w:rFonts w:eastAsia="等线"/>
                <w:color w:val="000000"/>
                <w:szCs w:val="21"/>
              </w:rPr>
              <w:t>-</w:t>
            </w:r>
          </w:p>
        </w:tc>
        <w:tc>
          <w:tcPr>
            <w:tcW w:w="1007" w:type="dxa"/>
            <w:noWrap/>
            <w:vAlign w:val="center"/>
          </w:tcPr>
          <w:p w14:paraId="18F63AB7">
            <w:pPr>
              <w:widowControl/>
              <w:adjustRightInd w:val="0"/>
              <w:snapToGrid w:val="0"/>
              <w:jc w:val="center"/>
              <w:rPr>
                <w:rFonts w:eastAsia="等线"/>
                <w:color w:val="000000"/>
                <w:kern w:val="0"/>
                <w:sz w:val="22"/>
                <w:szCs w:val="22"/>
              </w:rPr>
            </w:pPr>
            <w:r>
              <w:rPr>
                <w:rFonts w:eastAsia="等线"/>
                <w:color w:val="000000"/>
                <w:szCs w:val="21"/>
              </w:rPr>
              <w:t>-</w:t>
            </w:r>
          </w:p>
        </w:tc>
        <w:tc>
          <w:tcPr>
            <w:tcW w:w="856" w:type="dxa"/>
            <w:noWrap/>
            <w:vAlign w:val="center"/>
          </w:tcPr>
          <w:p w14:paraId="393734CE">
            <w:pPr>
              <w:widowControl/>
              <w:adjustRightInd w:val="0"/>
              <w:snapToGrid w:val="0"/>
              <w:jc w:val="center"/>
              <w:rPr>
                <w:rFonts w:eastAsia="等线"/>
                <w:color w:val="000000"/>
                <w:kern w:val="0"/>
                <w:sz w:val="22"/>
                <w:szCs w:val="22"/>
              </w:rPr>
            </w:pPr>
            <w:r>
              <w:rPr>
                <w:rFonts w:eastAsia="等线"/>
                <w:color w:val="000000"/>
                <w:szCs w:val="21"/>
              </w:rPr>
              <w:t>-</w:t>
            </w:r>
          </w:p>
        </w:tc>
        <w:tc>
          <w:tcPr>
            <w:tcW w:w="838" w:type="dxa"/>
            <w:noWrap/>
            <w:vAlign w:val="center"/>
          </w:tcPr>
          <w:p w14:paraId="15F190C4">
            <w:pPr>
              <w:widowControl/>
              <w:adjustRightInd w:val="0"/>
              <w:snapToGrid w:val="0"/>
              <w:jc w:val="center"/>
              <w:rPr>
                <w:rFonts w:eastAsia="等线"/>
                <w:color w:val="000000"/>
                <w:kern w:val="0"/>
                <w:sz w:val="22"/>
                <w:szCs w:val="22"/>
              </w:rPr>
            </w:pPr>
            <w:r>
              <w:rPr>
                <w:rFonts w:eastAsia="等线"/>
                <w:color w:val="000000"/>
                <w:szCs w:val="21"/>
              </w:rPr>
              <w:t>2200</w:t>
            </w:r>
          </w:p>
        </w:tc>
        <w:tc>
          <w:tcPr>
            <w:tcW w:w="865" w:type="dxa"/>
            <w:noWrap/>
            <w:vAlign w:val="center"/>
          </w:tcPr>
          <w:p w14:paraId="6F4B5F14">
            <w:pPr>
              <w:widowControl/>
              <w:adjustRightInd w:val="0"/>
              <w:snapToGrid w:val="0"/>
              <w:jc w:val="center"/>
              <w:rPr>
                <w:rFonts w:eastAsia="等线"/>
                <w:color w:val="000000"/>
                <w:kern w:val="0"/>
                <w:sz w:val="22"/>
                <w:szCs w:val="22"/>
              </w:rPr>
            </w:pPr>
            <w:r>
              <w:rPr>
                <w:rFonts w:eastAsia="等线"/>
                <w:color w:val="000000"/>
                <w:szCs w:val="21"/>
              </w:rPr>
              <w:t>1600</w:t>
            </w:r>
          </w:p>
        </w:tc>
        <w:tc>
          <w:tcPr>
            <w:tcW w:w="850" w:type="dxa"/>
            <w:noWrap/>
            <w:vAlign w:val="center"/>
          </w:tcPr>
          <w:p w14:paraId="398B8517">
            <w:pPr>
              <w:widowControl/>
              <w:adjustRightInd w:val="0"/>
              <w:snapToGrid w:val="0"/>
              <w:jc w:val="center"/>
              <w:rPr>
                <w:rFonts w:eastAsia="等线"/>
                <w:color w:val="000000"/>
                <w:kern w:val="0"/>
                <w:sz w:val="22"/>
                <w:szCs w:val="22"/>
              </w:rPr>
            </w:pPr>
            <w:r>
              <w:rPr>
                <w:rFonts w:eastAsia="等线"/>
                <w:color w:val="000000"/>
                <w:szCs w:val="21"/>
              </w:rPr>
              <w:t>3800</w:t>
            </w:r>
          </w:p>
        </w:tc>
      </w:tr>
      <w:bookmarkEnd w:id="229"/>
      <w:tr w14:paraId="29DE2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99" w:type="dxa"/>
            <w:noWrap/>
            <w:vAlign w:val="center"/>
          </w:tcPr>
          <w:p w14:paraId="46DECF02">
            <w:pPr>
              <w:widowControl/>
              <w:adjustRightInd w:val="0"/>
              <w:snapToGrid w:val="0"/>
              <w:jc w:val="center"/>
              <w:rPr>
                <w:rFonts w:eastAsia="等线"/>
                <w:color w:val="000000"/>
                <w:kern w:val="0"/>
                <w:sz w:val="22"/>
                <w:szCs w:val="22"/>
              </w:rPr>
            </w:pPr>
            <w:r>
              <w:rPr>
                <w:rFonts w:eastAsia="等线"/>
                <w:color w:val="000000"/>
              </w:rPr>
              <w:t>11</w:t>
            </w:r>
          </w:p>
        </w:tc>
        <w:tc>
          <w:tcPr>
            <w:tcW w:w="2513" w:type="dxa"/>
            <w:vAlign w:val="center"/>
          </w:tcPr>
          <w:p w14:paraId="6CB852D2">
            <w:pPr>
              <w:widowControl/>
              <w:adjustRightInd w:val="0"/>
              <w:snapToGrid w:val="0"/>
              <w:jc w:val="center"/>
              <w:rPr>
                <w:color w:val="000000"/>
                <w:kern w:val="0"/>
                <w:sz w:val="22"/>
                <w:szCs w:val="22"/>
              </w:rPr>
            </w:pPr>
            <w:r>
              <w:rPr>
                <w:rFonts w:hint="eastAsia"/>
                <w:color w:val="000000"/>
              </w:rPr>
              <w:t>合计</w:t>
            </w:r>
          </w:p>
        </w:tc>
        <w:tc>
          <w:tcPr>
            <w:tcW w:w="1009" w:type="dxa"/>
            <w:noWrap/>
            <w:vAlign w:val="center"/>
          </w:tcPr>
          <w:p w14:paraId="764E2CFC">
            <w:pPr>
              <w:widowControl/>
              <w:adjustRightInd w:val="0"/>
              <w:snapToGrid w:val="0"/>
              <w:jc w:val="center"/>
              <w:rPr>
                <w:rFonts w:eastAsia="等线"/>
                <w:color w:val="000000"/>
                <w:kern w:val="0"/>
                <w:sz w:val="22"/>
                <w:szCs w:val="22"/>
              </w:rPr>
            </w:pPr>
            <w:r>
              <w:rPr>
                <w:rFonts w:eastAsia="等线"/>
                <w:color w:val="000000"/>
                <w:szCs w:val="21"/>
              </w:rPr>
              <w:t>31900</w:t>
            </w:r>
          </w:p>
        </w:tc>
        <w:tc>
          <w:tcPr>
            <w:tcW w:w="1007" w:type="dxa"/>
            <w:noWrap/>
            <w:vAlign w:val="center"/>
          </w:tcPr>
          <w:p w14:paraId="3020B290">
            <w:pPr>
              <w:widowControl/>
              <w:adjustRightInd w:val="0"/>
              <w:snapToGrid w:val="0"/>
              <w:jc w:val="center"/>
              <w:rPr>
                <w:rFonts w:eastAsia="等线"/>
                <w:color w:val="000000"/>
                <w:kern w:val="0"/>
                <w:sz w:val="22"/>
                <w:szCs w:val="22"/>
              </w:rPr>
            </w:pPr>
            <w:r>
              <w:rPr>
                <w:rFonts w:eastAsia="等线"/>
                <w:color w:val="000000"/>
                <w:szCs w:val="21"/>
              </w:rPr>
              <w:t>15700</w:t>
            </w:r>
          </w:p>
        </w:tc>
        <w:tc>
          <w:tcPr>
            <w:tcW w:w="856" w:type="dxa"/>
            <w:noWrap/>
            <w:vAlign w:val="center"/>
          </w:tcPr>
          <w:p w14:paraId="716F1141">
            <w:pPr>
              <w:widowControl/>
              <w:adjustRightInd w:val="0"/>
              <w:snapToGrid w:val="0"/>
              <w:jc w:val="center"/>
              <w:rPr>
                <w:rFonts w:eastAsia="等线"/>
                <w:color w:val="000000"/>
                <w:kern w:val="0"/>
                <w:sz w:val="22"/>
                <w:szCs w:val="22"/>
              </w:rPr>
            </w:pPr>
            <w:r>
              <w:rPr>
                <w:rFonts w:eastAsia="等线"/>
                <w:color w:val="000000"/>
                <w:szCs w:val="21"/>
              </w:rPr>
              <w:t>47600</w:t>
            </w:r>
          </w:p>
        </w:tc>
        <w:tc>
          <w:tcPr>
            <w:tcW w:w="838" w:type="dxa"/>
            <w:noWrap/>
            <w:vAlign w:val="center"/>
          </w:tcPr>
          <w:p w14:paraId="4CF5EDBD">
            <w:pPr>
              <w:widowControl/>
              <w:adjustRightInd w:val="0"/>
              <w:snapToGrid w:val="0"/>
              <w:jc w:val="center"/>
              <w:rPr>
                <w:rFonts w:eastAsia="等线"/>
                <w:color w:val="000000"/>
                <w:kern w:val="0"/>
                <w:sz w:val="22"/>
                <w:szCs w:val="22"/>
              </w:rPr>
            </w:pPr>
            <w:r>
              <w:rPr>
                <w:rFonts w:eastAsia="等线"/>
                <w:color w:val="000000"/>
                <w:szCs w:val="21"/>
              </w:rPr>
              <w:t>23200</w:t>
            </w:r>
          </w:p>
        </w:tc>
        <w:tc>
          <w:tcPr>
            <w:tcW w:w="865" w:type="dxa"/>
            <w:noWrap/>
            <w:vAlign w:val="center"/>
          </w:tcPr>
          <w:p w14:paraId="11AE40B5">
            <w:pPr>
              <w:widowControl/>
              <w:adjustRightInd w:val="0"/>
              <w:snapToGrid w:val="0"/>
              <w:jc w:val="center"/>
              <w:rPr>
                <w:rFonts w:eastAsia="等线"/>
                <w:color w:val="000000"/>
                <w:kern w:val="0"/>
                <w:sz w:val="22"/>
                <w:szCs w:val="22"/>
              </w:rPr>
            </w:pPr>
            <w:r>
              <w:rPr>
                <w:rFonts w:eastAsia="等线"/>
                <w:color w:val="000000"/>
                <w:szCs w:val="21"/>
              </w:rPr>
              <w:t>13400</w:t>
            </w:r>
          </w:p>
        </w:tc>
        <w:tc>
          <w:tcPr>
            <w:tcW w:w="850" w:type="dxa"/>
            <w:noWrap/>
            <w:vAlign w:val="center"/>
          </w:tcPr>
          <w:p w14:paraId="64F51972">
            <w:pPr>
              <w:widowControl/>
              <w:adjustRightInd w:val="0"/>
              <w:snapToGrid w:val="0"/>
              <w:jc w:val="center"/>
              <w:rPr>
                <w:rFonts w:eastAsia="等线"/>
                <w:color w:val="000000"/>
                <w:kern w:val="0"/>
                <w:sz w:val="22"/>
                <w:szCs w:val="22"/>
              </w:rPr>
            </w:pPr>
            <w:r>
              <w:rPr>
                <w:rFonts w:eastAsia="等线"/>
                <w:color w:val="000000"/>
                <w:szCs w:val="21"/>
              </w:rPr>
              <w:t>36600</w:t>
            </w:r>
          </w:p>
        </w:tc>
      </w:tr>
    </w:tbl>
    <w:p w14:paraId="5A251C45">
      <w:pPr>
        <w:autoSpaceDE w:val="0"/>
        <w:autoSpaceDN w:val="0"/>
        <w:spacing w:line="600" w:lineRule="exact"/>
        <w:jc w:val="center"/>
        <w:textAlignment w:val="baseline"/>
        <w:rPr>
          <w:bCs/>
          <w:color w:val="000000" w:themeColor="text1"/>
          <w:sz w:val="28"/>
          <w:szCs w:val="28"/>
        </w:rPr>
      </w:pPr>
    </w:p>
    <w:p w14:paraId="14593989">
      <w:pPr>
        <w:autoSpaceDE w:val="0"/>
        <w:autoSpaceDN w:val="0"/>
        <w:spacing w:line="600" w:lineRule="exact"/>
        <w:jc w:val="center"/>
        <w:textAlignment w:val="baseline"/>
        <w:rPr>
          <w:bCs/>
          <w:color w:val="000000" w:themeColor="text1"/>
          <w:sz w:val="28"/>
          <w:szCs w:val="28"/>
        </w:rPr>
        <w:sectPr>
          <w:pgSz w:w="11906" w:h="16838"/>
          <w:pgMar w:top="1440" w:right="1800" w:bottom="1440" w:left="1800" w:header="1020" w:footer="992" w:gutter="0"/>
          <w:cols w:space="425" w:num="1"/>
          <w:docGrid w:linePitch="312" w:charSpace="0"/>
        </w:sectPr>
      </w:pPr>
    </w:p>
    <w:bookmarkEnd w:id="222"/>
    <w:p w14:paraId="6408E58C">
      <w:pPr>
        <w:tabs>
          <w:tab w:val="center" w:pos="4535"/>
          <w:tab w:val="right" w:pos="9070"/>
        </w:tabs>
        <w:spacing w:before="240" w:beforeLines="100" w:after="360" w:afterLines="150" w:line="600" w:lineRule="exact"/>
        <w:jc w:val="center"/>
        <w:outlineLvl w:val="0"/>
        <w:rPr>
          <w:b/>
          <w:color w:val="000000" w:themeColor="text1"/>
          <w:sz w:val="44"/>
          <w:szCs w:val="36"/>
        </w:rPr>
      </w:pPr>
      <w:bookmarkStart w:id="231" w:name="_Toc181472952"/>
      <w:bookmarkStart w:id="232" w:name="_Toc144243760"/>
      <w:r>
        <w:rPr>
          <w:b/>
          <w:color w:val="000000" w:themeColor="text1"/>
          <w:sz w:val="44"/>
          <w:szCs w:val="36"/>
        </w:rPr>
        <w:t>第</w:t>
      </w:r>
      <w:r>
        <w:rPr>
          <w:rFonts w:hint="eastAsia"/>
          <w:b/>
          <w:color w:val="000000" w:themeColor="text1"/>
          <w:sz w:val="44"/>
          <w:szCs w:val="36"/>
        </w:rPr>
        <w:t>九</w:t>
      </w:r>
      <w:r>
        <w:rPr>
          <w:b/>
          <w:color w:val="000000" w:themeColor="text1"/>
          <w:sz w:val="44"/>
          <w:szCs w:val="36"/>
        </w:rPr>
        <w:t xml:space="preserve">章  </w:t>
      </w:r>
      <w:r>
        <w:rPr>
          <w:rFonts w:hint="eastAsia"/>
          <w:b/>
          <w:color w:val="000000" w:themeColor="text1"/>
          <w:sz w:val="44"/>
          <w:szCs w:val="36"/>
        </w:rPr>
        <w:t>实施效果</w:t>
      </w:r>
      <w:r>
        <w:rPr>
          <w:b/>
          <w:color w:val="000000" w:themeColor="text1"/>
          <w:sz w:val="44"/>
          <w:szCs w:val="36"/>
        </w:rPr>
        <w:t>评价</w:t>
      </w:r>
      <w:bookmarkEnd w:id="231"/>
      <w:bookmarkEnd w:id="232"/>
    </w:p>
    <w:p w14:paraId="5732026D">
      <w:pPr>
        <w:autoSpaceDE w:val="0"/>
        <w:autoSpaceDN w:val="0"/>
        <w:spacing w:line="600" w:lineRule="exact"/>
        <w:ind w:firstLine="560" w:firstLineChars="200"/>
        <w:textAlignment w:val="baseline"/>
        <w:rPr>
          <w:color w:val="000000" w:themeColor="text1"/>
          <w:sz w:val="28"/>
          <w:szCs w:val="36"/>
        </w:rPr>
      </w:pPr>
      <w:r>
        <w:rPr>
          <w:rFonts w:hint="eastAsia"/>
          <w:color w:val="000000" w:themeColor="text1"/>
          <w:sz w:val="28"/>
          <w:szCs w:val="36"/>
        </w:rPr>
        <w:t>再生水利用规划与平阴县的经济社会发展、水资源、生态环境等密切联系、协调统一。参考《水回用导则 再生水利用效益评价》（GB/T 2247-2022），提出再生水利用效益评价指标体系，强调评价指标的选取应具有可量化性、可考核性和可比较性，主要提出再生水资源效益、环境效益、社会效益和经济效益的定量和定性评价。</w:t>
      </w:r>
    </w:p>
    <w:p w14:paraId="445B1103">
      <w:pPr>
        <w:snapToGrid w:val="0"/>
        <w:spacing w:before="120" w:beforeLines="50" w:after="120" w:afterLines="50" w:line="600" w:lineRule="exact"/>
        <w:outlineLvl w:val="1"/>
        <w:rPr>
          <w:b/>
          <w:color w:val="000000" w:themeColor="text1"/>
          <w:sz w:val="30"/>
          <w:szCs w:val="30"/>
        </w:rPr>
      </w:pPr>
      <w:bookmarkStart w:id="233" w:name="_Toc181472953"/>
      <w:bookmarkStart w:id="234" w:name="_Toc144243761"/>
      <w:r>
        <w:rPr>
          <w:b/>
          <w:color w:val="000000" w:themeColor="text1"/>
          <w:sz w:val="30"/>
          <w:szCs w:val="30"/>
        </w:rPr>
        <w:t xml:space="preserve">9.1 </w:t>
      </w:r>
      <w:r>
        <w:rPr>
          <w:rFonts w:hint="eastAsia"/>
          <w:b/>
          <w:color w:val="000000" w:themeColor="text1"/>
          <w:sz w:val="30"/>
          <w:szCs w:val="30"/>
        </w:rPr>
        <w:t>资源效益评价</w:t>
      </w:r>
      <w:bookmarkEnd w:id="233"/>
      <w:bookmarkEnd w:id="234"/>
    </w:p>
    <w:p w14:paraId="27C31C99">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通过本规划的实施，积极推进平阴县污废水资源化，</w:t>
      </w:r>
      <w:r>
        <w:rPr>
          <w:rFonts w:hint="eastAsia"/>
          <w:color w:val="000000" w:themeColor="text1"/>
          <w:sz w:val="28"/>
          <w:szCs w:val="36"/>
        </w:rPr>
        <w:t>减少废污水排放量，增加水资源可利用量，有效减少新鲜水的利用量，提高平阴县的水资源承载能力，可以有效地节水、增产、改善生态环境。</w:t>
      </w:r>
    </w:p>
    <w:p w14:paraId="27F26C5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结合平阴县规划年再生水利用量分析，近期规划年平阴县再生水利用量为</w:t>
      </w:r>
      <w:r>
        <w:rPr>
          <w:color w:val="000000" w:themeColor="text1"/>
          <w:sz w:val="28"/>
          <w:szCs w:val="28"/>
        </w:rPr>
        <w:t>1</w:t>
      </w:r>
      <w:r>
        <w:rPr>
          <w:rFonts w:hint="eastAsia"/>
          <w:color w:val="000000" w:themeColor="text1"/>
          <w:sz w:val="28"/>
          <w:szCs w:val="28"/>
        </w:rPr>
        <w:t>401万m</w:t>
      </w:r>
      <w:r>
        <w:rPr>
          <w:color w:val="000000" w:themeColor="text1"/>
          <w:sz w:val="28"/>
          <w:szCs w:val="28"/>
          <w:vertAlign w:val="superscript"/>
        </w:rPr>
        <w:t>3</w:t>
      </w:r>
      <w:r>
        <w:rPr>
          <w:rFonts w:hint="eastAsia"/>
          <w:color w:val="000000" w:themeColor="text1"/>
          <w:sz w:val="28"/>
          <w:szCs w:val="28"/>
        </w:rPr>
        <w:t>，其中城市再生水利用</w:t>
      </w:r>
      <w:bookmarkStart w:id="235" w:name="OLE_LINK1"/>
      <w:r>
        <w:rPr>
          <w:rFonts w:hint="eastAsia"/>
          <w:color w:val="000000" w:themeColor="text1"/>
          <w:sz w:val="28"/>
          <w:szCs w:val="28"/>
        </w:rPr>
        <w:t>量（包含生态环境补水）为</w:t>
      </w:r>
      <w:r>
        <w:rPr>
          <w:color w:val="000000" w:themeColor="text1"/>
          <w:sz w:val="28"/>
          <w:szCs w:val="28"/>
        </w:rPr>
        <w:t>1129.9</w:t>
      </w:r>
      <w:r>
        <w:rPr>
          <w:rFonts w:hint="eastAsia"/>
          <w:color w:val="000000" w:themeColor="text1"/>
          <w:sz w:val="28"/>
          <w:szCs w:val="28"/>
        </w:rPr>
        <w:t>万m</w:t>
      </w:r>
      <w:r>
        <w:rPr>
          <w:rFonts w:hint="eastAsia"/>
          <w:color w:val="000000" w:themeColor="text1"/>
          <w:sz w:val="28"/>
          <w:szCs w:val="28"/>
          <w:vertAlign w:val="superscript"/>
        </w:rPr>
        <w:t>3</w:t>
      </w:r>
      <w:r>
        <w:rPr>
          <w:rFonts w:hint="eastAsia"/>
          <w:color w:val="000000" w:themeColor="text1"/>
          <w:sz w:val="28"/>
          <w:szCs w:val="28"/>
        </w:rPr>
        <w:t>，城市再生水利用</w:t>
      </w:r>
      <w:bookmarkEnd w:id="235"/>
      <w:r>
        <w:rPr>
          <w:rFonts w:hint="eastAsia"/>
          <w:color w:val="000000" w:themeColor="text1"/>
          <w:sz w:val="28"/>
          <w:szCs w:val="28"/>
        </w:rPr>
        <w:t>率（包含生态环境补水）为70.7</w:t>
      </w:r>
      <w:r>
        <w:rPr>
          <w:color w:val="000000" w:themeColor="text1"/>
          <w:sz w:val="28"/>
          <w:szCs w:val="28"/>
        </w:rPr>
        <w:t>%</w:t>
      </w:r>
      <w:r>
        <w:rPr>
          <w:rFonts w:hint="eastAsia"/>
          <w:color w:val="000000" w:themeColor="text1"/>
          <w:sz w:val="28"/>
          <w:szCs w:val="28"/>
        </w:rPr>
        <w:t>；远期规划年平阴县再生水利用量为</w:t>
      </w:r>
      <w:r>
        <w:rPr>
          <w:color w:val="000000" w:themeColor="text1"/>
          <w:sz w:val="28"/>
          <w:szCs w:val="28"/>
        </w:rPr>
        <w:t>18</w:t>
      </w:r>
      <w:r>
        <w:rPr>
          <w:rFonts w:hint="eastAsia"/>
          <w:color w:val="000000" w:themeColor="text1"/>
          <w:sz w:val="28"/>
          <w:szCs w:val="28"/>
        </w:rPr>
        <w:t>82.2万m</w:t>
      </w:r>
      <w:r>
        <w:rPr>
          <w:color w:val="000000" w:themeColor="text1"/>
          <w:sz w:val="28"/>
          <w:szCs w:val="28"/>
          <w:vertAlign w:val="superscript"/>
        </w:rPr>
        <w:t>3</w:t>
      </w:r>
      <w:r>
        <w:rPr>
          <w:rFonts w:hint="eastAsia"/>
          <w:color w:val="000000" w:themeColor="text1"/>
          <w:sz w:val="28"/>
          <w:szCs w:val="28"/>
        </w:rPr>
        <w:t>，其中城市再生水利用量（包含生态环境补水）为1379.3万m</w:t>
      </w:r>
      <w:r>
        <w:rPr>
          <w:rFonts w:hint="eastAsia"/>
          <w:color w:val="000000" w:themeColor="text1"/>
          <w:sz w:val="28"/>
          <w:szCs w:val="28"/>
          <w:vertAlign w:val="superscript"/>
        </w:rPr>
        <w:t>3</w:t>
      </w:r>
      <w:r>
        <w:rPr>
          <w:rFonts w:hint="eastAsia"/>
          <w:color w:val="000000" w:themeColor="text1"/>
          <w:sz w:val="28"/>
          <w:szCs w:val="28"/>
        </w:rPr>
        <w:t>，城市再生水利用率（包含生态环境补水）为77.3</w:t>
      </w:r>
      <w:r>
        <w:rPr>
          <w:color w:val="000000" w:themeColor="text1"/>
          <w:sz w:val="28"/>
          <w:szCs w:val="28"/>
        </w:rPr>
        <w:t>%</w:t>
      </w:r>
      <w:r>
        <w:rPr>
          <w:rFonts w:hint="eastAsia"/>
          <w:color w:val="000000" w:themeColor="text1"/>
          <w:sz w:val="28"/>
          <w:szCs w:val="28"/>
        </w:rPr>
        <w:t>。规划年平阴县再生水利用率符合平阴县城市再生水利用率规划目标。</w:t>
      </w:r>
    </w:p>
    <w:p w14:paraId="428F4B24">
      <w:pPr>
        <w:snapToGrid w:val="0"/>
        <w:spacing w:before="120" w:beforeLines="50" w:after="120" w:afterLines="50" w:line="600" w:lineRule="exact"/>
        <w:outlineLvl w:val="1"/>
        <w:rPr>
          <w:b/>
          <w:color w:val="000000" w:themeColor="text1"/>
          <w:sz w:val="30"/>
          <w:szCs w:val="30"/>
        </w:rPr>
      </w:pPr>
      <w:bookmarkStart w:id="236" w:name="_Toc144243762"/>
      <w:bookmarkStart w:id="237" w:name="_Toc181472954"/>
      <w:r>
        <w:rPr>
          <w:b/>
          <w:color w:val="000000" w:themeColor="text1"/>
          <w:sz w:val="30"/>
          <w:szCs w:val="30"/>
        </w:rPr>
        <w:t xml:space="preserve">9.2 </w:t>
      </w:r>
      <w:r>
        <w:rPr>
          <w:rFonts w:hint="eastAsia"/>
          <w:b/>
          <w:color w:val="000000" w:themeColor="text1"/>
          <w:sz w:val="30"/>
          <w:szCs w:val="30"/>
        </w:rPr>
        <w:t>环境效益评价</w:t>
      </w:r>
      <w:bookmarkEnd w:id="236"/>
      <w:bookmarkEnd w:id="237"/>
    </w:p>
    <w:p w14:paraId="4FC39796">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通过实施本规划，推进平阴县污水资源化，充分利用再生水替代常规优质水资源，进而减少污水排入地表水体，减少环境中的污染物含量。</w:t>
      </w:r>
    </w:p>
    <w:p w14:paraId="64E6C7E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至2</w:t>
      </w:r>
      <w:r>
        <w:rPr>
          <w:color w:val="000000" w:themeColor="text1"/>
          <w:sz w:val="28"/>
          <w:szCs w:val="28"/>
        </w:rPr>
        <w:t>0</w:t>
      </w:r>
      <w:r>
        <w:rPr>
          <w:rFonts w:hint="eastAsia"/>
          <w:color w:val="000000" w:themeColor="text1"/>
          <w:sz w:val="28"/>
          <w:szCs w:val="28"/>
        </w:rPr>
        <w:t>30年，平阴县污水再生利用规模达1401万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，以污水处理厂出水一级</w:t>
      </w:r>
      <w:r>
        <w:rPr>
          <w:color w:val="000000" w:themeColor="text1"/>
          <w:sz w:val="28"/>
          <w:szCs w:val="28"/>
        </w:rPr>
        <w:t>A</w:t>
      </w:r>
      <w:r>
        <w:rPr>
          <w:rFonts w:hint="eastAsia"/>
          <w:color w:val="000000" w:themeColor="text1"/>
          <w:sz w:val="28"/>
          <w:szCs w:val="28"/>
        </w:rPr>
        <w:t>来考虑，可每年减少</w:t>
      </w:r>
      <w:r>
        <w:rPr>
          <w:color w:val="000000" w:themeColor="text1"/>
          <w:sz w:val="28"/>
          <w:szCs w:val="28"/>
        </w:rPr>
        <w:t>COD</w:t>
      </w:r>
      <w:r>
        <w:rPr>
          <w:color w:val="000000" w:themeColor="text1"/>
          <w:sz w:val="28"/>
          <w:szCs w:val="28"/>
          <w:vertAlign w:val="subscript"/>
        </w:rPr>
        <w:t xml:space="preserve">Cr </w:t>
      </w:r>
      <w:r>
        <w:rPr>
          <w:rFonts w:hint="eastAsia"/>
          <w:color w:val="000000" w:themeColor="text1"/>
          <w:sz w:val="28"/>
          <w:szCs w:val="28"/>
        </w:rPr>
        <w:t>排放量700.5</w:t>
      </w:r>
      <w:r>
        <w:rPr>
          <w:color w:val="000000" w:themeColor="text1"/>
          <w:sz w:val="28"/>
          <w:szCs w:val="28"/>
        </w:rPr>
        <w:t>t</w:t>
      </w:r>
      <w:r>
        <w:rPr>
          <w:rFonts w:hint="eastAsia"/>
          <w:color w:val="000000" w:themeColor="text1"/>
          <w:sz w:val="28"/>
          <w:szCs w:val="28"/>
        </w:rPr>
        <w:t>、</w:t>
      </w:r>
      <w:r>
        <w:rPr>
          <w:color w:val="000000" w:themeColor="text1"/>
          <w:sz w:val="28"/>
          <w:szCs w:val="28"/>
        </w:rPr>
        <w:t>BOD</w:t>
      </w:r>
      <w:r>
        <w:rPr>
          <w:color w:val="000000" w:themeColor="text1"/>
          <w:sz w:val="28"/>
          <w:szCs w:val="28"/>
          <w:vertAlign w:val="subscript"/>
        </w:rPr>
        <w:t>5</w:t>
      </w:r>
      <w:r>
        <w:rPr>
          <w:rFonts w:hint="eastAsia"/>
          <w:color w:val="000000" w:themeColor="text1"/>
          <w:sz w:val="28"/>
          <w:szCs w:val="28"/>
        </w:rPr>
        <w:t>排放量140.1</w:t>
      </w:r>
      <w:r>
        <w:rPr>
          <w:color w:val="000000" w:themeColor="text1"/>
          <w:sz w:val="28"/>
          <w:szCs w:val="28"/>
        </w:rPr>
        <w:t>t</w:t>
      </w:r>
      <w:r>
        <w:rPr>
          <w:rFonts w:hint="eastAsia"/>
          <w:color w:val="000000" w:themeColor="text1"/>
          <w:sz w:val="28"/>
          <w:szCs w:val="28"/>
        </w:rPr>
        <w:t>、</w:t>
      </w:r>
      <w:r>
        <w:rPr>
          <w:color w:val="000000" w:themeColor="text1"/>
          <w:sz w:val="28"/>
          <w:szCs w:val="28"/>
        </w:rPr>
        <w:t>NH</w:t>
      </w:r>
      <w:r>
        <w:rPr>
          <w:color w:val="000000" w:themeColor="text1"/>
          <w:sz w:val="28"/>
          <w:szCs w:val="28"/>
          <w:vertAlign w:val="subscript"/>
        </w:rPr>
        <w:t>3</w:t>
      </w:r>
      <w:r>
        <w:rPr>
          <w:color w:val="000000" w:themeColor="text1"/>
          <w:sz w:val="28"/>
          <w:szCs w:val="28"/>
        </w:rPr>
        <w:t>-N</w:t>
      </w:r>
      <w:r>
        <w:rPr>
          <w:rFonts w:hint="eastAsia"/>
          <w:color w:val="000000" w:themeColor="text1"/>
          <w:sz w:val="28"/>
          <w:szCs w:val="28"/>
        </w:rPr>
        <w:t>排放量70.1</w:t>
      </w:r>
      <w:r>
        <w:rPr>
          <w:color w:val="000000" w:themeColor="text1"/>
          <w:sz w:val="28"/>
          <w:szCs w:val="28"/>
        </w:rPr>
        <w:t>t</w:t>
      </w:r>
      <w:r>
        <w:rPr>
          <w:rFonts w:hint="eastAsia"/>
          <w:color w:val="000000" w:themeColor="text1"/>
          <w:sz w:val="28"/>
          <w:szCs w:val="28"/>
        </w:rPr>
        <w:t>、</w:t>
      </w:r>
      <w:r>
        <w:rPr>
          <w:color w:val="000000" w:themeColor="text1"/>
          <w:sz w:val="28"/>
          <w:szCs w:val="28"/>
        </w:rPr>
        <w:t>TN</w:t>
      </w:r>
      <w:r>
        <w:rPr>
          <w:rFonts w:hint="eastAsia"/>
          <w:color w:val="000000" w:themeColor="text1"/>
          <w:sz w:val="28"/>
          <w:szCs w:val="28"/>
        </w:rPr>
        <w:t>排放量210.2</w:t>
      </w:r>
      <w:r>
        <w:rPr>
          <w:color w:val="000000" w:themeColor="text1"/>
          <w:sz w:val="28"/>
          <w:szCs w:val="28"/>
        </w:rPr>
        <w:t>t</w:t>
      </w:r>
      <w:r>
        <w:rPr>
          <w:rFonts w:hint="eastAsia"/>
          <w:color w:val="000000" w:themeColor="text1"/>
          <w:sz w:val="28"/>
          <w:szCs w:val="28"/>
        </w:rPr>
        <w:t>、</w:t>
      </w:r>
      <w:r>
        <w:rPr>
          <w:color w:val="000000" w:themeColor="text1"/>
          <w:sz w:val="28"/>
          <w:szCs w:val="28"/>
        </w:rPr>
        <w:t>TP</w:t>
      </w:r>
      <w:r>
        <w:rPr>
          <w:rFonts w:hint="eastAsia"/>
          <w:color w:val="000000" w:themeColor="text1"/>
          <w:sz w:val="28"/>
          <w:szCs w:val="28"/>
        </w:rPr>
        <w:t>排放量7.0</w:t>
      </w:r>
      <w:r>
        <w:rPr>
          <w:color w:val="000000" w:themeColor="text1"/>
          <w:sz w:val="28"/>
          <w:szCs w:val="28"/>
        </w:rPr>
        <w:t>t</w:t>
      </w:r>
      <w:r>
        <w:rPr>
          <w:rFonts w:hint="eastAsia"/>
          <w:color w:val="000000" w:themeColor="text1"/>
          <w:sz w:val="28"/>
          <w:szCs w:val="28"/>
        </w:rPr>
        <w:t>、</w:t>
      </w:r>
      <w:r>
        <w:rPr>
          <w:color w:val="000000" w:themeColor="text1"/>
          <w:sz w:val="28"/>
          <w:szCs w:val="28"/>
        </w:rPr>
        <w:t>SS</w:t>
      </w:r>
      <w:r>
        <w:rPr>
          <w:rFonts w:hint="eastAsia"/>
          <w:color w:val="000000" w:themeColor="text1"/>
          <w:sz w:val="28"/>
          <w:szCs w:val="28"/>
        </w:rPr>
        <w:t>排放量140.1</w:t>
      </w:r>
      <w:r>
        <w:rPr>
          <w:color w:val="000000" w:themeColor="text1"/>
          <w:sz w:val="28"/>
          <w:szCs w:val="28"/>
        </w:rPr>
        <w:t>t</w:t>
      </w:r>
      <w:r>
        <w:rPr>
          <w:rFonts w:hint="eastAsia"/>
          <w:color w:val="000000" w:themeColor="text1"/>
          <w:sz w:val="28"/>
          <w:szCs w:val="28"/>
        </w:rPr>
        <w:t>。</w:t>
      </w:r>
    </w:p>
    <w:p w14:paraId="12B574F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至2</w:t>
      </w:r>
      <w:r>
        <w:rPr>
          <w:color w:val="000000" w:themeColor="text1"/>
          <w:sz w:val="28"/>
          <w:szCs w:val="28"/>
        </w:rPr>
        <w:t>035</w:t>
      </w:r>
      <w:r>
        <w:rPr>
          <w:rFonts w:hint="eastAsia"/>
          <w:color w:val="000000" w:themeColor="text1"/>
          <w:sz w:val="28"/>
          <w:szCs w:val="28"/>
        </w:rPr>
        <w:t>年，平阴县污水再生利用规模达1882.2万</w:t>
      </w:r>
      <w:r>
        <w:rPr>
          <w:color w:val="000000" w:themeColor="text1"/>
          <w:sz w:val="28"/>
          <w:szCs w:val="28"/>
        </w:rPr>
        <w:t>m</w:t>
      </w:r>
      <w:r>
        <w:rPr>
          <w:color w:val="000000" w:themeColor="text1"/>
          <w:sz w:val="28"/>
          <w:szCs w:val="28"/>
          <w:vertAlign w:val="superscript"/>
        </w:rPr>
        <w:t>3</w:t>
      </w:r>
      <w:r>
        <w:rPr>
          <w:rFonts w:hint="eastAsia"/>
          <w:color w:val="000000" w:themeColor="text1"/>
          <w:sz w:val="28"/>
          <w:szCs w:val="28"/>
        </w:rPr>
        <w:t>，以污水处理厂出水一级</w:t>
      </w:r>
      <w:r>
        <w:rPr>
          <w:color w:val="000000" w:themeColor="text1"/>
          <w:sz w:val="28"/>
          <w:szCs w:val="28"/>
        </w:rPr>
        <w:t>A</w:t>
      </w:r>
      <w:r>
        <w:rPr>
          <w:rFonts w:hint="eastAsia"/>
          <w:color w:val="000000" w:themeColor="text1"/>
          <w:sz w:val="28"/>
          <w:szCs w:val="28"/>
        </w:rPr>
        <w:t>来考虑，可每年减少</w:t>
      </w:r>
      <w:r>
        <w:rPr>
          <w:color w:val="000000" w:themeColor="text1"/>
          <w:sz w:val="28"/>
          <w:szCs w:val="28"/>
        </w:rPr>
        <w:t>COD</w:t>
      </w:r>
      <w:r>
        <w:rPr>
          <w:color w:val="000000" w:themeColor="text1"/>
          <w:sz w:val="28"/>
          <w:szCs w:val="28"/>
          <w:vertAlign w:val="subscript"/>
        </w:rPr>
        <w:t xml:space="preserve">Cr </w:t>
      </w:r>
      <w:r>
        <w:rPr>
          <w:rFonts w:hint="eastAsia"/>
          <w:color w:val="000000" w:themeColor="text1"/>
          <w:sz w:val="28"/>
          <w:szCs w:val="28"/>
        </w:rPr>
        <w:t>排放量941.1</w:t>
      </w:r>
      <w:r>
        <w:rPr>
          <w:color w:val="000000" w:themeColor="text1"/>
          <w:sz w:val="28"/>
          <w:szCs w:val="28"/>
        </w:rPr>
        <w:t>t</w:t>
      </w:r>
      <w:r>
        <w:rPr>
          <w:rFonts w:hint="eastAsia"/>
          <w:color w:val="000000" w:themeColor="text1"/>
          <w:sz w:val="28"/>
          <w:szCs w:val="28"/>
        </w:rPr>
        <w:t>、</w:t>
      </w:r>
      <w:r>
        <w:rPr>
          <w:color w:val="000000" w:themeColor="text1"/>
          <w:sz w:val="28"/>
          <w:szCs w:val="28"/>
        </w:rPr>
        <w:t>BOD</w:t>
      </w:r>
      <w:r>
        <w:rPr>
          <w:color w:val="000000" w:themeColor="text1"/>
          <w:sz w:val="28"/>
          <w:szCs w:val="28"/>
          <w:vertAlign w:val="subscript"/>
        </w:rPr>
        <w:t>5</w:t>
      </w:r>
      <w:r>
        <w:rPr>
          <w:rFonts w:hint="eastAsia"/>
          <w:color w:val="000000" w:themeColor="text1"/>
          <w:sz w:val="28"/>
          <w:szCs w:val="28"/>
        </w:rPr>
        <w:t>排放量188.2</w:t>
      </w:r>
      <w:r>
        <w:rPr>
          <w:color w:val="000000" w:themeColor="text1"/>
          <w:sz w:val="28"/>
          <w:szCs w:val="28"/>
        </w:rPr>
        <w:t>t</w:t>
      </w:r>
      <w:r>
        <w:rPr>
          <w:rFonts w:hint="eastAsia"/>
          <w:color w:val="000000" w:themeColor="text1"/>
          <w:sz w:val="28"/>
          <w:szCs w:val="28"/>
        </w:rPr>
        <w:t>、</w:t>
      </w:r>
      <w:r>
        <w:rPr>
          <w:color w:val="000000" w:themeColor="text1"/>
          <w:sz w:val="28"/>
          <w:szCs w:val="28"/>
        </w:rPr>
        <w:t>NH</w:t>
      </w:r>
      <w:r>
        <w:rPr>
          <w:color w:val="000000" w:themeColor="text1"/>
          <w:sz w:val="28"/>
          <w:szCs w:val="28"/>
          <w:vertAlign w:val="subscript"/>
        </w:rPr>
        <w:t>3</w:t>
      </w:r>
      <w:r>
        <w:rPr>
          <w:color w:val="000000" w:themeColor="text1"/>
          <w:sz w:val="28"/>
          <w:szCs w:val="28"/>
        </w:rPr>
        <w:t>-N</w:t>
      </w:r>
      <w:r>
        <w:rPr>
          <w:rFonts w:hint="eastAsia"/>
          <w:color w:val="000000" w:themeColor="text1"/>
          <w:sz w:val="28"/>
          <w:szCs w:val="28"/>
        </w:rPr>
        <w:t>排放量94.1</w:t>
      </w:r>
      <w:r>
        <w:rPr>
          <w:color w:val="000000" w:themeColor="text1"/>
          <w:sz w:val="28"/>
          <w:szCs w:val="28"/>
        </w:rPr>
        <w:t>t</w:t>
      </w:r>
      <w:r>
        <w:rPr>
          <w:rFonts w:hint="eastAsia"/>
          <w:color w:val="000000" w:themeColor="text1"/>
          <w:sz w:val="28"/>
          <w:szCs w:val="28"/>
        </w:rPr>
        <w:t>、</w:t>
      </w:r>
      <w:r>
        <w:rPr>
          <w:color w:val="000000" w:themeColor="text1"/>
          <w:sz w:val="28"/>
          <w:szCs w:val="28"/>
        </w:rPr>
        <w:t>TN</w:t>
      </w:r>
      <w:r>
        <w:rPr>
          <w:rFonts w:hint="eastAsia"/>
          <w:color w:val="000000" w:themeColor="text1"/>
          <w:sz w:val="28"/>
          <w:szCs w:val="28"/>
        </w:rPr>
        <w:t>排放量282.3</w:t>
      </w:r>
      <w:r>
        <w:rPr>
          <w:color w:val="000000" w:themeColor="text1"/>
          <w:sz w:val="28"/>
          <w:szCs w:val="28"/>
        </w:rPr>
        <w:t>t</w:t>
      </w:r>
      <w:r>
        <w:rPr>
          <w:rFonts w:hint="eastAsia"/>
          <w:color w:val="000000" w:themeColor="text1"/>
          <w:sz w:val="28"/>
          <w:szCs w:val="28"/>
        </w:rPr>
        <w:t>、</w:t>
      </w:r>
      <w:r>
        <w:rPr>
          <w:color w:val="000000" w:themeColor="text1"/>
          <w:sz w:val="28"/>
          <w:szCs w:val="28"/>
        </w:rPr>
        <w:t>TP</w:t>
      </w:r>
      <w:r>
        <w:rPr>
          <w:rFonts w:hint="eastAsia"/>
          <w:color w:val="000000" w:themeColor="text1"/>
          <w:sz w:val="28"/>
          <w:szCs w:val="28"/>
        </w:rPr>
        <w:t>排放量9.4</w:t>
      </w:r>
      <w:r>
        <w:rPr>
          <w:color w:val="000000" w:themeColor="text1"/>
          <w:sz w:val="28"/>
          <w:szCs w:val="28"/>
        </w:rPr>
        <w:t>t</w:t>
      </w:r>
      <w:r>
        <w:rPr>
          <w:rFonts w:hint="eastAsia"/>
          <w:color w:val="000000" w:themeColor="text1"/>
          <w:sz w:val="28"/>
          <w:szCs w:val="28"/>
        </w:rPr>
        <w:t>、</w:t>
      </w:r>
      <w:r>
        <w:rPr>
          <w:color w:val="000000" w:themeColor="text1"/>
          <w:sz w:val="28"/>
          <w:szCs w:val="28"/>
        </w:rPr>
        <w:t>SS</w:t>
      </w:r>
      <w:r>
        <w:rPr>
          <w:rFonts w:hint="eastAsia"/>
          <w:color w:val="000000" w:themeColor="text1"/>
          <w:sz w:val="28"/>
          <w:szCs w:val="28"/>
        </w:rPr>
        <w:t>排放量188.2</w:t>
      </w:r>
      <w:r>
        <w:rPr>
          <w:color w:val="000000" w:themeColor="text1"/>
          <w:sz w:val="28"/>
          <w:szCs w:val="28"/>
        </w:rPr>
        <w:t>t</w:t>
      </w:r>
      <w:r>
        <w:rPr>
          <w:rFonts w:hint="eastAsia"/>
          <w:color w:val="000000" w:themeColor="text1"/>
          <w:sz w:val="28"/>
          <w:szCs w:val="28"/>
        </w:rPr>
        <w:t>。</w:t>
      </w:r>
    </w:p>
    <w:p w14:paraId="027714C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平阴县通过实施再生水利用，优化了城市环境，改善城市市容，提高卫生水平，保护当地美丽的自然风景，促进平阴县旅游事业的发展，保障了平阴县的基础设施，促进平阴县社会经济快速发展，为实施</w:t>
      </w:r>
      <w:r>
        <w:rPr>
          <w:rFonts w:hint="eastAsia"/>
          <w:color w:val="000000" w:themeColor="text1"/>
          <w:sz w:val="28"/>
        </w:rPr>
        <w:t>黄河流域生态保护和高质量发展</w:t>
      </w:r>
      <w:r>
        <w:rPr>
          <w:rFonts w:hint="eastAsia"/>
          <w:color w:val="000000" w:themeColor="text1"/>
          <w:sz w:val="28"/>
          <w:szCs w:val="28"/>
        </w:rPr>
        <w:t>起到积极的推进作用。</w:t>
      </w:r>
    </w:p>
    <w:p w14:paraId="3266601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综上分析，本规划的建设具有显著的环境效益。</w:t>
      </w:r>
    </w:p>
    <w:p w14:paraId="7E7412C1">
      <w:pPr>
        <w:snapToGrid w:val="0"/>
        <w:spacing w:before="120" w:beforeLines="50" w:after="120" w:afterLines="50" w:line="600" w:lineRule="exact"/>
        <w:outlineLvl w:val="1"/>
        <w:rPr>
          <w:b/>
          <w:color w:val="000000" w:themeColor="text1"/>
          <w:sz w:val="30"/>
          <w:szCs w:val="30"/>
        </w:rPr>
      </w:pPr>
      <w:bookmarkStart w:id="238" w:name="_Toc144243763"/>
      <w:bookmarkStart w:id="239" w:name="_Toc181472955"/>
      <w:r>
        <w:rPr>
          <w:b/>
          <w:color w:val="000000" w:themeColor="text1"/>
          <w:sz w:val="30"/>
          <w:szCs w:val="30"/>
        </w:rPr>
        <w:t xml:space="preserve">9.3 </w:t>
      </w:r>
      <w:r>
        <w:rPr>
          <w:rFonts w:hint="eastAsia"/>
          <w:b/>
          <w:color w:val="000000" w:themeColor="text1"/>
          <w:sz w:val="30"/>
          <w:szCs w:val="30"/>
        </w:rPr>
        <w:t>社会效益评价</w:t>
      </w:r>
      <w:bookmarkEnd w:id="238"/>
      <w:bookmarkEnd w:id="239"/>
    </w:p>
    <w:p w14:paraId="2C7E624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平阴县实施再生水利用规划的社会效益主要体现在如下几个方面。</w:t>
      </w:r>
    </w:p>
    <w:p w14:paraId="51C56AB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1、平阴县对再生水的开发利用是积极推进落实新时期治水方针和“四水四定”等政策文件要求；不断强化实施最严格水资源管理制度的表现，为深入推进实施</w:t>
      </w:r>
      <w:r>
        <w:rPr>
          <w:rFonts w:hint="eastAsia"/>
          <w:color w:val="000000" w:themeColor="text1"/>
          <w:sz w:val="28"/>
        </w:rPr>
        <w:t>黄河流域生态保护和高质量发展</w:t>
      </w:r>
      <w:r>
        <w:rPr>
          <w:rFonts w:hint="eastAsia"/>
          <w:color w:val="000000" w:themeColor="text1"/>
          <w:sz w:val="28"/>
          <w:szCs w:val="28"/>
        </w:rPr>
        <w:t>起到积极作用。</w:t>
      </w:r>
    </w:p>
    <w:p w14:paraId="26CF24C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再生水作为城市“第二水源”，具有水量稳定，供水有保障等优点；其开发利用优化了平阴县水资源结构，提高水资源供水量，缓解平阴县水资源供需矛盾，提高了平阴县水资源承载能力，有力地促进平阴县社会经济的快速发展。</w:t>
      </w:r>
    </w:p>
    <w:p w14:paraId="722BD0C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3、再生水利用可以大大减少进入河道的污染物，可以改善市区河道水质，提高城市整体水环境质量，有利于居民身心健康，为城市营造休闲娱乐空间，对平阴县的旅游服务业起到积极的作用。</w:t>
      </w:r>
    </w:p>
    <w:p w14:paraId="762E79DD">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4</w:t>
      </w:r>
      <w:r>
        <w:rPr>
          <w:rFonts w:hint="eastAsia"/>
          <w:color w:val="000000" w:themeColor="text1"/>
          <w:sz w:val="28"/>
          <w:szCs w:val="28"/>
        </w:rPr>
        <w:t>、提高城市污水再生利用率也是平阴县县域节水型社会工作、</w:t>
      </w:r>
      <w:r>
        <w:rPr>
          <w:rFonts w:hint="eastAsia"/>
          <w:color w:val="000000" w:themeColor="text1"/>
          <w:sz w:val="28"/>
        </w:rPr>
        <w:t>黄河流域生态保护和高质量发展等相关工作的</w:t>
      </w:r>
      <w:r>
        <w:rPr>
          <w:rFonts w:hint="eastAsia"/>
          <w:color w:val="000000" w:themeColor="text1"/>
          <w:sz w:val="28"/>
          <w:szCs w:val="28"/>
        </w:rPr>
        <w:t>重要内容之一；对增强城市的软实力，对城市的长远发展和投资环境的改善具有重要意义。</w:t>
      </w:r>
    </w:p>
    <w:p w14:paraId="154A4B24">
      <w:pPr>
        <w:snapToGrid w:val="0"/>
        <w:spacing w:before="120" w:beforeLines="50" w:after="120" w:afterLines="50" w:line="600" w:lineRule="exact"/>
        <w:outlineLvl w:val="1"/>
        <w:rPr>
          <w:b/>
          <w:color w:val="000000" w:themeColor="text1"/>
          <w:sz w:val="30"/>
          <w:szCs w:val="30"/>
        </w:rPr>
      </w:pPr>
      <w:bookmarkStart w:id="240" w:name="_Toc144243764"/>
      <w:bookmarkStart w:id="241" w:name="_Toc181472956"/>
      <w:r>
        <w:rPr>
          <w:b/>
          <w:color w:val="000000" w:themeColor="text1"/>
          <w:sz w:val="30"/>
          <w:szCs w:val="30"/>
        </w:rPr>
        <w:t xml:space="preserve">9.4 </w:t>
      </w:r>
      <w:r>
        <w:rPr>
          <w:rFonts w:hint="eastAsia"/>
          <w:b/>
          <w:color w:val="000000" w:themeColor="text1"/>
          <w:sz w:val="30"/>
          <w:szCs w:val="30"/>
        </w:rPr>
        <w:t>经济效益评价</w:t>
      </w:r>
      <w:bookmarkEnd w:id="240"/>
      <w:bookmarkEnd w:id="241"/>
    </w:p>
    <w:p w14:paraId="480CA2D6">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再生水其经济实质是用提供一定数量再生水的处理和管路系统费用来代替提供相应数量的自来水所需的处理费用、管网费用和取水费及相应的污水处理费用和排污费，同时创造河流内使用收益，即再生水是在不增加总可用水资源的情况下，通过降低水资源管理的成本和优化水资源的配置来提高城市水资源的承载力。</w:t>
      </w:r>
    </w:p>
    <w:p w14:paraId="5042BBF9">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再生水利用能直接推动地方经济发展、促进劳动力就业、增加当地旅游业收入和增加当地税收、土地升值，城市基础设施的建设还会美化城市环境，增加市民对城市的认可度和自信心。此外由于提高了平阴县的污水处理能力，从而增加外来投资的机会。</w:t>
      </w:r>
    </w:p>
    <w:p w14:paraId="33752BEC">
      <w:pPr>
        <w:autoSpaceDE w:val="0"/>
        <w:autoSpaceDN w:val="0"/>
        <w:spacing w:line="600" w:lineRule="exact"/>
        <w:ind w:firstLine="560" w:firstLineChars="200"/>
        <w:textAlignment w:val="baseline"/>
        <w:rPr>
          <w:bCs/>
          <w:color w:val="000000" w:themeColor="text1"/>
          <w:sz w:val="28"/>
          <w:szCs w:val="28"/>
        </w:rPr>
      </w:pPr>
    </w:p>
    <w:p w14:paraId="3122D587">
      <w:pPr>
        <w:autoSpaceDE w:val="0"/>
        <w:autoSpaceDN w:val="0"/>
        <w:spacing w:line="600" w:lineRule="exact"/>
        <w:ind w:firstLine="560" w:firstLineChars="200"/>
        <w:textAlignment w:val="baseline"/>
        <w:rPr>
          <w:color w:val="000000" w:themeColor="text1"/>
          <w:sz w:val="28"/>
          <w:szCs w:val="28"/>
        </w:rPr>
        <w:sectPr>
          <w:pgSz w:w="11906" w:h="16838"/>
          <w:pgMar w:top="1440" w:right="1800" w:bottom="1440" w:left="1800" w:header="1020" w:footer="992" w:gutter="0"/>
          <w:cols w:space="425" w:num="1"/>
          <w:docGrid w:linePitch="312" w:charSpace="0"/>
        </w:sectPr>
      </w:pPr>
    </w:p>
    <w:bookmarkEnd w:id="219"/>
    <w:p w14:paraId="5A4D284A">
      <w:pPr>
        <w:tabs>
          <w:tab w:val="center" w:pos="4535"/>
          <w:tab w:val="right" w:pos="9070"/>
        </w:tabs>
        <w:spacing w:before="312" w:beforeLines="100" w:after="468" w:afterLines="150" w:line="600" w:lineRule="exact"/>
        <w:jc w:val="center"/>
        <w:outlineLvl w:val="0"/>
        <w:rPr>
          <w:b/>
          <w:color w:val="000000" w:themeColor="text1"/>
          <w:sz w:val="44"/>
          <w:szCs w:val="36"/>
        </w:rPr>
      </w:pPr>
      <w:bookmarkStart w:id="242" w:name="_Toc181472957"/>
      <w:bookmarkStart w:id="243" w:name="_Toc55920572"/>
      <w:bookmarkStart w:id="244" w:name="_Toc144243765"/>
      <w:r>
        <w:rPr>
          <w:b/>
          <w:color w:val="000000" w:themeColor="text1"/>
          <w:sz w:val="44"/>
          <w:szCs w:val="36"/>
        </w:rPr>
        <w:t>第</w:t>
      </w:r>
      <w:r>
        <w:rPr>
          <w:rFonts w:hint="eastAsia"/>
          <w:b/>
          <w:color w:val="000000" w:themeColor="text1"/>
          <w:sz w:val="44"/>
          <w:szCs w:val="36"/>
        </w:rPr>
        <w:t>十</w:t>
      </w:r>
      <w:r>
        <w:rPr>
          <w:b/>
          <w:color w:val="000000" w:themeColor="text1"/>
          <w:sz w:val="44"/>
          <w:szCs w:val="36"/>
        </w:rPr>
        <w:t xml:space="preserve">章  </w:t>
      </w:r>
      <w:r>
        <w:rPr>
          <w:rFonts w:hint="eastAsia"/>
          <w:b/>
          <w:color w:val="000000" w:themeColor="text1"/>
          <w:sz w:val="44"/>
          <w:szCs w:val="36"/>
        </w:rPr>
        <w:t>规划</w:t>
      </w:r>
      <w:r>
        <w:rPr>
          <w:b/>
          <w:color w:val="000000" w:themeColor="text1"/>
          <w:sz w:val="44"/>
          <w:szCs w:val="36"/>
        </w:rPr>
        <w:t>保障措施</w:t>
      </w:r>
      <w:bookmarkEnd w:id="242"/>
      <w:bookmarkEnd w:id="243"/>
      <w:bookmarkEnd w:id="244"/>
    </w:p>
    <w:p w14:paraId="51BACD9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平阴县再生水利用工程是一项复杂的系统工程，需要平阴县全社会的共同推动，且要有相关政策支持和法律保障。由于再生水利用的复杂性，结合目前平阴县再生水利用情况和存在的问题，建议平阴县从以下几个方面推进再生水利用工作。</w:t>
      </w:r>
    </w:p>
    <w:p w14:paraId="44A10257">
      <w:pPr>
        <w:snapToGrid w:val="0"/>
        <w:spacing w:before="156" w:beforeLines="50" w:after="156" w:afterLines="50" w:line="600" w:lineRule="exact"/>
        <w:outlineLvl w:val="1"/>
        <w:rPr>
          <w:b/>
          <w:color w:val="000000" w:themeColor="text1"/>
          <w:sz w:val="30"/>
          <w:szCs w:val="30"/>
        </w:rPr>
      </w:pPr>
      <w:bookmarkStart w:id="245" w:name="_Toc144243766"/>
      <w:bookmarkStart w:id="246" w:name="_Toc181472958"/>
      <w:r>
        <w:rPr>
          <w:b/>
          <w:color w:val="000000" w:themeColor="text1"/>
          <w:sz w:val="30"/>
          <w:szCs w:val="30"/>
        </w:rPr>
        <w:t>10.1 政策</w:t>
      </w:r>
      <w:r>
        <w:rPr>
          <w:rFonts w:hint="eastAsia"/>
          <w:b/>
          <w:color w:val="000000" w:themeColor="text1"/>
          <w:sz w:val="30"/>
          <w:szCs w:val="30"/>
        </w:rPr>
        <w:t>制度</w:t>
      </w:r>
      <w:bookmarkEnd w:id="245"/>
      <w:bookmarkEnd w:id="246"/>
    </w:p>
    <w:p w14:paraId="65CB435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1、制定有效的政策规章制度</w:t>
      </w:r>
    </w:p>
    <w:p w14:paraId="117DD209">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根据水资源保护、水污染防治、节水型</w:t>
      </w:r>
      <w:r>
        <w:rPr>
          <w:rFonts w:hint="eastAsia"/>
          <w:color w:val="000000" w:themeColor="text1"/>
          <w:sz w:val="28"/>
          <w:szCs w:val="28"/>
        </w:rPr>
        <w:t>社会</w:t>
      </w:r>
      <w:r>
        <w:rPr>
          <w:color w:val="000000" w:themeColor="text1"/>
          <w:sz w:val="28"/>
          <w:szCs w:val="28"/>
        </w:rPr>
        <w:t>建设等方面有关要求，</w:t>
      </w:r>
      <w:r>
        <w:rPr>
          <w:rFonts w:hint="eastAsia"/>
          <w:color w:val="000000" w:themeColor="text1"/>
          <w:sz w:val="28"/>
          <w:szCs w:val="28"/>
        </w:rPr>
        <w:t>平阴县</w:t>
      </w:r>
      <w:r>
        <w:rPr>
          <w:color w:val="000000" w:themeColor="text1"/>
          <w:sz w:val="28"/>
          <w:szCs w:val="28"/>
        </w:rPr>
        <w:t>应健全和完善有关</w:t>
      </w:r>
      <w:r>
        <w:rPr>
          <w:rFonts w:hint="eastAsia"/>
          <w:color w:val="000000" w:themeColor="text1"/>
          <w:sz w:val="28"/>
          <w:szCs w:val="28"/>
        </w:rPr>
        <w:t>再生水利用的</w:t>
      </w:r>
      <w:r>
        <w:rPr>
          <w:color w:val="000000" w:themeColor="text1"/>
          <w:sz w:val="28"/>
          <w:szCs w:val="28"/>
        </w:rPr>
        <w:t>政策</w:t>
      </w:r>
      <w:r>
        <w:rPr>
          <w:rFonts w:hint="eastAsia"/>
          <w:color w:val="000000" w:themeColor="text1"/>
          <w:sz w:val="28"/>
          <w:szCs w:val="28"/>
        </w:rPr>
        <w:t>制度</w:t>
      </w:r>
      <w:r>
        <w:rPr>
          <w:color w:val="000000" w:themeColor="text1"/>
          <w:sz w:val="28"/>
          <w:szCs w:val="28"/>
        </w:rPr>
        <w:t>，加强最严格水资源管理制度</w:t>
      </w:r>
      <w:r>
        <w:rPr>
          <w:rFonts w:hint="eastAsia"/>
          <w:color w:val="000000" w:themeColor="text1"/>
          <w:sz w:val="28"/>
          <w:szCs w:val="28"/>
        </w:rPr>
        <w:t>、节约用水条例</w:t>
      </w:r>
      <w:r>
        <w:rPr>
          <w:color w:val="000000" w:themeColor="text1"/>
          <w:sz w:val="28"/>
          <w:szCs w:val="28"/>
        </w:rPr>
        <w:t>等相关制度的落实</w:t>
      </w:r>
      <w:r>
        <w:rPr>
          <w:rFonts w:hint="eastAsia"/>
          <w:color w:val="000000" w:themeColor="text1"/>
          <w:sz w:val="28"/>
          <w:szCs w:val="28"/>
        </w:rPr>
        <w:t>。用政策规章制度规范再生水利用的建设，把有关再生水利用建设的规定落到实处，强制性促进再生水回用。明确再生水利用在建设节水防污型社会中的地位，确定其使用范围、建设标准和要求，从立法和执法的角度促进污水的资源化。平阴县</w:t>
      </w:r>
      <w:r>
        <w:rPr>
          <w:color w:val="000000" w:themeColor="text1"/>
          <w:sz w:val="28"/>
          <w:szCs w:val="28"/>
        </w:rPr>
        <w:t>再生水利用</w:t>
      </w:r>
      <w:r>
        <w:rPr>
          <w:rFonts w:hint="eastAsia"/>
          <w:color w:val="000000" w:themeColor="text1"/>
          <w:sz w:val="28"/>
          <w:szCs w:val="28"/>
        </w:rPr>
        <w:t>政策规章制度应包括以下内容。</w:t>
      </w:r>
    </w:p>
    <w:p w14:paraId="032D0A1E">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对新建取用水项目严格执行《水污染防治行动计划》“具备使用再生水条件但未充分利用的钢铁、火电、化工、制浆造纸、印染等项目，不得批准其新增取水许可”的要求，新建项目凡是能够使用再生水，应同步规划、审批设计和施工。</w:t>
      </w:r>
    </w:p>
    <w:p w14:paraId="62F91A7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（2）对于需要办理延续取水许可申请的用水单位，充分论证其使用再生水的可行性，具备条件的应该强制使用再生水。</w:t>
      </w:r>
    </w:p>
    <w:p w14:paraId="667D887F">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（3）规定园林灌溉用水、道路保洁用水、景观环境用水和建筑施工用水只允许使用再生水，不可使用自来水等。</w:t>
      </w:r>
    </w:p>
    <w:p w14:paraId="583EFAD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（4）制定一系列水质标准，将再生水利用纳入城市建设设计规范。</w:t>
      </w:r>
    </w:p>
    <w:p w14:paraId="22411003">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5）制定再生水利用的奖惩制度，明确各部门在再生水利用中建设、审批、运行管理的职责划分，相关部门严格把关，杜绝逃避建设再生水利用设施的漏洞，采用法规形式赋予相关部门在再生水使用中的责任和相应的鼓励和处罚权。</w:t>
      </w:r>
    </w:p>
    <w:p w14:paraId="0390769B">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2、制定合理的水价制度体系</w:t>
      </w:r>
    </w:p>
    <w:p w14:paraId="13269560">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市场经济条件下，水价在水资源配置中起主导作用。平阴县要积极推动现行水价政策的改革，建立合理的用水价格体系以及污水处理与再生利用价格体系，实行“分质供水，按质定价”，提高自来水价格，拉大污水再生利用与自来水之间的价格差，从根本上来保证再生水的利用。</w:t>
      </w:r>
    </w:p>
    <w:p w14:paraId="481944E7">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对于再生水价格，将其控制在不高于自来水水价的</w:t>
      </w:r>
      <w:r>
        <w:rPr>
          <w:color w:val="000000" w:themeColor="text1"/>
          <w:sz w:val="28"/>
          <w:szCs w:val="28"/>
        </w:rPr>
        <w:t>70%</w:t>
      </w:r>
      <w:r>
        <w:rPr>
          <w:rFonts w:hint="eastAsia"/>
          <w:color w:val="000000" w:themeColor="text1"/>
          <w:sz w:val="28"/>
          <w:szCs w:val="28"/>
        </w:rPr>
        <w:t>～</w:t>
      </w:r>
      <w:r>
        <w:rPr>
          <w:color w:val="000000" w:themeColor="text1"/>
          <w:sz w:val="28"/>
          <w:szCs w:val="28"/>
        </w:rPr>
        <w:t>80%</w:t>
      </w:r>
      <w:r>
        <w:rPr>
          <w:rFonts w:hint="eastAsia"/>
          <w:color w:val="000000" w:themeColor="text1"/>
          <w:sz w:val="28"/>
          <w:szCs w:val="28"/>
        </w:rPr>
        <w:t>左右。再生水水价制定还可效仿国外制定“反阶梯水价”，用得越多价格优惠越大，与现行的自来水阶梯水价用得越多价格越高的政策相反，反阶梯水价具有创新意义。</w:t>
      </w:r>
    </w:p>
    <w:p w14:paraId="127F7FD3">
      <w:pPr>
        <w:snapToGrid w:val="0"/>
        <w:spacing w:before="156" w:beforeLines="50" w:after="156" w:afterLines="50" w:line="600" w:lineRule="exact"/>
        <w:outlineLvl w:val="1"/>
        <w:rPr>
          <w:b/>
          <w:color w:val="000000" w:themeColor="text1"/>
          <w:sz w:val="30"/>
          <w:szCs w:val="30"/>
        </w:rPr>
      </w:pPr>
      <w:bookmarkStart w:id="247" w:name="_Toc144243767"/>
      <w:bookmarkStart w:id="248" w:name="_Toc181472959"/>
      <w:r>
        <w:rPr>
          <w:b/>
          <w:color w:val="000000" w:themeColor="text1"/>
          <w:sz w:val="30"/>
          <w:szCs w:val="30"/>
        </w:rPr>
        <w:t>10.2 组织管理</w:t>
      </w:r>
      <w:bookmarkEnd w:id="247"/>
      <w:bookmarkEnd w:id="248"/>
    </w:p>
    <w:p w14:paraId="784BEC9A">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w:t>
      </w:r>
      <w:r>
        <w:rPr>
          <w:color w:val="000000" w:themeColor="text1"/>
          <w:sz w:val="28"/>
          <w:szCs w:val="28"/>
        </w:rPr>
        <w:t>组织保障</w:t>
      </w:r>
    </w:p>
    <w:p w14:paraId="13C0D073">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为保障再生水利用</w:t>
      </w:r>
      <w:r>
        <w:rPr>
          <w:rFonts w:hint="eastAsia"/>
          <w:color w:val="000000" w:themeColor="text1"/>
          <w:sz w:val="28"/>
          <w:szCs w:val="28"/>
        </w:rPr>
        <w:t>规划</w:t>
      </w:r>
      <w:r>
        <w:rPr>
          <w:color w:val="000000" w:themeColor="text1"/>
          <w:sz w:val="28"/>
          <w:szCs w:val="28"/>
        </w:rPr>
        <w:t>的有效落实，</w:t>
      </w:r>
      <w:r>
        <w:rPr>
          <w:rFonts w:hint="eastAsia"/>
          <w:color w:val="000000" w:themeColor="text1"/>
          <w:sz w:val="28"/>
          <w:szCs w:val="28"/>
        </w:rPr>
        <w:t>平阴县</w:t>
      </w:r>
      <w:r>
        <w:rPr>
          <w:color w:val="000000" w:themeColor="text1"/>
          <w:sz w:val="28"/>
          <w:szCs w:val="28"/>
        </w:rPr>
        <w:t>应建立以</w:t>
      </w:r>
      <w:r>
        <w:rPr>
          <w:rFonts w:hint="eastAsia"/>
          <w:color w:val="000000" w:themeColor="text1"/>
          <w:sz w:val="28"/>
          <w:szCs w:val="28"/>
        </w:rPr>
        <w:t>县</w:t>
      </w:r>
      <w:r>
        <w:rPr>
          <w:color w:val="000000" w:themeColor="text1"/>
          <w:sz w:val="28"/>
          <w:szCs w:val="28"/>
        </w:rPr>
        <w:t>人民政府为领导，各有关部门相互协调的组织保障体系。</w:t>
      </w:r>
      <w:r>
        <w:rPr>
          <w:rFonts w:hint="eastAsia"/>
          <w:color w:val="000000" w:themeColor="text1"/>
          <w:sz w:val="28"/>
          <w:szCs w:val="28"/>
        </w:rPr>
        <w:t>县</w:t>
      </w:r>
      <w:r>
        <w:rPr>
          <w:color w:val="000000" w:themeColor="text1"/>
          <w:sz w:val="28"/>
          <w:szCs w:val="28"/>
        </w:rPr>
        <w:t>人民政府负责本</w:t>
      </w:r>
      <w:r>
        <w:rPr>
          <w:rFonts w:hint="eastAsia"/>
          <w:color w:val="000000" w:themeColor="text1"/>
          <w:sz w:val="28"/>
          <w:szCs w:val="28"/>
        </w:rPr>
        <w:t>县</w:t>
      </w:r>
      <w:r>
        <w:rPr>
          <w:color w:val="000000" w:themeColor="text1"/>
          <w:sz w:val="28"/>
          <w:szCs w:val="28"/>
        </w:rPr>
        <w:t>再生水利用的政策制定、组织领导工作。</w:t>
      </w:r>
      <w:r>
        <w:rPr>
          <w:rFonts w:hint="eastAsia"/>
          <w:color w:val="000000" w:themeColor="text1"/>
          <w:sz w:val="28"/>
          <w:szCs w:val="28"/>
        </w:rPr>
        <w:t>县</w:t>
      </w:r>
      <w:r>
        <w:rPr>
          <w:color w:val="000000" w:themeColor="text1"/>
          <w:sz w:val="28"/>
          <w:szCs w:val="28"/>
        </w:rPr>
        <w:t>水务主管部门负责本</w:t>
      </w:r>
      <w:r>
        <w:rPr>
          <w:rFonts w:hint="eastAsia"/>
          <w:color w:val="000000" w:themeColor="text1"/>
          <w:sz w:val="28"/>
          <w:szCs w:val="28"/>
        </w:rPr>
        <w:t>县</w:t>
      </w:r>
      <w:r>
        <w:rPr>
          <w:color w:val="000000" w:themeColor="text1"/>
          <w:sz w:val="28"/>
          <w:szCs w:val="28"/>
        </w:rPr>
        <w:t>再生水利用的监督管理工作，并将再生水利用纳入全</w:t>
      </w:r>
      <w:r>
        <w:rPr>
          <w:rFonts w:hint="eastAsia"/>
          <w:color w:val="000000" w:themeColor="text1"/>
          <w:sz w:val="28"/>
          <w:szCs w:val="28"/>
        </w:rPr>
        <w:t>县</w:t>
      </w:r>
      <w:r>
        <w:rPr>
          <w:color w:val="000000" w:themeColor="text1"/>
          <w:sz w:val="28"/>
          <w:szCs w:val="28"/>
        </w:rPr>
        <w:t>水资源统一配置，同时负责制定本</w:t>
      </w:r>
      <w:r>
        <w:rPr>
          <w:rFonts w:hint="eastAsia"/>
          <w:color w:val="000000" w:themeColor="text1"/>
          <w:sz w:val="28"/>
          <w:szCs w:val="28"/>
        </w:rPr>
        <w:t>县</w:t>
      </w:r>
      <w:r>
        <w:rPr>
          <w:color w:val="000000" w:themeColor="text1"/>
          <w:sz w:val="28"/>
          <w:szCs w:val="28"/>
        </w:rPr>
        <w:t>再生水利用实施计划，依据本</w:t>
      </w:r>
      <w:r>
        <w:rPr>
          <w:rFonts w:hint="eastAsia"/>
          <w:color w:val="000000" w:themeColor="text1"/>
          <w:sz w:val="28"/>
          <w:szCs w:val="28"/>
        </w:rPr>
        <w:t>县</w:t>
      </w:r>
      <w:r>
        <w:rPr>
          <w:color w:val="000000" w:themeColor="text1"/>
          <w:sz w:val="28"/>
          <w:szCs w:val="28"/>
        </w:rPr>
        <w:t>再生水利用专项规划以及城市发展的需要，做到厂网配套、管网优先、建管并重，并与道路建设相协调，保证管网建设的系统性。鼓励社会资本投资建设再生水利用设施。</w:t>
      </w:r>
      <w:r>
        <w:rPr>
          <w:rFonts w:hint="eastAsia"/>
          <w:color w:val="000000" w:themeColor="text1"/>
          <w:sz w:val="28"/>
          <w:szCs w:val="28"/>
        </w:rPr>
        <w:t>县</w:t>
      </w:r>
      <w:r>
        <w:rPr>
          <w:color w:val="000000" w:themeColor="text1"/>
          <w:sz w:val="28"/>
          <w:szCs w:val="28"/>
        </w:rPr>
        <w:t>自然资源部门会同</w:t>
      </w:r>
      <w:r>
        <w:rPr>
          <w:rFonts w:hint="eastAsia"/>
          <w:color w:val="000000" w:themeColor="text1"/>
          <w:sz w:val="28"/>
          <w:szCs w:val="28"/>
        </w:rPr>
        <w:t>县</w:t>
      </w:r>
      <w:r>
        <w:rPr>
          <w:color w:val="000000" w:themeColor="text1"/>
          <w:sz w:val="28"/>
          <w:szCs w:val="28"/>
        </w:rPr>
        <w:t>水务、生态环境、住建等部门制定本</w:t>
      </w:r>
      <w:r>
        <w:rPr>
          <w:rFonts w:hint="eastAsia"/>
          <w:color w:val="000000" w:themeColor="text1"/>
          <w:sz w:val="28"/>
          <w:szCs w:val="28"/>
        </w:rPr>
        <w:t>县</w:t>
      </w:r>
      <w:r>
        <w:rPr>
          <w:color w:val="000000" w:themeColor="text1"/>
          <w:sz w:val="28"/>
          <w:szCs w:val="28"/>
        </w:rPr>
        <w:t>再生水利用专项规划，并与国民经济和社会发展规划以及城市总体规划、环境保护规划、水资源规划等规划相协调。</w:t>
      </w:r>
    </w:p>
    <w:p w14:paraId="67099308">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监督管理</w:t>
      </w:r>
    </w:p>
    <w:p w14:paraId="6170979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完善再生水资源管理制度。将全县再生水资源统一管理、统一配置，实行地表水、地下水、再生水等联合调度。统筹推进再生水设施、管网等建设管理。将再生水纳入用水计划管理，核定年度用水计划时，对具备利用再生水条件的用水户，明确再生水最低利用量指标；对按计划应当使用而未使用或使用量未达到要求的用水户，核减其下一年度的常规水源用水计划，并对常规水超计划用水执行累进加价制度。</w:t>
      </w:r>
    </w:p>
    <w:p w14:paraId="37B1E72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强化对再生水利用设施及配套管网的监管，建立严格的再生水水质监督管理制度，健全再生水安全保障体系，确保再生水使用安全。编制再生水利用应急预案，建立再生水利用突发事件应急处置机制。对因再生水水质、水量发生重大变化，或因突发事件、事故造成关键设备停机，可能影响供水安全的，再生水生产销售企业应按应急预案要求组织抢修，尽快恢复正常运行。</w:t>
      </w:r>
    </w:p>
    <w:p w14:paraId="0F57619E">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为加强平阴县再生水设施的建设、运营监管，规范再生水设施建设和运营养护工作，提高水资源利用率，应出台再生水管理的相关制度。从再生水利用的管理体制、再生水使用范围以及水质标准、再生水设施的规划建设、运营与维护、建设投融资政策、监测与监督、再生水定价政策、责任等方面明确相应内容，构建再生水利用的规章制度框架体系。</w:t>
      </w:r>
    </w:p>
    <w:p w14:paraId="7D50235D">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3、质量监管</w:t>
      </w:r>
    </w:p>
    <w:p w14:paraId="25E43D36">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由于污水再生利用具有潜在的健康风险和环境风险，可能直接影响到公众的身体健康和环境质量，因而必须加强政府的质量监管职能，该项监管职能的内容主要包括再生水水质以及污水再生利用可能带来的环境影响。</w:t>
      </w:r>
    </w:p>
    <w:p w14:paraId="1BA5C75A">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监管部门应该加强污水利用过程的监督检查。应保持对使用再生水的工业企业的检查，加强对自备水源的管理，对于违反规定使用自备水源的企业应该进行处罚；对于绿化用水，应该加强检查，杜绝环卫工人图方便采用消防用水浇灌绿地的现象；必须做好作为景观环境用水的再生水排入河道的监督，要保证排入河道的再生水达到利用标准，真正起到改善城市景观和水环境的效用。</w:t>
      </w:r>
    </w:p>
    <w:p w14:paraId="789AAD13">
      <w:pPr>
        <w:snapToGrid w:val="0"/>
        <w:spacing w:before="156" w:beforeLines="50" w:after="156" w:afterLines="50" w:line="600" w:lineRule="exact"/>
        <w:outlineLvl w:val="1"/>
        <w:rPr>
          <w:b/>
          <w:color w:val="000000" w:themeColor="text1"/>
          <w:sz w:val="30"/>
          <w:szCs w:val="30"/>
        </w:rPr>
      </w:pPr>
      <w:bookmarkStart w:id="249" w:name="_Toc181472960"/>
      <w:bookmarkStart w:id="250" w:name="_Toc144243768"/>
      <w:r>
        <w:rPr>
          <w:b/>
          <w:color w:val="000000" w:themeColor="text1"/>
          <w:sz w:val="30"/>
          <w:szCs w:val="30"/>
        </w:rPr>
        <w:t>10.3 资金保障</w:t>
      </w:r>
      <w:bookmarkEnd w:id="249"/>
      <w:bookmarkEnd w:id="250"/>
    </w:p>
    <w:p w14:paraId="0C89B4F0">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依据《山东省水利厅等六部门关于印发落实和完善节水激励政策若干措施的通知》（鲁水节字〔2021〕3号）等相关政策要求，</w:t>
      </w:r>
      <w:r>
        <w:rPr>
          <w:color w:val="000000" w:themeColor="text1"/>
          <w:sz w:val="28"/>
          <w:szCs w:val="28"/>
        </w:rPr>
        <w:t>积极建立“政府引导、市场推动、多元投入、社会参与”的再生水利用设施建设投入机制，积极争取中央</w:t>
      </w:r>
      <w:r>
        <w:rPr>
          <w:rFonts w:hint="eastAsia"/>
          <w:color w:val="000000" w:themeColor="text1"/>
          <w:sz w:val="28"/>
          <w:szCs w:val="28"/>
        </w:rPr>
        <w:t>、</w:t>
      </w:r>
      <w:r>
        <w:rPr>
          <w:color w:val="000000" w:themeColor="text1"/>
          <w:sz w:val="28"/>
          <w:szCs w:val="28"/>
        </w:rPr>
        <w:t>省级</w:t>
      </w:r>
      <w:r>
        <w:rPr>
          <w:rFonts w:hint="eastAsia"/>
          <w:color w:val="000000" w:themeColor="text1"/>
          <w:sz w:val="28"/>
          <w:szCs w:val="28"/>
        </w:rPr>
        <w:t>及市级</w:t>
      </w:r>
      <w:r>
        <w:rPr>
          <w:color w:val="000000" w:themeColor="text1"/>
          <w:sz w:val="28"/>
          <w:szCs w:val="28"/>
        </w:rPr>
        <w:t>资金支持，有效整合地方财政资金，切实落实地方公共财政投入。</w:t>
      </w:r>
    </w:p>
    <w:p w14:paraId="536E46CD">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拓宽投融资渠道，创造良好投资环境，促进污水处理、再生水利用等具备一定收益能力的项目形成市场化融资机制，充分发挥市场融资的作用。积极吸引国家政策性银行、商业银行和社会资金参与再生水项目建设工作。根据</w:t>
      </w:r>
      <w:r>
        <w:rPr>
          <w:rFonts w:hint="eastAsia"/>
          <w:color w:val="000000" w:themeColor="text1"/>
          <w:sz w:val="28"/>
          <w:szCs w:val="28"/>
        </w:rPr>
        <w:t>平阴县</w:t>
      </w:r>
      <w:r>
        <w:rPr>
          <w:color w:val="000000" w:themeColor="text1"/>
          <w:sz w:val="28"/>
          <w:szCs w:val="28"/>
        </w:rPr>
        <w:t>再生水利用设施建设的实际情况，可采用PPP模式建立多元筹资方案，不断吸引社会资本的进入，形成良好的可持续性的投入体制。</w:t>
      </w:r>
    </w:p>
    <w:p w14:paraId="489F09D4">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制定相关鼓励再生水消费政策，对于再生水管网覆盖的区域，绿化浇洒、街道清扫、锅炉冷却等用水应优先使用再生水。对于再生水管网没有覆盖的路段，绿化浇洒、街道清扫等用水应鼓励采用洒水车送水。对于城市景观水体，鼓励采用再生水作为景观和生态用水补给水源，提高水体的生态性和观赏性。对使用再生水进行绿化浇洒、街道清扫、冲厕、洗车等用户进行资金奖补或税费优惠。</w:t>
      </w:r>
    </w:p>
    <w:p w14:paraId="1848E9C7">
      <w:pPr>
        <w:snapToGrid w:val="0"/>
        <w:spacing w:before="156" w:beforeLines="50" w:after="156" w:afterLines="50" w:line="600" w:lineRule="exact"/>
        <w:outlineLvl w:val="1"/>
        <w:rPr>
          <w:b/>
          <w:color w:val="000000" w:themeColor="text1"/>
          <w:sz w:val="30"/>
          <w:szCs w:val="30"/>
        </w:rPr>
      </w:pPr>
      <w:bookmarkStart w:id="251" w:name="_Toc181472961"/>
      <w:bookmarkStart w:id="252" w:name="_Toc144243769"/>
      <w:r>
        <w:rPr>
          <w:b/>
          <w:color w:val="000000" w:themeColor="text1"/>
          <w:sz w:val="30"/>
          <w:szCs w:val="30"/>
        </w:rPr>
        <w:t>10.4 科技保障</w:t>
      </w:r>
      <w:bookmarkEnd w:id="251"/>
      <w:bookmarkEnd w:id="252"/>
    </w:p>
    <w:p w14:paraId="0667D030">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1、</w:t>
      </w:r>
      <w:r>
        <w:rPr>
          <w:color w:val="000000" w:themeColor="text1"/>
          <w:sz w:val="28"/>
          <w:szCs w:val="28"/>
        </w:rPr>
        <w:t>节水节能</w:t>
      </w:r>
    </w:p>
    <w:p w14:paraId="244184D6">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节约用水是我国的国策，</w:t>
      </w:r>
      <w:r>
        <w:rPr>
          <w:rFonts w:hint="eastAsia"/>
          <w:color w:val="000000" w:themeColor="text1"/>
          <w:sz w:val="28"/>
          <w:szCs w:val="28"/>
        </w:rPr>
        <w:t>平阴县</w:t>
      </w:r>
      <w:r>
        <w:rPr>
          <w:color w:val="000000" w:themeColor="text1"/>
          <w:sz w:val="28"/>
          <w:szCs w:val="28"/>
        </w:rPr>
        <w:t>应按照总量控制、计划用水、节约用水相结合的原则，提高用水效率、减少资源浪费，促进水资源可持续利用和经济、社会稳定发展。在设施节水方面，应加强供水管网的维护管理、使用新型管材和接口，鼓励选用质量好的节水型用水器具，有效防止管网和用水器具漏</w:t>
      </w:r>
      <w:r>
        <w:rPr>
          <w:rFonts w:hint="eastAsia"/>
          <w:color w:val="000000" w:themeColor="text1"/>
          <w:sz w:val="28"/>
          <w:szCs w:val="28"/>
        </w:rPr>
        <w:t>水</w:t>
      </w:r>
      <w:r>
        <w:rPr>
          <w:color w:val="000000" w:themeColor="text1"/>
          <w:sz w:val="28"/>
          <w:szCs w:val="28"/>
        </w:rPr>
        <w:t>。在工业节水方面，应鼓励冷却水的循环使用和工艺用水工序间的重复使用，提高水资源利用效率。同时应鼓励生产企业采用节水型、低水耗和零水耗生产工艺，改进废水处理工艺，进一步提高节水效率。在节水宣传方面，应积极宣传节约用水，对表现突出的节水企</w:t>
      </w:r>
      <w:r>
        <w:rPr>
          <w:rFonts w:hint="eastAsia"/>
          <w:color w:val="000000" w:themeColor="text1"/>
          <w:sz w:val="28"/>
          <w:szCs w:val="28"/>
        </w:rPr>
        <w:t>业</w:t>
      </w:r>
      <w:r>
        <w:rPr>
          <w:color w:val="000000" w:themeColor="text1"/>
          <w:sz w:val="28"/>
          <w:szCs w:val="28"/>
        </w:rPr>
        <w:t>、事业单位或节水社区予以鼓励。建立与节水型社会相符合的节水文化，形成节水的社会风尚和文明消费方式。</w:t>
      </w:r>
    </w:p>
    <w:p w14:paraId="0091D04D">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节能涉及</w:t>
      </w:r>
      <w:r>
        <w:rPr>
          <w:rFonts w:hint="eastAsia"/>
          <w:color w:val="000000" w:themeColor="text1"/>
          <w:sz w:val="28"/>
          <w:szCs w:val="28"/>
        </w:rPr>
        <w:t>再生水</w:t>
      </w:r>
      <w:r>
        <w:rPr>
          <w:color w:val="000000" w:themeColor="text1"/>
          <w:sz w:val="28"/>
          <w:szCs w:val="28"/>
        </w:rPr>
        <w:t>供水工程的方方面面。在新建或改扩建再生水厂时，应按照国家的有关规定，考核水厂、泵站的能耗指标。送水泵站应采用大型水泵机组和变频调速电机，根据管网末梢压力反馈，调整出水压力，提高机泵设备的运行效率，以达到良好的节能效果。设备选型要考虑符合国家规定的节能产品，管网选材应选用新型优质 管材减少管壁粗糙度，降低水头损失。同时还应加强运行调度工作，在保持服务压力的前提下，应对供水调度方案进行优化，通过合理运行水泵等设备使电耗（或成本）降到最低。</w:t>
      </w:r>
    </w:p>
    <w:p w14:paraId="74F0C32E">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2、</w:t>
      </w:r>
      <w:r>
        <w:rPr>
          <w:color w:val="000000" w:themeColor="text1"/>
          <w:sz w:val="28"/>
          <w:szCs w:val="28"/>
        </w:rPr>
        <w:t>安全保障</w:t>
      </w:r>
    </w:p>
    <w:p w14:paraId="537CB82B">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为提高再生水供水系统的安全性和供水保障率，应制定完善的应急预案，提高突发灾害时的反应能力。应采用GIS、GPS等先进手段建立完善的管道信息管理系统，在事故发生时，能够准确</w:t>
      </w:r>
      <w:r>
        <w:rPr>
          <w:rFonts w:hint="eastAsia"/>
          <w:color w:val="000000" w:themeColor="text1"/>
          <w:sz w:val="28"/>
          <w:szCs w:val="28"/>
        </w:rPr>
        <w:t>地</w:t>
      </w:r>
      <w:r>
        <w:rPr>
          <w:color w:val="000000" w:themeColor="text1"/>
          <w:sz w:val="28"/>
          <w:szCs w:val="28"/>
        </w:rPr>
        <w:t>确定灾害所破坏的范围，确定抢修及关阀方案，及时调度抢修人员奔赴现场。应加强巡线管理工作，对管道沿线地貌、阀井节点、水表节点等有无异常状况，如被压、被埋、损坏、沉降、明漏、暗漏疑点等，及时进行跟踪处理，并填写记录。应建立输水管道快速抢修机制，成立专业化工程抢修队伍，制定抢修预案，拟定输水管道的快速抢修方法，预备抢修器材、机具等设施。</w:t>
      </w:r>
    </w:p>
    <w:p w14:paraId="72B223C2">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3、</w:t>
      </w:r>
      <w:r>
        <w:rPr>
          <w:color w:val="000000" w:themeColor="text1"/>
          <w:sz w:val="28"/>
          <w:szCs w:val="28"/>
        </w:rPr>
        <w:t>信息化管理</w:t>
      </w:r>
    </w:p>
    <w:p w14:paraId="20D7ED4B">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为提高再生水的供水保障率和降低运行成本，提高运行调度效率，减少安全事故发生，应加强再生水供水管理的信息化建设。将供水管网系统运行的所有数据进行集中管理，在此基础上统一规划，构建供水调度、管网运行、水质监控、故障处理、收费、用户服务等专业应用系统，形成再生水供水综合管理信息平台。</w:t>
      </w:r>
    </w:p>
    <w:p w14:paraId="16B71D48">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供水管理信息化系统主要包括三个部分：供水调度系统，水质监测和预警系统，用户服务系统。</w:t>
      </w:r>
    </w:p>
    <w:p w14:paraId="09EB0E21">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供水调度系统的组成主要包括：管网SCADA系统；管网水力模型系统；管网优化调度系统。管网SCADA系统，即集成化的数据采集与监控系统，通过遥测、遥控、遥讯、遥调技术，对管网及设施运行状态和数据参数进行实时监控和反馈。水力模型系统是以管网GIS作为基础建立起来的管网仿真模拟系统，可以对当前管网的水力运行状态进行在线模拟，对管网的多工况进行延时模拟，对管网未来的调度决策进行预案模拟。管网优化调度系统中包括用水量预测和优化决策两个功能。用水量预测主要包含日用水量和时用水量的预测。优化决策将接收到的多种调度方案，分别进行水力模拟，根据模拟计算的结果，筛选得到最优方案</w:t>
      </w:r>
    </w:p>
    <w:p w14:paraId="1989B998">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水质监测系统包括中心站和监测子站两部分。监测子站内部包括采水部分、分析仪表和计算机控制系统部分，水样经过采水系统通过泵、阀、管路进入相关仪器、仪表进行水质自动分析与检测，并实时传输至中心站。中心站以数据处理分析为主，对监视子站的实时数据、历史曲线进行监控，并实现历史数据的统计和各种报表的自动生成。</w:t>
      </w:r>
    </w:p>
    <w:p w14:paraId="0F9FDA5B">
      <w:pPr>
        <w:autoSpaceDE w:val="0"/>
        <w:autoSpaceDN w:val="0"/>
        <w:spacing w:line="600" w:lineRule="exact"/>
        <w:ind w:firstLine="560" w:firstLineChars="200"/>
        <w:textAlignment w:val="baseline"/>
        <w:rPr>
          <w:color w:val="000000" w:themeColor="text1"/>
          <w:sz w:val="28"/>
          <w:szCs w:val="28"/>
        </w:rPr>
      </w:pPr>
      <w:r>
        <w:rPr>
          <w:color w:val="000000" w:themeColor="text1"/>
          <w:sz w:val="28"/>
          <w:szCs w:val="28"/>
        </w:rPr>
        <w:t>用户服务系统的功能主要包括：业务咨询、信息查询、业务申报受理、业务投诉受理、用户服务热线、营业收费管理（包括抄表、收费等数据处理）。</w:t>
      </w:r>
    </w:p>
    <w:p w14:paraId="10D1287B">
      <w:pPr>
        <w:snapToGrid w:val="0"/>
        <w:spacing w:before="156" w:beforeLines="50" w:after="156" w:afterLines="50" w:line="600" w:lineRule="exact"/>
        <w:outlineLvl w:val="1"/>
        <w:rPr>
          <w:b/>
          <w:color w:val="000000" w:themeColor="text1"/>
          <w:sz w:val="30"/>
          <w:szCs w:val="30"/>
        </w:rPr>
      </w:pPr>
      <w:bookmarkStart w:id="253" w:name="_Toc144243770"/>
      <w:bookmarkStart w:id="254" w:name="_Toc181472962"/>
      <w:r>
        <w:rPr>
          <w:b/>
          <w:color w:val="000000" w:themeColor="text1"/>
          <w:sz w:val="30"/>
          <w:szCs w:val="30"/>
        </w:rPr>
        <w:t xml:space="preserve">10.5 </w:t>
      </w:r>
      <w:r>
        <w:rPr>
          <w:rFonts w:hint="eastAsia"/>
          <w:b/>
          <w:color w:val="000000" w:themeColor="text1"/>
          <w:sz w:val="30"/>
          <w:szCs w:val="30"/>
        </w:rPr>
        <w:t>宣传教育</w:t>
      </w:r>
      <w:bookmarkEnd w:id="253"/>
      <w:bookmarkEnd w:id="254"/>
    </w:p>
    <w:p w14:paraId="4AF3AD15">
      <w:pPr>
        <w:autoSpaceDE w:val="0"/>
        <w:autoSpaceDN w:val="0"/>
        <w:spacing w:line="600" w:lineRule="exact"/>
        <w:ind w:firstLine="560" w:firstLineChars="200"/>
        <w:textAlignment w:val="baseline"/>
        <w:rPr>
          <w:color w:val="000000" w:themeColor="text1"/>
          <w:sz w:val="28"/>
          <w:szCs w:val="28"/>
        </w:rPr>
      </w:pPr>
      <w:r>
        <w:rPr>
          <w:rFonts w:hint="eastAsia"/>
          <w:color w:val="000000" w:themeColor="text1"/>
          <w:sz w:val="28"/>
          <w:szCs w:val="28"/>
        </w:rPr>
        <w:t>再生水利用关系着各行各业，不但要得到各有关部门的支持，同时还要得到广大人民群众的认同。结合世界水日、中国水周、全国城市节水宣传周等主题宣传活动，采取各种形式大力开展再生水利用对优化平阴县水资源配置格局、缓解平阴县水资源供需矛盾、改善水生态环境质量和推进水资源循环利用的科普宣传教育，提高公众对再生水利用的认知度和认可度，消除公众顾虑，增强使用意愿。日常可围绕再生水建设和利用，充分利用网络、微信、电视、广播、新媒体等信息传播平台，组织开展多种形式的再生水利用专题宣传，提高社会群众的再生水建设利用的接受度、认知度，树立自觉使用、科学使用、安全使用再生水的意识，营造全社会共同参与再生水利用的良好氛围。</w:t>
      </w:r>
    </w:p>
    <w:p w14:paraId="204093F2">
      <w:pPr>
        <w:autoSpaceDE w:val="0"/>
        <w:autoSpaceDN w:val="0"/>
        <w:spacing w:line="600" w:lineRule="exact"/>
        <w:ind w:firstLine="560" w:firstLineChars="200"/>
        <w:textAlignment w:val="baseline"/>
        <w:rPr>
          <w:color w:val="000000" w:themeColor="text1"/>
          <w:sz w:val="28"/>
          <w:szCs w:val="28"/>
        </w:rPr>
      </w:pPr>
    </w:p>
    <w:bookmarkEnd w:id="1"/>
    <w:bookmarkEnd w:id="2"/>
    <w:bookmarkEnd w:id="148"/>
    <w:bookmarkEnd w:id="149"/>
    <w:bookmarkEnd w:id="150"/>
    <w:p w14:paraId="3D7C66FF">
      <w:pPr>
        <w:jc w:val="center"/>
        <w:rPr>
          <w:color w:val="000000" w:themeColor="text1"/>
          <w:sz w:val="28"/>
          <w:szCs w:val="28"/>
        </w:rPr>
        <w:sectPr>
          <w:type w:val="nextColumn"/>
          <w:pgSz w:w="11906" w:h="16838"/>
          <w:pgMar w:top="1440" w:right="1800" w:bottom="1440" w:left="1800" w:header="851" w:footer="992" w:gutter="0"/>
          <w:cols w:space="425" w:num="1"/>
          <w:docGrid w:type="lines" w:linePitch="312" w:charSpace="0"/>
        </w:sectPr>
      </w:pPr>
    </w:p>
    <w:p w14:paraId="166EB910">
      <w:pPr>
        <w:ind w:firstLine="1920" w:firstLineChars="200"/>
        <w:rPr>
          <w:color w:val="000000" w:themeColor="text1"/>
          <w:sz w:val="96"/>
          <w:szCs w:val="96"/>
        </w:rPr>
      </w:pPr>
    </w:p>
    <w:p w14:paraId="30BE4EBD">
      <w:pPr>
        <w:ind w:firstLine="1920" w:firstLineChars="200"/>
        <w:rPr>
          <w:color w:val="000000" w:themeColor="text1"/>
          <w:sz w:val="96"/>
          <w:szCs w:val="96"/>
        </w:rPr>
      </w:pPr>
    </w:p>
    <w:p w14:paraId="0FDF7DC8">
      <w:pPr>
        <w:ind w:firstLine="1920" w:firstLineChars="200"/>
        <w:rPr>
          <w:color w:val="000000" w:themeColor="text1"/>
          <w:sz w:val="96"/>
          <w:szCs w:val="96"/>
        </w:rPr>
      </w:pPr>
    </w:p>
    <w:p w14:paraId="0BE92253">
      <w:pPr>
        <w:jc w:val="center"/>
        <w:rPr>
          <w:color w:val="000000" w:themeColor="text1"/>
          <w:sz w:val="96"/>
          <w:szCs w:val="96"/>
        </w:rPr>
      </w:pPr>
      <w:r>
        <w:rPr>
          <w:color w:val="000000" w:themeColor="text1"/>
          <w:sz w:val="96"/>
          <w:szCs w:val="96"/>
        </w:rPr>
        <w:t>附</w:t>
      </w:r>
    </w:p>
    <w:p w14:paraId="09D67444">
      <w:pPr>
        <w:jc w:val="center"/>
        <w:rPr>
          <w:color w:val="000000" w:themeColor="text1"/>
          <w:sz w:val="96"/>
          <w:szCs w:val="96"/>
        </w:rPr>
      </w:pPr>
    </w:p>
    <w:p w14:paraId="03370B54">
      <w:pPr>
        <w:jc w:val="center"/>
        <w:rPr>
          <w:color w:val="000000" w:themeColor="text1"/>
          <w:sz w:val="96"/>
          <w:szCs w:val="96"/>
        </w:rPr>
      </w:pPr>
      <w:r>
        <w:rPr>
          <w:color w:val="000000" w:themeColor="text1"/>
          <w:sz w:val="96"/>
          <w:szCs w:val="96"/>
        </w:rPr>
        <w:t>图</w:t>
      </w:r>
    </w:p>
    <w:p w14:paraId="71BA58F3">
      <w:pPr>
        <w:jc w:val="center"/>
        <w:rPr>
          <w:color w:val="000000" w:themeColor="text1"/>
          <w:sz w:val="96"/>
          <w:szCs w:val="96"/>
        </w:rPr>
      </w:pPr>
    </w:p>
    <w:p w14:paraId="07A8E51B">
      <w:pPr>
        <w:jc w:val="center"/>
        <w:rPr>
          <w:color w:val="000000" w:themeColor="text1"/>
          <w:sz w:val="96"/>
          <w:szCs w:val="96"/>
        </w:rPr>
        <w:sectPr>
          <w:pgSz w:w="11906" w:h="16838"/>
          <w:pgMar w:top="1440" w:right="1418" w:bottom="1440" w:left="1418" w:header="851" w:footer="992" w:gutter="0"/>
          <w:cols w:space="425" w:num="1"/>
          <w:docGrid w:type="lines" w:linePitch="312" w:charSpace="0"/>
        </w:sectPr>
      </w:pPr>
    </w:p>
    <w:p w14:paraId="09ADB25E">
      <w:pPr>
        <w:jc w:val="left"/>
        <w:outlineLvl w:val="0"/>
        <w:rPr>
          <w:b/>
          <w:color w:val="000000" w:themeColor="text1"/>
          <w:sz w:val="32"/>
          <w:szCs w:val="32"/>
        </w:rPr>
      </w:pPr>
      <w:bookmarkStart w:id="255" w:name="_Toc144243840"/>
      <w:bookmarkStart w:id="256" w:name="_Toc181472965"/>
      <w:bookmarkStart w:id="257" w:name="_Toc181388406"/>
      <w:bookmarkStart w:id="258" w:name="_Toc144243773"/>
      <w:r>
        <w:rPr>
          <w:b/>
          <w:color w:val="000000" w:themeColor="text1"/>
          <w:sz w:val="32"/>
          <w:szCs w:val="32"/>
        </w:rPr>
        <w:t xml:space="preserve">附图1  </w:t>
      </w:r>
      <w:r>
        <w:rPr>
          <w:rFonts w:hint="eastAsia"/>
          <w:b/>
          <w:color w:val="000000" w:themeColor="text1"/>
          <w:sz w:val="32"/>
          <w:szCs w:val="32"/>
        </w:rPr>
        <w:t>平阴县行政区划图</w:t>
      </w:r>
      <w:bookmarkEnd w:id="255"/>
      <w:bookmarkEnd w:id="256"/>
      <w:bookmarkEnd w:id="257"/>
      <w:bookmarkEnd w:id="258"/>
    </w:p>
    <w:p w14:paraId="7A3A08F3">
      <w:pPr>
        <w:jc w:val="center"/>
        <w:rPr>
          <w:color w:val="000000" w:themeColor="text1"/>
          <w:sz w:val="48"/>
          <w:szCs w:val="48"/>
        </w:rPr>
      </w:pPr>
      <w:r>
        <w:rPr>
          <w:color w:val="000000" w:themeColor="text1"/>
          <w:sz w:val="48"/>
          <w:szCs w:val="48"/>
        </w:rPr>
        <w:drawing>
          <wp:inline distT="0" distB="0" distL="0" distR="0">
            <wp:extent cx="5581650" cy="7160260"/>
            <wp:effectExtent l="0" t="0" r="0" b="0"/>
            <wp:docPr id="13561208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20801" name="图片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587339" cy="7167658"/>
                    </a:xfrm>
                    <a:prstGeom prst="rect">
                      <a:avLst/>
                    </a:prstGeom>
                    <a:noFill/>
                  </pic:spPr>
                </pic:pic>
              </a:graphicData>
            </a:graphic>
          </wp:inline>
        </w:drawing>
      </w:r>
    </w:p>
    <w:p w14:paraId="18B19128">
      <w:pPr>
        <w:jc w:val="center"/>
        <w:rPr>
          <w:color w:val="000000" w:themeColor="text1"/>
          <w:sz w:val="48"/>
          <w:szCs w:val="48"/>
        </w:rPr>
      </w:pPr>
    </w:p>
    <w:p w14:paraId="27FDD571">
      <w:pPr>
        <w:jc w:val="center"/>
        <w:rPr>
          <w:color w:val="000000" w:themeColor="text1"/>
          <w:sz w:val="48"/>
          <w:szCs w:val="48"/>
        </w:rPr>
        <w:sectPr>
          <w:pgSz w:w="11906" w:h="16838"/>
          <w:pgMar w:top="1440" w:right="1418" w:bottom="1440" w:left="1418" w:header="851" w:footer="992" w:gutter="0"/>
          <w:cols w:space="425" w:num="1"/>
          <w:docGrid w:type="lines" w:linePitch="312" w:charSpace="0"/>
        </w:sectPr>
      </w:pPr>
    </w:p>
    <w:p w14:paraId="08978F2A">
      <w:pPr>
        <w:jc w:val="left"/>
        <w:outlineLvl w:val="0"/>
        <w:rPr>
          <w:b/>
          <w:color w:val="000000" w:themeColor="text1"/>
          <w:sz w:val="32"/>
          <w:szCs w:val="32"/>
        </w:rPr>
      </w:pPr>
      <w:bookmarkStart w:id="259" w:name="_Toc181388407"/>
      <w:bookmarkStart w:id="260" w:name="_Toc144243774"/>
      <w:bookmarkStart w:id="261" w:name="_Toc181472966"/>
      <w:bookmarkStart w:id="262" w:name="_Toc144243841"/>
      <w:r>
        <w:rPr>
          <w:b/>
          <w:color w:val="000000" w:themeColor="text1"/>
          <w:sz w:val="32"/>
          <w:szCs w:val="32"/>
        </w:rPr>
        <w:t xml:space="preserve">附图2  </w:t>
      </w:r>
      <w:r>
        <w:rPr>
          <w:rFonts w:hint="eastAsia"/>
          <w:b/>
          <w:color w:val="000000" w:themeColor="text1"/>
          <w:sz w:val="32"/>
          <w:szCs w:val="32"/>
        </w:rPr>
        <w:t>平阴县地形图</w:t>
      </w:r>
      <w:bookmarkEnd w:id="259"/>
      <w:bookmarkEnd w:id="260"/>
      <w:bookmarkEnd w:id="261"/>
      <w:bookmarkEnd w:id="262"/>
    </w:p>
    <w:p w14:paraId="7EF0C4FA">
      <w:pPr>
        <w:jc w:val="center"/>
        <w:rPr>
          <w:color w:val="000000" w:themeColor="text1"/>
          <w:sz w:val="48"/>
          <w:szCs w:val="48"/>
        </w:rPr>
      </w:pPr>
      <w:r>
        <w:rPr>
          <w:color w:val="000000" w:themeColor="text1"/>
          <w:sz w:val="48"/>
          <w:szCs w:val="48"/>
        </w:rPr>
        <w:drawing>
          <wp:inline distT="0" distB="0" distL="0" distR="0">
            <wp:extent cx="5820410" cy="7305040"/>
            <wp:effectExtent l="0" t="0" r="0" b="0"/>
            <wp:docPr id="4411603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60330" name="图片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826038" cy="7312272"/>
                    </a:xfrm>
                    <a:prstGeom prst="rect">
                      <a:avLst/>
                    </a:prstGeom>
                    <a:noFill/>
                  </pic:spPr>
                </pic:pic>
              </a:graphicData>
            </a:graphic>
          </wp:inline>
        </w:drawing>
      </w:r>
    </w:p>
    <w:p w14:paraId="21CAD6EE">
      <w:pPr>
        <w:jc w:val="center"/>
        <w:rPr>
          <w:color w:val="000000" w:themeColor="text1"/>
          <w:sz w:val="48"/>
          <w:szCs w:val="48"/>
        </w:rPr>
      </w:pPr>
    </w:p>
    <w:p w14:paraId="18E3629E">
      <w:pPr>
        <w:jc w:val="center"/>
        <w:rPr>
          <w:color w:val="000000" w:themeColor="text1"/>
          <w:sz w:val="48"/>
          <w:szCs w:val="48"/>
        </w:rPr>
        <w:sectPr>
          <w:pgSz w:w="11906" w:h="16838"/>
          <w:pgMar w:top="1440" w:right="1418" w:bottom="1440" w:left="1418" w:header="851" w:footer="992" w:gutter="0"/>
          <w:cols w:space="425" w:num="1"/>
          <w:docGrid w:type="lines" w:linePitch="312" w:charSpace="0"/>
        </w:sectPr>
      </w:pPr>
    </w:p>
    <w:p w14:paraId="675076C4">
      <w:pPr>
        <w:jc w:val="left"/>
        <w:outlineLvl w:val="0"/>
        <w:rPr>
          <w:b/>
          <w:color w:val="000000" w:themeColor="text1"/>
          <w:sz w:val="32"/>
          <w:szCs w:val="32"/>
        </w:rPr>
      </w:pPr>
      <w:bookmarkStart w:id="263" w:name="_Toc181388408"/>
      <w:bookmarkStart w:id="264" w:name="_Toc144243842"/>
      <w:bookmarkStart w:id="265" w:name="_Toc181472967"/>
      <w:bookmarkStart w:id="266" w:name="_Toc144243775"/>
      <w:r>
        <w:rPr>
          <w:b/>
          <w:color w:val="000000" w:themeColor="text1"/>
          <w:sz w:val="32"/>
          <w:szCs w:val="32"/>
        </w:rPr>
        <w:t xml:space="preserve">附图3  </w:t>
      </w:r>
      <w:r>
        <w:rPr>
          <w:rFonts w:hint="eastAsia"/>
          <w:b/>
          <w:color w:val="000000" w:themeColor="text1"/>
          <w:sz w:val="32"/>
          <w:szCs w:val="32"/>
        </w:rPr>
        <w:t>平阴县河流水系及水利工程分布图</w:t>
      </w:r>
      <w:bookmarkEnd w:id="263"/>
      <w:bookmarkEnd w:id="264"/>
      <w:bookmarkEnd w:id="265"/>
      <w:bookmarkEnd w:id="266"/>
    </w:p>
    <w:p w14:paraId="694698DF">
      <w:pPr>
        <w:jc w:val="center"/>
        <w:rPr>
          <w:color w:val="000000" w:themeColor="text1"/>
          <w:sz w:val="48"/>
          <w:szCs w:val="48"/>
        </w:rPr>
      </w:pPr>
      <w:r>
        <w:rPr>
          <w:color w:val="000000" w:themeColor="text1"/>
          <w:sz w:val="48"/>
          <w:szCs w:val="48"/>
        </w:rPr>
        <w:drawing>
          <wp:inline distT="0" distB="0" distL="0" distR="0">
            <wp:extent cx="5742940" cy="7236460"/>
            <wp:effectExtent l="0" t="0" r="0" b="0"/>
            <wp:docPr id="3658315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31591" name="图片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42940" cy="7236460"/>
                    </a:xfrm>
                    <a:prstGeom prst="rect">
                      <a:avLst/>
                    </a:prstGeom>
                    <a:noFill/>
                  </pic:spPr>
                </pic:pic>
              </a:graphicData>
            </a:graphic>
          </wp:inline>
        </w:drawing>
      </w:r>
    </w:p>
    <w:p w14:paraId="3BBA57A6">
      <w:pPr>
        <w:jc w:val="center"/>
        <w:rPr>
          <w:color w:val="000000" w:themeColor="text1"/>
          <w:sz w:val="48"/>
          <w:szCs w:val="48"/>
        </w:rPr>
        <w:sectPr>
          <w:pgSz w:w="11906" w:h="16838"/>
          <w:pgMar w:top="1440" w:right="1418" w:bottom="1440" w:left="1418" w:header="851" w:footer="992" w:gutter="0"/>
          <w:cols w:space="425" w:num="1"/>
          <w:docGrid w:type="lines" w:linePitch="312" w:charSpace="0"/>
        </w:sectPr>
      </w:pPr>
    </w:p>
    <w:p w14:paraId="1CA76FE6">
      <w:pPr>
        <w:jc w:val="left"/>
        <w:outlineLvl w:val="0"/>
        <w:rPr>
          <w:b/>
          <w:color w:val="000000" w:themeColor="text1"/>
          <w:sz w:val="32"/>
          <w:szCs w:val="32"/>
        </w:rPr>
      </w:pPr>
      <w:bookmarkStart w:id="267" w:name="_Toc144243843"/>
      <w:bookmarkStart w:id="268" w:name="_Toc144243776"/>
      <w:bookmarkStart w:id="269" w:name="_Toc181388409"/>
      <w:bookmarkStart w:id="270" w:name="_Toc181472968"/>
      <w:r>
        <w:rPr>
          <w:b/>
          <w:color w:val="000000" w:themeColor="text1"/>
          <w:sz w:val="32"/>
          <w:szCs w:val="32"/>
        </w:rPr>
        <w:t xml:space="preserve">附图4  </w:t>
      </w:r>
      <w:r>
        <w:rPr>
          <w:rFonts w:hint="eastAsia"/>
          <w:b/>
          <w:color w:val="000000" w:themeColor="text1"/>
          <w:sz w:val="32"/>
          <w:szCs w:val="32"/>
        </w:rPr>
        <w:t>平阴县地表水功能区划图</w:t>
      </w:r>
      <w:bookmarkEnd w:id="267"/>
      <w:bookmarkEnd w:id="268"/>
      <w:bookmarkEnd w:id="269"/>
      <w:bookmarkEnd w:id="270"/>
    </w:p>
    <w:p w14:paraId="49969C5C">
      <w:pPr>
        <w:jc w:val="center"/>
        <w:rPr>
          <w:color w:val="000000" w:themeColor="text1"/>
          <w:sz w:val="48"/>
          <w:szCs w:val="48"/>
        </w:rPr>
      </w:pPr>
      <w:r>
        <w:rPr>
          <w:color w:val="000000" w:themeColor="text1"/>
          <w:sz w:val="48"/>
          <w:szCs w:val="48"/>
        </w:rPr>
        <w:drawing>
          <wp:inline distT="0" distB="0" distL="0" distR="0">
            <wp:extent cx="5700395" cy="7235190"/>
            <wp:effectExtent l="0" t="0" r="0" b="0"/>
            <wp:docPr id="12208802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80230" name="图片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704425" cy="7239784"/>
                    </a:xfrm>
                    <a:prstGeom prst="rect">
                      <a:avLst/>
                    </a:prstGeom>
                    <a:noFill/>
                  </pic:spPr>
                </pic:pic>
              </a:graphicData>
            </a:graphic>
          </wp:inline>
        </w:drawing>
      </w:r>
    </w:p>
    <w:p w14:paraId="606A82FF">
      <w:pPr>
        <w:jc w:val="center"/>
        <w:rPr>
          <w:color w:val="000000" w:themeColor="text1"/>
          <w:sz w:val="48"/>
          <w:szCs w:val="48"/>
        </w:rPr>
      </w:pPr>
    </w:p>
    <w:p w14:paraId="4C217FB5">
      <w:pPr>
        <w:jc w:val="center"/>
        <w:rPr>
          <w:color w:val="000000" w:themeColor="text1"/>
          <w:sz w:val="96"/>
          <w:szCs w:val="96"/>
        </w:rPr>
        <w:sectPr>
          <w:pgSz w:w="11906" w:h="16838"/>
          <w:pgMar w:top="1440" w:right="1418" w:bottom="1440" w:left="1418" w:header="851" w:footer="992" w:gutter="0"/>
          <w:cols w:space="425" w:num="1"/>
          <w:docGrid w:type="lines" w:linePitch="312" w:charSpace="0"/>
        </w:sectPr>
      </w:pPr>
    </w:p>
    <w:p w14:paraId="7FC03B2D">
      <w:pPr>
        <w:jc w:val="left"/>
        <w:outlineLvl w:val="0"/>
        <w:rPr>
          <w:b/>
          <w:color w:val="000000" w:themeColor="text1"/>
          <w:sz w:val="32"/>
          <w:szCs w:val="32"/>
        </w:rPr>
      </w:pPr>
      <w:bookmarkStart w:id="271" w:name="_Toc181388410"/>
      <w:bookmarkStart w:id="272" w:name="_Toc181472969"/>
      <w:bookmarkStart w:id="273" w:name="_Toc144243777"/>
      <w:bookmarkStart w:id="274" w:name="_Toc143780544"/>
      <w:bookmarkStart w:id="275" w:name="_Toc144243844"/>
      <w:r>
        <w:rPr>
          <w:b/>
          <w:color w:val="000000" w:themeColor="text1"/>
          <w:sz w:val="32"/>
          <w:szCs w:val="32"/>
        </w:rPr>
        <w:t xml:space="preserve">附图5  </w:t>
      </w:r>
      <w:r>
        <w:rPr>
          <w:rFonts w:hint="eastAsia"/>
          <w:b/>
          <w:color w:val="000000" w:themeColor="text1"/>
          <w:sz w:val="32"/>
          <w:szCs w:val="32"/>
        </w:rPr>
        <w:t>平阴县区位分析图</w:t>
      </w:r>
      <w:bookmarkEnd w:id="271"/>
      <w:bookmarkEnd w:id="272"/>
      <w:bookmarkEnd w:id="273"/>
      <w:bookmarkEnd w:id="274"/>
      <w:bookmarkEnd w:id="275"/>
    </w:p>
    <w:p w14:paraId="2EA507CA">
      <w:pPr>
        <w:jc w:val="center"/>
        <w:rPr>
          <w:color w:val="000000" w:themeColor="text1"/>
          <w:sz w:val="28"/>
          <w:szCs w:val="28"/>
        </w:rPr>
      </w:pPr>
      <w:r>
        <w:rPr>
          <w:color w:val="000000" w:themeColor="text1"/>
        </w:rPr>
        <w:drawing>
          <wp:inline distT="0" distB="0" distL="0" distR="0">
            <wp:extent cx="8863330" cy="4890135"/>
            <wp:effectExtent l="95250" t="95250" r="109220" b="120015"/>
            <wp:docPr id="302649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49287" name="图片 1"/>
                    <pic:cNvPicPr>
                      <a:picLocks noChangeAspect="1"/>
                    </pic:cNvPicPr>
                  </pic:nvPicPr>
                  <pic:blipFill>
                    <a:blip r:embed="rId32"/>
                    <a:stretch>
                      <a:fillRect/>
                    </a:stretch>
                  </pic:blipFill>
                  <pic:spPr>
                    <a:xfrm>
                      <a:off x="0" y="0"/>
                      <a:ext cx="8863330" cy="4890135"/>
                    </a:xfrm>
                    <a:prstGeom prst="rect">
                      <a:avLst/>
                    </a:prstGeom>
                    <a:ln w="50800" cap="sq" cmpd="dbl">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7A3AE79">
      <w:pPr>
        <w:jc w:val="center"/>
        <w:rPr>
          <w:color w:val="000000" w:themeColor="text1"/>
          <w:sz w:val="28"/>
          <w:szCs w:val="28"/>
        </w:rPr>
        <w:sectPr>
          <w:pgSz w:w="16838" w:h="11906" w:orient="landscape"/>
          <w:pgMar w:top="1418" w:right="1440" w:bottom="1418" w:left="1440" w:header="851" w:footer="992" w:gutter="0"/>
          <w:cols w:space="425" w:num="1"/>
          <w:docGrid w:type="lines" w:linePitch="312" w:charSpace="0"/>
        </w:sectPr>
      </w:pPr>
    </w:p>
    <w:p w14:paraId="37ABE556">
      <w:pPr>
        <w:jc w:val="left"/>
        <w:outlineLvl w:val="0"/>
        <w:rPr>
          <w:b/>
          <w:color w:val="000000" w:themeColor="text1"/>
          <w:sz w:val="32"/>
          <w:szCs w:val="32"/>
        </w:rPr>
      </w:pPr>
      <w:bookmarkStart w:id="276" w:name="_Toc144243845"/>
      <w:bookmarkStart w:id="277" w:name="_Toc144243778"/>
      <w:bookmarkStart w:id="278" w:name="_Toc181388411"/>
      <w:bookmarkStart w:id="279" w:name="_Toc181472970"/>
      <w:bookmarkStart w:id="280" w:name="_Toc143780545"/>
      <w:r>
        <w:rPr>
          <w:b/>
          <w:color w:val="000000" w:themeColor="text1"/>
          <w:sz w:val="32"/>
          <w:szCs w:val="32"/>
        </w:rPr>
        <w:t xml:space="preserve">附图6  </w:t>
      </w:r>
      <w:r>
        <w:rPr>
          <w:rFonts w:hint="eastAsia"/>
          <w:b/>
          <w:color w:val="000000" w:themeColor="text1"/>
          <w:sz w:val="32"/>
          <w:szCs w:val="32"/>
        </w:rPr>
        <w:t>平阴县现状用地图</w:t>
      </w:r>
      <w:bookmarkEnd w:id="276"/>
      <w:bookmarkEnd w:id="277"/>
      <w:bookmarkEnd w:id="278"/>
      <w:bookmarkEnd w:id="279"/>
      <w:bookmarkEnd w:id="280"/>
    </w:p>
    <w:p w14:paraId="2A7ADBB6">
      <w:pPr>
        <w:jc w:val="center"/>
        <w:rPr>
          <w:color w:val="000000" w:themeColor="text1"/>
          <w:sz w:val="28"/>
          <w:szCs w:val="28"/>
        </w:rPr>
      </w:pPr>
      <w:r>
        <w:rPr>
          <w:color w:val="000000" w:themeColor="text1"/>
        </w:rPr>
        <w:drawing>
          <wp:inline distT="0" distB="0" distL="0" distR="0">
            <wp:extent cx="5761355" cy="7103110"/>
            <wp:effectExtent l="95250" t="95250" r="106045" b="116840"/>
            <wp:docPr id="111507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7777"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801222" cy="7152067"/>
                    </a:xfrm>
                    <a:prstGeom prst="rect">
                      <a:avLst/>
                    </a:prstGeom>
                    <a:ln w="50800" cap="sq" cmpd="dbl">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833578D">
      <w:pPr>
        <w:jc w:val="center"/>
        <w:rPr>
          <w:color w:val="000000" w:themeColor="text1"/>
          <w:sz w:val="28"/>
          <w:szCs w:val="28"/>
        </w:rPr>
      </w:pPr>
    </w:p>
    <w:p w14:paraId="37D0F4E6">
      <w:pPr>
        <w:jc w:val="center"/>
        <w:rPr>
          <w:color w:val="000000" w:themeColor="text1"/>
          <w:sz w:val="28"/>
          <w:szCs w:val="28"/>
        </w:rPr>
      </w:pPr>
    </w:p>
    <w:p w14:paraId="2169B930">
      <w:pPr>
        <w:jc w:val="center"/>
        <w:rPr>
          <w:color w:val="000000" w:themeColor="text1"/>
          <w:sz w:val="28"/>
          <w:szCs w:val="28"/>
        </w:rPr>
      </w:pPr>
    </w:p>
    <w:p w14:paraId="3D7786E2">
      <w:pPr>
        <w:jc w:val="left"/>
        <w:outlineLvl w:val="0"/>
        <w:rPr>
          <w:b/>
          <w:color w:val="000000" w:themeColor="text1"/>
          <w:sz w:val="32"/>
          <w:szCs w:val="32"/>
        </w:rPr>
      </w:pPr>
      <w:bookmarkStart w:id="281" w:name="_Toc181472971"/>
      <w:bookmarkStart w:id="282" w:name="_Toc144243846"/>
      <w:bookmarkStart w:id="283" w:name="_Toc181388412"/>
      <w:bookmarkStart w:id="284" w:name="_Toc144243779"/>
      <w:bookmarkStart w:id="285" w:name="_Toc143780547"/>
      <w:r>
        <w:rPr>
          <w:b/>
          <w:color w:val="000000" w:themeColor="text1"/>
          <w:sz w:val="32"/>
          <w:szCs w:val="32"/>
        </w:rPr>
        <w:t xml:space="preserve">附图7  </w:t>
      </w:r>
      <w:r>
        <w:rPr>
          <w:rFonts w:hint="eastAsia"/>
          <w:b/>
          <w:color w:val="000000" w:themeColor="text1"/>
          <w:sz w:val="32"/>
          <w:szCs w:val="32"/>
        </w:rPr>
        <w:t>平阴县道路规划图</w:t>
      </w:r>
      <w:bookmarkEnd w:id="281"/>
      <w:bookmarkEnd w:id="282"/>
      <w:bookmarkEnd w:id="283"/>
      <w:bookmarkEnd w:id="284"/>
      <w:bookmarkEnd w:id="285"/>
    </w:p>
    <w:p w14:paraId="45BCCD3E">
      <w:pPr>
        <w:jc w:val="center"/>
        <w:rPr>
          <w:color w:val="000000" w:themeColor="text1"/>
          <w:sz w:val="28"/>
          <w:szCs w:val="28"/>
        </w:rPr>
      </w:pPr>
      <w:r>
        <w:rPr>
          <w:color w:val="000000" w:themeColor="text1"/>
        </w:rPr>
        <w:drawing>
          <wp:inline distT="0" distB="0" distL="0" distR="0">
            <wp:extent cx="5617210" cy="6997700"/>
            <wp:effectExtent l="95250" t="95250" r="116840" b="107950"/>
            <wp:docPr id="16563042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4215" name="图片 3"/>
                    <pic:cNvPicPr>
                      <a:picLocks noChangeAspect="1" noChangeArrowheads="1"/>
                    </pic:cNvPicPr>
                  </pic:nvPicPr>
                  <pic:blipFill>
                    <a:blip r:embed="rId34">
                      <a:extLst>
                        <a:ext uri="{28A0092B-C50C-407E-A947-70E740481C1C}">
                          <a14:useLocalDpi xmlns:a14="http://schemas.microsoft.com/office/drawing/2010/main" val="0"/>
                        </a:ext>
                      </a:extLst>
                    </a:blip>
                    <a:srcRect l="1354" r="1102" b="1414"/>
                    <a:stretch>
                      <a:fillRect/>
                    </a:stretch>
                  </pic:blipFill>
                  <pic:spPr>
                    <a:xfrm>
                      <a:off x="0" y="0"/>
                      <a:ext cx="5618011" cy="6998277"/>
                    </a:xfrm>
                    <a:prstGeom prst="rect">
                      <a:avLst/>
                    </a:prstGeom>
                    <a:ln w="50800" cap="sq" cmpd="dbl"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14:paraId="5F427940">
      <w:pPr>
        <w:jc w:val="center"/>
        <w:rPr>
          <w:color w:val="000000" w:themeColor="text1"/>
          <w:sz w:val="28"/>
          <w:szCs w:val="28"/>
        </w:rPr>
        <w:sectPr>
          <w:pgSz w:w="11906" w:h="16838"/>
          <w:pgMar w:top="1440" w:right="1418" w:bottom="1440" w:left="1418" w:header="851" w:footer="992" w:gutter="0"/>
          <w:cols w:space="425" w:num="1"/>
          <w:docGrid w:type="lines" w:linePitch="312" w:charSpace="0"/>
        </w:sectPr>
      </w:pPr>
    </w:p>
    <w:p w14:paraId="33B1F7DC">
      <w:pPr>
        <w:jc w:val="left"/>
        <w:outlineLvl w:val="0"/>
        <w:rPr>
          <w:b/>
          <w:color w:val="000000" w:themeColor="text1"/>
          <w:sz w:val="32"/>
          <w:szCs w:val="32"/>
        </w:rPr>
      </w:pPr>
      <w:bookmarkStart w:id="286" w:name="_Toc181388413"/>
      <w:bookmarkStart w:id="287" w:name="_Toc143780548"/>
      <w:bookmarkStart w:id="288" w:name="_Toc144243847"/>
      <w:bookmarkStart w:id="289" w:name="_Toc144243780"/>
      <w:bookmarkStart w:id="290" w:name="_Toc181472972"/>
      <w:r>
        <w:rPr>
          <w:b/>
          <w:color w:val="000000" w:themeColor="text1"/>
          <w:sz w:val="32"/>
          <w:szCs w:val="32"/>
        </w:rPr>
        <w:t xml:space="preserve">附图8  </w:t>
      </w:r>
      <w:r>
        <w:rPr>
          <w:rFonts w:hint="eastAsia"/>
          <w:b/>
          <w:color w:val="000000" w:themeColor="text1"/>
          <w:sz w:val="32"/>
          <w:szCs w:val="32"/>
        </w:rPr>
        <w:t>平阴县工业用地规划图</w:t>
      </w:r>
      <w:bookmarkEnd w:id="286"/>
      <w:bookmarkEnd w:id="287"/>
      <w:bookmarkEnd w:id="288"/>
      <w:bookmarkEnd w:id="289"/>
      <w:bookmarkEnd w:id="290"/>
    </w:p>
    <w:p w14:paraId="4FD74F64">
      <w:pPr>
        <w:jc w:val="center"/>
        <w:rPr>
          <w:color w:val="000000" w:themeColor="text1"/>
          <w:sz w:val="28"/>
          <w:szCs w:val="28"/>
        </w:rPr>
      </w:pPr>
      <w:r>
        <w:rPr>
          <w:color w:val="000000" w:themeColor="text1"/>
        </w:rPr>
        <w:drawing>
          <wp:inline distT="0" distB="0" distL="0" distR="0">
            <wp:extent cx="5636895" cy="7309485"/>
            <wp:effectExtent l="95250" t="95250" r="116205" b="120015"/>
            <wp:docPr id="150250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50977" name="图片 1"/>
                    <pic:cNvPicPr>
                      <a:picLocks noChangeAspect="1"/>
                    </pic:cNvPicPr>
                  </pic:nvPicPr>
                  <pic:blipFill>
                    <a:blip r:embed="rId35"/>
                    <a:srcRect l="1113" t="677" r="982" b="721"/>
                    <a:stretch>
                      <a:fillRect/>
                    </a:stretch>
                  </pic:blipFill>
                  <pic:spPr>
                    <a:xfrm>
                      <a:off x="0" y="0"/>
                      <a:ext cx="5638789" cy="7311827"/>
                    </a:xfrm>
                    <a:prstGeom prst="rect">
                      <a:avLst/>
                    </a:prstGeom>
                    <a:ln w="50800" cap="sq" cmpd="dbl"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14:paraId="0364BBFD">
      <w:pPr>
        <w:jc w:val="center"/>
        <w:rPr>
          <w:color w:val="000000" w:themeColor="text1"/>
          <w:sz w:val="28"/>
          <w:szCs w:val="28"/>
        </w:rPr>
        <w:sectPr>
          <w:pgSz w:w="11906" w:h="16838"/>
          <w:pgMar w:top="1440" w:right="1418" w:bottom="1440" w:left="1418" w:header="851" w:footer="992" w:gutter="0"/>
          <w:cols w:space="425" w:num="1"/>
          <w:docGrid w:type="lines" w:linePitch="312" w:charSpace="0"/>
        </w:sectPr>
      </w:pPr>
    </w:p>
    <w:p w14:paraId="771AA3CE">
      <w:pPr>
        <w:jc w:val="left"/>
        <w:outlineLvl w:val="0"/>
        <w:rPr>
          <w:b/>
          <w:color w:val="000000" w:themeColor="text1"/>
          <w:sz w:val="32"/>
          <w:szCs w:val="32"/>
        </w:rPr>
      </w:pPr>
      <w:bookmarkStart w:id="291" w:name="_Toc144243781"/>
      <w:bookmarkStart w:id="292" w:name="_Toc181388414"/>
      <w:bookmarkStart w:id="293" w:name="_Toc144243848"/>
      <w:bookmarkStart w:id="294" w:name="_Toc181472973"/>
      <w:bookmarkStart w:id="295" w:name="_Toc143780549"/>
      <w:r>
        <w:rPr>
          <w:b/>
          <w:color w:val="000000" w:themeColor="text1"/>
          <w:sz w:val="32"/>
          <w:szCs w:val="32"/>
        </w:rPr>
        <w:t xml:space="preserve">附图9  </w:t>
      </w:r>
      <w:r>
        <w:rPr>
          <w:rFonts w:hint="eastAsia"/>
          <w:b/>
          <w:color w:val="000000" w:themeColor="text1"/>
          <w:sz w:val="32"/>
          <w:szCs w:val="32"/>
        </w:rPr>
        <w:t>平阴县现状污水处理厂分布图</w:t>
      </w:r>
      <w:bookmarkEnd w:id="291"/>
      <w:bookmarkEnd w:id="292"/>
      <w:bookmarkEnd w:id="293"/>
      <w:bookmarkEnd w:id="294"/>
      <w:bookmarkEnd w:id="295"/>
    </w:p>
    <w:p w14:paraId="587F0E20">
      <w:pPr>
        <w:jc w:val="center"/>
        <w:rPr>
          <w:color w:val="000000" w:themeColor="text1"/>
          <w:sz w:val="28"/>
          <w:szCs w:val="28"/>
        </w:rPr>
      </w:pPr>
      <w:r>
        <w:drawing>
          <wp:anchor distT="0" distB="0" distL="114300" distR="114300" simplePos="0" relativeHeight="251693056" behindDoc="0" locked="0" layoutInCell="1" allowOverlap="1">
            <wp:simplePos x="0" y="0"/>
            <wp:positionH relativeFrom="column">
              <wp:posOffset>3361690</wp:posOffset>
            </wp:positionH>
            <wp:positionV relativeFrom="paragraph">
              <wp:posOffset>5546090</wp:posOffset>
            </wp:positionV>
            <wp:extent cx="2483485" cy="1103630"/>
            <wp:effectExtent l="0" t="0" r="0" b="0"/>
            <wp:wrapNone/>
            <wp:docPr id="1682565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65245" name="图片 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483603" cy="1103824"/>
                    </a:xfrm>
                    <a:prstGeom prst="rect">
                      <a:avLst/>
                    </a:prstGeom>
                  </pic:spPr>
                </pic:pic>
              </a:graphicData>
            </a:graphic>
          </wp:anchor>
        </w:drawing>
      </w:r>
      <w:r>
        <w:rPr>
          <w:color w:val="000000" w:themeColor="text1"/>
        </w:rPr>
        <w:pict>
          <v:shape id="_x0000_s2066" o:spid="_x0000_s2066" o:spt="202" type="#_x0000_t202" style="position:absolute;left:0pt;margin-left:346.95pt;margin-top:536.2pt;height:16.7pt;width:63.8pt;z-index:251666432;mso-width-relative:page;mso-height-relative:page;" filled="f" stroked="f" coordsize="21600,21600">
            <v:path/>
            <v:fill on="f" focussize="0,0"/>
            <v:stroke on="f" joinstyle="miter"/>
            <v:imagedata o:title=""/>
            <o:lock v:ext="edit"/>
            <v:textbox>
              <w:txbxContent>
                <w:p w14:paraId="572BB17E">
                  <w:pPr>
                    <w:adjustRightInd w:val="0"/>
                    <w:snapToGrid w:val="0"/>
                    <w:ind w:left="-105" w:leftChars="-50" w:right="-105" w:rightChars="-50"/>
                    <w:jc w:val="center"/>
                    <w:rPr>
                      <w:rFonts w:hint="eastAsia" w:ascii="黑体" w:hAnsi="黑体" w:eastAsia="黑体"/>
                      <w:sz w:val="13"/>
                      <w:szCs w:val="13"/>
                    </w:rPr>
                  </w:pPr>
                  <w:r>
                    <w:rPr>
                      <w:rFonts w:hint="eastAsia" w:ascii="黑体" w:hAnsi="黑体" w:eastAsia="黑体"/>
                      <w:sz w:val="13"/>
                      <w:szCs w:val="13"/>
                    </w:rPr>
                    <w:t>现有污水处理厂</w:t>
                  </w:r>
                </w:p>
              </w:txbxContent>
            </v:textbox>
          </v:shape>
        </w:pict>
      </w:r>
      <w:r>
        <w:rPr>
          <w:color w:val="000000" w:themeColor="text1"/>
        </w:rPr>
        <w:pict>
          <v:shape id="_x0000_s2065" o:spid="_x0000_s2065" o:spt="120" type="#_x0000_t120" style="position:absolute;left:0pt;margin-left:334.85pt;margin-top:542.2pt;height:5.05pt;width:5.05pt;z-index:251665408;mso-width-relative:page;mso-height-relative:page;" fillcolor="#FFFF00" filled="t" stroked="t" coordsize="21600,21600">
            <v:path/>
            <v:fill on="t" focussize="0,0"/>
            <v:stroke color="#000000"/>
            <v:imagedata o:title=""/>
            <o:lock v:ext="edit"/>
          </v:shape>
        </w:pict>
      </w:r>
      <w:r>
        <w:rPr>
          <w:color w:val="000000" w:themeColor="text1"/>
        </w:rPr>
        <w:pict>
          <v:shape id="_x0000_s2091" o:spid="_x0000_s2091" o:spt="202" type="#_x0000_t202" style="position:absolute;left:0pt;margin-left:283.25pt;margin-top:413.2pt;height:16.9pt;width:16.7pt;z-index:251681792;mso-width-relative:page;mso-height-relative:page;" filled="f" stroked="f" coordsize="21600,21600">
            <v:path/>
            <v:fill on="f" focussize="0,0"/>
            <v:stroke on="f" joinstyle="miter"/>
            <v:imagedata o:title=""/>
            <o:lock v:ext="edit"/>
            <v:textbox>
              <w:txbxContent>
                <w:p w14:paraId="5AC8242E">
                  <w:pPr>
                    <w:adjustRightInd w:val="0"/>
                    <w:snapToGrid w:val="0"/>
                    <w:ind w:left="-105" w:leftChars="-50"/>
                    <w:rPr>
                      <w:b/>
                      <w:bCs/>
                      <w:sz w:val="15"/>
                      <w:szCs w:val="15"/>
                    </w:rPr>
                  </w:pPr>
                  <w:r>
                    <w:rPr>
                      <w:rFonts w:hint="eastAsia"/>
                      <w:b/>
                      <w:bCs/>
                      <w:sz w:val="15"/>
                      <w:szCs w:val="15"/>
                    </w:rPr>
                    <w:t>⑤</w:t>
                  </w:r>
                </w:p>
              </w:txbxContent>
            </v:textbox>
          </v:shape>
        </w:pict>
      </w:r>
      <w:r>
        <w:rPr>
          <w:color w:val="000000" w:themeColor="text1"/>
        </w:rPr>
        <w:pict>
          <v:shape id="_x0000_s2053" o:spid="_x0000_s2053" o:spt="120" type="#_x0000_t120" style="position:absolute;left:0pt;margin-left:283.25pt;margin-top:406.7pt;height:7.1pt;width:7.1pt;z-index:251662336;mso-width-relative:page;mso-height-relative:page;" fillcolor="#FFFF00" filled="t" stroked="t" coordsize="21600,21600">
            <v:path/>
            <v:fill on="t" focussize="0,0"/>
            <v:stroke color="#000000"/>
            <v:imagedata o:title=""/>
            <o:lock v:ext="edit"/>
          </v:shape>
        </w:pict>
      </w:r>
      <w:r>
        <w:rPr>
          <w:color w:val="000000" w:themeColor="text1"/>
        </w:rPr>
        <w:pict>
          <v:shape id="_x0000_s2054" o:spid="_x0000_s2054" o:spt="120" type="#_x0000_t120" style="position:absolute;left:0pt;margin-left:320.65pt;margin-top:303.8pt;height:7.1pt;width:7.1pt;z-index:251663360;mso-width-relative:page;mso-height-relative:page;" fillcolor="#FFFF00" filled="t" stroked="t" coordsize="21600,21600">
            <v:path/>
            <v:fill on="t" focussize="0,0"/>
            <v:stroke color="#000000"/>
            <v:imagedata o:title=""/>
            <o:lock v:ext="edit"/>
          </v:shape>
        </w:pict>
      </w:r>
      <w:r>
        <w:rPr>
          <w:color w:val="000000" w:themeColor="text1"/>
        </w:rPr>
        <w:pict>
          <v:shape id="_x0000_s2090" o:spid="_x0000_s2090" o:spt="202" type="#_x0000_t202" style="position:absolute;left:0pt;margin-left:320.65pt;margin-top:309.9pt;height:17.4pt;width:10.65pt;z-index:251680768;mso-width-relative:page;mso-height-relative:page;" filled="f" stroked="f" coordsize="21600,21600">
            <v:path/>
            <v:fill on="f" focussize="0,0"/>
            <v:stroke on="f" joinstyle="miter"/>
            <v:imagedata o:title=""/>
            <o:lock v:ext="edit"/>
            <v:textbox>
              <w:txbxContent>
                <w:p w14:paraId="67253CE9">
                  <w:pPr>
                    <w:adjustRightInd w:val="0"/>
                    <w:snapToGrid w:val="0"/>
                    <w:ind w:left="-105" w:leftChars="-50"/>
                    <w:rPr>
                      <w:b/>
                      <w:bCs/>
                      <w:sz w:val="15"/>
                      <w:szCs w:val="15"/>
                    </w:rPr>
                  </w:pPr>
                  <w:r>
                    <w:rPr>
                      <w:rFonts w:hint="eastAsia"/>
                      <w:b/>
                      <w:bCs/>
                      <w:sz w:val="15"/>
                      <w:szCs w:val="15"/>
                    </w:rPr>
                    <w:t>④</w:t>
                  </w:r>
                </w:p>
              </w:txbxContent>
            </v:textbox>
          </v:shape>
        </w:pict>
      </w:r>
      <w:r>
        <w:rPr>
          <w:color w:val="000000" w:themeColor="text1"/>
        </w:rPr>
        <w:pict>
          <v:shape id="_x0000_s2089" o:spid="_x0000_s2089" o:spt="202" type="#_x0000_t202" style="position:absolute;left:0pt;margin-left:101.3pt;margin-top:298.1pt;height:17.4pt;width:10.65pt;z-index:251679744;mso-width-relative:page;mso-height-relative:page;" filled="f" stroked="f" coordsize="21600,21600">
            <v:path/>
            <v:fill on="f" focussize="0,0"/>
            <v:stroke on="f" joinstyle="miter"/>
            <v:imagedata o:title=""/>
            <o:lock v:ext="edit"/>
            <v:textbox>
              <w:txbxContent>
                <w:p w14:paraId="53FFF9B1">
                  <w:pPr>
                    <w:adjustRightInd w:val="0"/>
                    <w:snapToGrid w:val="0"/>
                    <w:ind w:left="-105" w:leftChars="-50"/>
                    <w:rPr>
                      <w:b/>
                      <w:bCs/>
                      <w:sz w:val="15"/>
                      <w:szCs w:val="15"/>
                    </w:rPr>
                  </w:pPr>
                  <w:r>
                    <w:rPr>
                      <w:rFonts w:hint="eastAsia"/>
                      <w:b/>
                      <w:bCs/>
                      <w:sz w:val="15"/>
                      <w:szCs w:val="15"/>
                    </w:rPr>
                    <w:t>③</w:t>
                  </w:r>
                </w:p>
              </w:txbxContent>
            </v:textbox>
          </v:shape>
        </w:pict>
      </w:r>
      <w:r>
        <w:rPr>
          <w:color w:val="000000" w:themeColor="text1"/>
        </w:rPr>
        <w:pict>
          <v:shape id="_x0000_s2052" o:spid="_x0000_s2052" o:spt="120" type="#_x0000_t120" style="position:absolute;left:0pt;margin-left:101.3pt;margin-top:293.45pt;height:7.1pt;width:7.1pt;z-index:251661312;mso-width-relative:page;mso-height-relative:page;" fillcolor="#FFFF00" filled="t" stroked="t" coordsize="21600,21600">
            <v:path/>
            <v:fill on="t" focussize="0,0"/>
            <v:stroke color="#000000"/>
            <v:imagedata o:title=""/>
            <o:lock v:ext="edit" aspectratio="t"/>
          </v:shape>
        </w:pict>
      </w:r>
      <w:r>
        <w:rPr>
          <w:color w:val="000000" w:themeColor="text1"/>
        </w:rPr>
        <w:pict>
          <v:shape id="_x0000_s2088" o:spid="_x0000_s2088" o:spt="202" type="#_x0000_t202" style="position:absolute;left:0pt;margin-left:262.6pt;margin-top:121.75pt;height:17.4pt;width:10.65pt;z-index:251678720;mso-width-relative:page;mso-height-relative:page;" filled="f" stroked="f" coordsize="21600,21600">
            <v:path/>
            <v:fill on="f" focussize="0,0"/>
            <v:stroke on="f" joinstyle="miter"/>
            <v:imagedata o:title=""/>
            <o:lock v:ext="edit"/>
            <v:textbox>
              <w:txbxContent>
                <w:p w14:paraId="69842154">
                  <w:pPr>
                    <w:adjustRightInd w:val="0"/>
                    <w:snapToGrid w:val="0"/>
                    <w:ind w:left="-105" w:leftChars="-50"/>
                    <w:rPr>
                      <w:b/>
                      <w:bCs/>
                      <w:sz w:val="15"/>
                      <w:szCs w:val="15"/>
                    </w:rPr>
                  </w:pPr>
                  <w:r>
                    <w:rPr>
                      <w:rFonts w:hint="eastAsia"/>
                      <w:b/>
                      <w:bCs/>
                      <w:sz w:val="15"/>
                      <w:szCs w:val="15"/>
                    </w:rPr>
                    <w:t>①</w:t>
                  </w:r>
                </w:p>
              </w:txbxContent>
            </v:textbox>
          </v:shape>
        </w:pict>
      </w:r>
      <w:r>
        <w:rPr>
          <w:color w:val="000000" w:themeColor="text1"/>
        </w:rPr>
        <w:pict>
          <v:shape id="_x0000_s2051" o:spid="_x0000_s2051" o:spt="120" type="#_x0000_t120" style="position:absolute;left:0pt;margin-left:262.6pt;margin-top:138.1pt;height:7.1pt;width:7.1pt;z-index:251660288;mso-width-relative:page;mso-height-relative:page;" fillcolor="#FFFF00" filled="t" stroked="t" coordsize="21600,21600">
            <v:path/>
            <v:fill on="t" focussize="0,0"/>
            <v:stroke color="#000000"/>
            <v:imagedata o:title=""/>
            <o:lock v:ext="edit"/>
          </v:shape>
        </w:pict>
      </w:r>
      <w:r>
        <w:rPr>
          <w:color w:val="000000" w:themeColor="text1"/>
        </w:rPr>
        <w:pict>
          <v:shape id="_x0000_s2050" o:spid="_x0000_s2050" o:spt="120" type="#_x0000_t120" style="position:absolute;left:0pt;margin-left:325.1pt;margin-top:132.05pt;height:7.1pt;width:7.1pt;z-index:251659264;mso-width-relative:page;mso-height-relative:page;" fillcolor="#FFFF00" filled="t" stroked="t" coordsize="21600,21600">
            <v:path/>
            <v:fill on="t" focussize="0,0"/>
            <v:stroke color="#000000"/>
            <v:imagedata o:title=""/>
            <o:lock v:ext="edit"/>
          </v:shape>
        </w:pict>
      </w:r>
      <w:r>
        <w:rPr>
          <w:color w:val="000000" w:themeColor="text1"/>
        </w:rPr>
        <w:pict>
          <v:shape id="_x0000_s2061" o:spid="_x0000_s2061" o:spt="202" type="#_x0000_t202" style="position:absolute;left:0pt;margin-left:324.2pt;margin-top:117.7pt;height:17.4pt;width:10.65pt;z-index:251664384;mso-width-relative:page;mso-height-relative:page;" filled="f" stroked="f" coordsize="21600,21600">
            <v:path/>
            <v:fill on="f" focussize="0,0"/>
            <v:stroke on="f" joinstyle="miter"/>
            <v:imagedata o:title=""/>
            <o:lock v:ext="edit"/>
            <v:textbox>
              <w:txbxContent>
                <w:p w14:paraId="7A1C75CA">
                  <w:pPr>
                    <w:adjustRightInd w:val="0"/>
                    <w:snapToGrid w:val="0"/>
                    <w:ind w:left="-105" w:leftChars="-50"/>
                    <w:rPr>
                      <w:b/>
                      <w:bCs/>
                      <w:sz w:val="15"/>
                      <w:szCs w:val="15"/>
                    </w:rPr>
                  </w:pPr>
                  <w:r>
                    <w:rPr>
                      <w:rFonts w:hint="eastAsia"/>
                      <w:b/>
                      <w:bCs/>
                      <w:sz w:val="15"/>
                      <w:szCs w:val="15"/>
                    </w:rPr>
                    <w:t>②</w:t>
                  </w:r>
                </w:p>
              </w:txbxContent>
            </v:textbox>
          </v:shape>
        </w:pict>
      </w:r>
      <w:r>
        <w:rPr>
          <w:color w:val="000000" w:themeColor="text1"/>
        </w:rPr>
        <w:drawing>
          <wp:inline distT="0" distB="0" distL="0" distR="0">
            <wp:extent cx="5759450" cy="7100570"/>
            <wp:effectExtent l="95250" t="95250" r="107950" b="119380"/>
            <wp:docPr id="202608221" name="图片 20260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8221" name="图片 2026082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59450" cy="7100761"/>
                    </a:xfrm>
                    <a:prstGeom prst="rect">
                      <a:avLst/>
                    </a:prstGeom>
                    <a:ln w="50800" cap="sq" cmpd="dbl"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14:paraId="4B42997A">
      <w:pPr>
        <w:jc w:val="center"/>
        <w:rPr>
          <w:color w:val="000000" w:themeColor="text1"/>
          <w:sz w:val="28"/>
          <w:szCs w:val="28"/>
        </w:rPr>
      </w:pPr>
    </w:p>
    <w:p w14:paraId="7BCA874A">
      <w:pPr>
        <w:jc w:val="center"/>
        <w:rPr>
          <w:color w:val="000000" w:themeColor="text1"/>
          <w:sz w:val="28"/>
          <w:szCs w:val="28"/>
        </w:rPr>
      </w:pPr>
    </w:p>
    <w:p w14:paraId="771D3568">
      <w:pPr>
        <w:jc w:val="center"/>
        <w:rPr>
          <w:color w:val="000000" w:themeColor="text1"/>
          <w:sz w:val="28"/>
          <w:szCs w:val="28"/>
        </w:rPr>
      </w:pPr>
    </w:p>
    <w:p w14:paraId="7CB5A765">
      <w:pPr>
        <w:jc w:val="left"/>
        <w:outlineLvl w:val="0"/>
        <w:rPr>
          <w:b/>
          <w:color w:val="000000" w:themeColor="text1"/>
          <w:sz w:val="32"/>
          <w:szCs w:val="32"/>
        </w:rPr>
      </w:pPr>
      <w:bookmarkStart w:id="296" w:name="_Toc144243782"/>
      <w:bookmarkStart w:id="297" w:name="_Toc144243849"/>
      <w:bookmarkStart w:id="298" w:name="_Toc143780550"/>
      <w:bookmarkStart w:id="299" w:name="_Toc181472974"/>
      <w:bookmarkStart w:id="300" w:name="_Toc181388415"/>
      <w:r>
        <w:rPr>
          <w:b/>
          <w:color w:val="000000" w:themeColor="text1"/>
          <w:sz w:val="32"/>
          <w:szCs w:val="32"/>
        </w:rPr>
        <w:t xml:space="preserve">附图10  </w:t>
      </w:r>
      <w:r>
        <w:rPr>
          <w:rFonts w:hint="eastAsia"/>
          <w:b/>
          <w:color w:val="000000" w:themeColor="text1"/>
          <w:sz w:val="32"/>
          <w:szCs w:val="32"/>
        </w:rPr>
        <w:t>平阴县污水处理厂规划建设布局图</w:t>
      </w:r>
      <w:bookmarkEnd w:id="296"/>
      <w:bookmarkEnd w:id="297"/>
      <w:bookmarkEnd w:id="298"/>
      <w:bookmarkEnd w:id="299"/>
      <w:bookmarkEnd w:id="300"/>
    </w:p>
    <w:p w14:paraId="5FE3DA7B">
      <w:pPr>
        <w:jc w:val="center"/>
        <w:rPr>
          <w:color w:val="000000" w:themeColor="text1"/>
          <w:sz w:val="28"/>
          <w:szCs w:val="28"/>
        </w:rPr>
      </w:pPr>
      <w:r>
        <w:drawing>
          <wp:anchor distT="0" distB="0" distL="114300" distR="114300" simplePos="0" relativeHeight="251688960" behindDoc="0" locked="0" layoutInCell="1" allowOverlap="1">
            <wp:simplePos x="0" y="0"/>
            <wp:positionH relativeFrom="column">
              <wp:posOffset>3742690</wp:posOffset>
            </wp:positionH>
            <wp:positionV relativeFrom="paragraph">
              <wp:posOffset>5439410</wp:posOffset>
            </wp:positionV>
            <wp:extent cx="2087880" cy="1181100"/>
            <wp:effectExtent l="19050" t="19050" r="8255" b="635"/>
            <wp:wrapNone/>
            <wp:docPr id="1075678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78917" name="图片 1"/>
                    <pic:cNvPicPr>
                      <a:picLocks noChangeAspect="1"/>
                    </pic:cNvPicPr>
                  </pic:nvPicPr>
                  <pic:blipFill>
                    <a:blip r:embed="rId37" cstate="print">
                      <a:extLst>
                        <a:ext uri="{28A0092B-C50C-407E-A947-70E740481C1C}">
                          <a14:useLocalDpi xmlns:a14="http://schemas.microsoft.com/office/drawing/2010/main" val="0"/>
                        </a:ext>
                      </a:extLst>
                    </a:blip>
                    <a:srcRect l="941" t="1412" r="908" b="1412"/>
                    <a:stretch>
                      <a:fillRect/>
                    </a:stretch>
                  </pic:blipFill>
                  <pic:spPr>
                    <a:xfrm>
                      <a:off x="0" y="0"/>
                      <a:ext cx="2087643" cy="1181092"/>
                    </a:xfrm>
                    <a:prstGeom prst="rect">
                      <a:avLst/>
                    </a:prstGeom>
                    <a:ln w="6350">
                      <a:solidFill>
                        <a:schemeClr val="bg1">
                          <a:lumMod val="65000"/>
                        </a:schemeClr>
                      </a:solidFill>
                    </a:ln>
                  </pic:spPr>
                </pic:pic>
              </a:graphicData>
            </a:graphic>
          </wp:anchor>
        </w:drawing>
      </w:r>
      <w:r>
        <w:rPr>
          <w:color w:val="000000" w:themeColor="text1"/>
        </w:rPr>
        <w:pict>
          <v:shape id="_x0000_s2105" o:spid="_x0000_s2105" o:spt="202" type="#_x0000_t202" style="position:absolute;left:0pt;margin-left:398.75pt;margin-top:536.3pt;height:16.7pt;width:50.5pt;z-index:251692032;mso-width-relative:page;mso-height-relative:page;" fillcolor="#FF0000" filled="f" stroked="f" coordsize="21600,21600">
            <v:path/>
            <v:fill on="f" focussize="0,0"/>
            <v:stroke on="f" joinstyle="miter"/>
            <v:imagedata o:title=""/>
            <o:lock v:ext="edit"/>
            <v:textbox>
              <w:txbxContent>
                <w:p w14:paraId="3D5A64B6">
                  <w:pPr>
                    <w:adjustRightInd w:val="0"/>
                    <w:snapToGrid w:val="0"/>
                    <w:ind w:left="-105" w:leftChars="-50" w:right="-105" w:rightChars="-50"/>
                    <w:jc w:val="center"/>
                    <w:rPr>
                      <w:rFonts w:hint="eastAsia" w:ascii="黑体" w:hAnsi="黑体" w:eastAsia="黑体"/>
                      <w:sz w:val="13"/>
                      <w:szCs w:val="13"/>
                    </w:rPr>
                  </w:pPr>
                  <w:r>
                    <w:rPr>
                      <w:rFonts w:hint="eastAsia" w:ascii="黑体" w:hAnsi="黑体" w:eastAsia="黑体"/>
                      <w:sz w:val="13"/>
                      <w:szCs w:val="13"/>
                    </w:rPr>
                    <w:t>规划污水处理厂</w:t>
                  </w:r>
                </w:p>
              </w:txbxContent>
            </v:textbox>
          </v:shape>
        </w:pict>
      </w:r>
      <w:r>
        <w:rPr>
          <w:color w:val="000000" w:themeColor="text1"/>
        </w:rPr>
        <w:pict>
          <v:shape id="_x0000_s2104" o:spid="_x0000_s2104" o:spt="120" type="#_x0000_t120" style="position:absolute;left:0pt;margin-left:393.7pt;margin-top:541.75pt;height:5.05pt;width:5.05pt;z-index:251691008;mso-width-relative:page;mso-height-relative:page;" fillcolor="#FF0000" filled="t" stroked="t" coordsize="21600,21600">
            <v:path/>
            <v:fill on="t" focussize="0,0"/>
            <v:stroke color="#000000"/>
            <v:imagedata o:title=""/>
            <o:lock v:ext="edit"/>
          </v:shape>
        </w:pict>
      </w:r>
      <w:r>
        <w:rPr>
          <w:color w:val="000000" w:themeColor="text1"/>
        </w:rPr>
        <w:pict>
          <v:shape id="_x0000_s2077" o:spid="_x0000_s2077" o:spt="120" type="#_x0000_t120" style="position:absolute;left:0pt;margin-left:326.15pt;margin-top:542.15pt;height:5.05pt;width:5.05pt;z-index:251672576;mso-width-relative:page;mso-height-relative:page;" fillcolor="#FFFF00" filled="t" stroked="t" coordsize="21600,21600">
            <v:path/>
            <v:fill on="t" focussize="0,0"/>
            <v:stroke color="#000000"/>
            <v:imagedata o:title=""/>
            <o:lock v:ext="edit"/>
          </v:shape>
        </w:pict>
      </w:r>
      <w:r>
        <w:rPr>
          <w:color w:val="000000" w:themeColor="text1"/>
        </w:rPr>
        <w:pict>
          <v:shape id="_x0000_s2078" o:spid="_x0000_s2078" o:spt="202" type="#_x0000_t202" style="position:absolute;left:0pt;margin-left:331.2pt;margin-top:536.7pt;height:16.7pt;width:50.5pt;z-index:251673600;mso-width-relative:page;mso-height-relative:page;" filled="f" stroked="f" coordsize="21600,21600">
            <v:path/>
            <v:fill on="f" focussize="0,0"/>
            <v:stroke on="f" joinstyle="miter"/>
            <v:imagedata o:title=""/>
            <o:lock v:ext="edit"/>
            <v:textbox>
              <w:txbxContent>
                <w:p w14:paraId="74BEE34E">
                  <w:pPr>
                    <w:adjustRightInd w:val="0"/>
                    <w:snapToGrid w:val="0"/>
                    <w:ind w:left="-105" w:leftChars="-50" w:right="-105" w:rightChars="-50"/>
                    <w:jc w:val="center"/>
                    <w:rPr>
                      <w:rFonts w:hint="eastAsia" w:ascii="黑体" w:hAnsi="黑体" w:eastAsia="黑体"/>
                      <w:sz w:val="13"/>
                      <w:szCs w:val="13"/>
                    </w:rPr>
                  </w:pPr>
                  <w:r>
                    <w:rPr>
                      <w:rFonts w:hint="eastAsia" w:ascii="黑体" w:hAnsi="黑体" w:eastAsia="黑体"/>
                      <w:sz w:val="13"/>
                      <w:szCs w:val="13"/>
                    </w:rPr>
                    <w:t>现有污水处理厂</w:t>
                  </w:r>
                </w:p>
              </w:txbxContent>
            </v:textbox>
          </v:shape>
        </w:pict>
      </w:r>
      <w:r>
        <w:rPr>
          <w:color w:val="000000" w:themeColor="text1"/>
        </w:rPr>
        <w:pict>
          <v:shape id="_x0000_s2099" o:spid="_x0000_s2099" o:spt="202" type="#_x0000_t202" style="position:absolute;left:0pt;margin-left:283.75pt;margin-top:393.85pt;height:17.4pt;width:10.65pt;z-index:251686912;mso-width-relative:page;mso-height-relative:page;" filled="f" stroked="f" coordsize="21600,21600">
            <v:path/>
            <v:fill on="f" focussize="0,0"/>
            <v:stroke on="f" joinstyle="miter"/>
            <v:imagedata o:title=""/>
            <o:lock v:ext="edit"/>
            <v:textbox>
              <w:txbxContent>
                <w:p w14:paraId="3FA58552">
                  <w:pPr>
                    <w:adjustRightInd w:val="0"/>
                    <w:snapToGrid w:val="0"/>
                    <w:ind w:left="-105" w:leftChars="-50"/>
                    <w:rPr>
                      <w:b/>
                      <w:bCs/>
                      <w:sz w:val="15"/>
                      <w:szCs w:val="15"/>
                    </w:rPr>
                  </w:pPr>
                  <w:r>
                    <w:rPr>
                      <w:rFonts w:hint="eastAsia"/>
                      <w:b/>
                      <w:bCs/>
                      <w:sz w:val="15"/>
                      <w:szCs w:val="15"/>
                    </w:rPr>
                    <w:t>⑤</w:t>
                  </w:r>
                </w:p>
              </w:txbxContent>
            </v:textbox>
          </v:shape>
        </w:pict>
      </w:r>
      <w:r>
        <w:rPr>
          <w:color w:val="000000" w:themeColor="text1"/>
        </w:rPr>
        <w:pict>
          <v:shape id="_x0000_s2070" o:spid="_x0000_s2070" o:spt="120" type="#_x0000_t120" style="position:absolute;left:0pt;margin-left:283.75pt;margin-top:407.75pt;height:7.1pt;width:7.1pt;z-index:251670528;mso-width-relative:page;mso-height-relative:page;" fillcolor="#FFFF00" filled="t" stroked="t" coordsize="21600,21600">
            <v:path/>
            <v:fill on="t" focussize="0,0"/>
            <v:stroke color="#000000"/>
            <v:imagedata o:title=""/>
            <o:lock v:ext="edit"/>
          </v:shape>
        </w:pict>
      </w:r>
      <w:r>
        <w:rPr>
          <w:color w:val="000000" w:themeColor="text1"/>
        </w:rPr>
        <w:pict>
          <v:shape id="_x0000_s2098" o:spid="_x0000_s2098" o:spt="202" type="#_x0000_t202" style="position:absolute;left:0pt;margin-left:100.1pt;margin-top:345.95pt;height:17.4pt;width:10.65pt;z-index:251685888;mso-width-relative:page;mso-height-relative:page;" filled="f" stroked="f" coordsize="21600,21600">
            <v:path/>
            <v:fill on="f" focussize="0,0"/>
            <v:stroke on="f" joinstyle="miter"/>
            <v:imagedata o:title=""/>
            <o:lock v:ext="edit"/>
            <v:textbox>
              <w:txbxContent>
                <w:p w14:paraId="13E5AE16">
                  <w:pPr>
                    <w:adjustRightInd w:val="0"/>
                    <w:snapToGrid w:val="0"/>
                    <w:ind w:left="-105" w:leftChars="-50"/>
                    <w:rPr>
                      <w:b/>
                      <w:bCs/>
                      <w:sz w:val="15"/>
                      <w:szCs w:val="15"/>
                    </w:rPr>
                  </w:pPr>
                  <w:r>
                    <w:rPr>
                      <w:rFonts w:hint="eastAsia"/>
                      <w:b/>
                      <w:bCs/>
                      <w:sz w:val="15"/>
                      <w:szCs w:val="15"/>
                    </w:rPr>
                    <w:t>⑨</w:t>
                  </w:r>
                </w:p>
              </w:txbxContent>
            </v:textbox>
          </v:shape>
        </w:pict>
      </w:r>
      <w:r>
        <w:rPr>
          <w:color w:val="000000" w:themeColor="text1"/>
        </w:rPr>
        <w:pict>
          <v:shape id="_x0000_s2085" o:spid="_x0000_s2085" o:spt="120" type="#_x0000_t120" style="position:absolute;left:0pt;margin-left:100.1pt;margin-top:360.3pt;height:7.1pt;width:7.1pt;z-index:251677696;mso-width-relative:page;mso-height-relative:page;" fillcolor="#FF0000" filled="t" stroked="t" coordsize="21600,21600">
            <v:path/>
            <v:fill on="t" focussize="0,0"/>
            <v:stroke color="#000000"/>
            <v:imagedata o:title=""/>
            <o:lock v:ext="edit"/>
          </v:shape>
        </w:pict>
      </w:r>
      <w:r>
        <w:rPr>
          <w:color w:val="000000" w:themeColor="text1"/>
        </w:rPr>
        <w:pict>
          <v:shape id="_x0000_s2097" o:spid="_x0000_s2097" o:spt="202" type="#_x0000_t202" style="position:absolute;left:0pt;margin-left:100.1pt;margin-top:295.75pt;height:17.4pt;width:10.65pt;z-index:251684864;mso-width-relative:page;mso-height-relative:page;" filled="f" stroked="f" coordsize="21600,21600">
            <v:path/>
            <v:fill on="f" focussize="0,0"/>
            <v:stroke on="f" joinstyle="miter"/>
            <v:imagedata o:title=""/>
            <o:lock v:ext="edit"/>
            <v:textbox>
              <w:txbxContent>
                <w:p w14:paraId="6F60CA65">
                  <w:pPr>
                    <w:adjustRightInd w:val="0"/>
                    <w:snapToGrid w:val="0"/>
                    <w:ind w:left="-105" w:leftChars="-50"/>
                    <w:rPr>
                      <w:b/>
                      <w:bCs/>
                      <w:sz w:val="15"/>
                      <w:szCs w:val="15"/>
                    </w:rPr>
                  </w:pPr>
                  <w:r>
                    <w:rPr>
                      <w:rFonts w:hint="eastAsia"/>
                      <w:b/>
                      <w:bCs/>
                      <w:sz w:val="15"/>
                      <w:szCs w:val="15"/>
                    </w:rPr>
                    <w:t>③</w:t>
                  </w:r>
                </w:p>
              </w:txbxContent>
            </v:textbox>
          </v:shape>
        </w:pict>
      </w:r>
      <w:r>
        <w:rPr>
          <w:color w:val="000000" w:themeColor="text1"/>
        </w:rPr>
        <w:pict>
          <v:shape id="_x0000_s2069" o:spid="_x0000_s2069" o:spt="120" type="#_x0000_t120" style="position:absolute;left:0pt;margin-left:100.1pt;margin-top:293.1pt;height:7.1pt;width:7.1pt;z-index:251669504;mso-width-relative:page;mso-height-relative:page;" fillcolor="#FFFF00" filled="t" stroked="t" coordsize="21600,21600">
            <v:path/>
            <v:fill on="t" focussize="0,0"/>
            <v:stroke color="#000000"/>
            <v:imagedata o:title=""/>
            <o:lock v:ext="edit"/>
          </v:shape>
        </w:pict>
      </w:r>
      <w:r>
        <w:rPr>
          <w:color w:val="000000" w:themeColor="text1"/>
        </w:rPr>
        <w:pict>
          <v:shape id="_x0000_s2071" o:spid="_x0000_s2071" o:spt="120" type="#_x0000_t120" style="position:absolute;left:0pt;margin-left:321.3pt;margin-top:302.8pt;height:7.1pt;width:7.1pt;z-index:251671552;mso-width-relative:page;mso-height-relative:page;" fillcolor="#FFFF00" filled="t" stroked="t" coordsize="21600,21600">
            <v:path/>
            <v:fill on="t" focussize="0,0"/>
            <v:stroke color="#000000"/>
            <v:imagedata o:title=""/>
            <o:lock v:ext="edit"/>
          </v:shape>
        </w:pict>
      </w:r>
      <w:r>
        <w:rPr>
          <w:color w:val="000000" w:themeColor="text1"/>
        </w:rPr>
        <w:pict>
          <v:shape id="_x0000_s2100" o:spid="_x0000_s2100" o:spt="202" type="#_x0000_t202" style="position:absolute;left:0pt;margin-left:321.8pt;margin-top:307.2pt;height:17.4pt;width:10.65pt;z-index:251687936;mso-width-relative:page;mso-height-relative:page;" filled="f" stroked="f" coordsize="21600,21600">
            <v:path/>
            <v:fill on="f" focussize="0,0"/>
            <v:stroke on="f" joinstyle="miter"/>
            <v:imagedata o:title=""/>
            <o:lock v:ext="edit"/>
            <v:textbox>
              <w:txbxContent>
                <w:p w14:paraId="05552E73">
                  <w:pPr>
                    <w:adjustRightInd w:val="0"/>
                    <w:snapToGrid w:val="0"/>
                    <w:ind w:left="-105" w:leftChars="-50"/>
                    <w:rPr>
                      <w:b/>
                      <w:bCs/>
                      <w:sz w:val="15"/>
                      <w:szCs w:val="15"/>
                    </w:rPr>
                  </w:pPr>
                  <w:r>
                    <w:rPr>
                      <w:rFonts w:hint="eastAsia"/>
                      <w:b/>
                      <w:bCs/>
                      <w:sz w:val="15"/>
                      <w:szCs w:val="15"/>
                    </w:rPr>
                    <w:t>④</w:t>
                  </w:r>
                </w:p>
              </w:txbxContent>
            </v:textbox>
          </v:shape>
        </w:pict>
      </w:r>
      <w:r>
        <w:rPr>
          <w:color w:val="000000" w:themeColor="text1"/>
        </w:rPr>
        <w:pict>
          <v:shape id="_x0000_s2101" o:spid="_x0000_s2101" o:spt="202" type="#_x0000_t202" style="position:absolute;left:0pt;margin-left:175.15pt;margin-top:200.3pt;height:17.4pt;width:10.65pt;z-index:251688960;mso-width-relative:page;mso-height-relative:page;" filled="f" stroked="f" coordsize="21600,21600">
            <v:path/>
            <v:fill on="f" focussize="0,0"/>
            <v:stroke on="f" joinstyle="miter"/>
            <v:imagedata o:title=""/>
            <o:lock v:ext="edit"/>
            <v:textbox>
              <w:txbxContent>
                <w:p w14:paraId="155D4AF2">
                  <w:pPr>
                    <w:adjustRightInd w:val="0"/>
                    <w:snapToGrid w:val="0"/>
                    <w:ind w:left="-105" w:leftChars="-50"/>
                    <w:rPr>
                      <w:b/>
                      <w:bCs/>
                      <w:sz w:val="15"/>
                      <w:szCs w:val="15"/>
                    </w:rPr>
                  </w:pPr>
                  <w:r>
                    <w:rPr>
                      <w:rFonts w:hint="eastAsia"/>
                      <w:b/>
                      <w:bCs/>
                      <w:sz w:val="15"/>
                      <w:szCs w:val="15"/>
                    </w:rPr>
                    <w:t>⑧</w:t>
                  </w:r>
                </w:p>
              </w:txbxContent>
            </v:textbox>
          </v:shape>
        </w:pict>
      </w:r>
      <w:r>
        <w:rPr>
          <w:color w:val="000000" w:themeColor="text1"/>
        </w:rPr>
        <w:pict>
          <v:shape id="_x0000_s2083" o:spid="_x0000_s2083" o:spt="120" type="#_x0000_t120" style="position:absolute;left:0pt;margin-left:175.15pt;margin-top:215.05pt;height:7.1pt;width:7.1pt;z-index:251676672;mso-width-relative:page;mso-height-relative:page;" fillcolor="#FF0000" filled="t" stroked="t" coordsize="21600,21600">
            <v:path/>
            <v:fill on="t" focussize="0,0"/>
            <v:stroke color="#000000"/>
            <v:imagedata o:title=""/>
            <o:lock v:ext="edit"/>
          </v:shape>
        </w:pict>
      </w:r>
      <w:r>
        <w:rPr>
          <w:color w:val="000000" w:themeColor="text1"/>
        </w:rPr>
        <w:pict>
          <v:shape id="_x0000_s2103" o:spid="_x0000_s2103" o:spt="202" type="#_x0000_t202" style="position:absolute;left:0pt;margin-left:279.8pt;margin-top:161.45pt;height:17.4pt;width:10.65pt;z-index:251691008;mso-width-relative:page;mso-height-relative:page;" filled="f" stroked="f" coordsize="21600,21600">
            <v:path/>
            <v:fill on="f" focussize="0,0"/>
            <v:stroke on="f" joinstyle="miter"/>
            <v:imagedata o:title=""/>
            <o:lock v:ext="edit"/>
            <v:textbox>
              <w:txbxContent>
                <w:p w14:paraId="6AD75EEB">
                  <w:pPr>
                    <w:adjustRightInd w:val="0"/>
                    <w:snapToGrid w:val="0"/>
                    <w:ind w:left="-105" w:leftChars="-50"/>
                    <w:rPr>
                      <w:b/>
                      <w:bCs/>
                      <w:sz w:val="15"/>
                      <w:szCs w:val="15"/>
                    </w:rPr>
                  </w:pPr>
                  <w:r>
                    <w:rPr>
                      <w:rFonts w:hint="eastAsia"/>
                      <w:b/>
                      <w:bCs/>
                      <w:sz w:val="15"/>
                      <w:szCs w:val="15"/>
                    </w:rPr>
                    <w:t>⑦</w:t>
                  </w:r>
                </w:p>
              </w:txbxContent>
            </v:textbox>
          </v:shape>
        </w:pict>
      </w:r>
      <w:r>
        <w:rPr>
          <w:color w:val="000000" w:themeColor="text1"/>
        </w:rPr>
        <w:pict>
          <v:shape id="_x0000_s2081" o:spid="_x0000_s2081" o:spt="120" type="#_x0000_t120" style="position:absolute;left:0pt;margin-left:279.8pt;margin-top:175.2pt;height:7.1pt;width:7.1pt;z-index:251675648;mso-width-relative:page;mso-height-relative:page;" fillcolor="#FF0000" filled="t" stroked="t" coordsize="21600,21600">
            <v:path/>
            <v:fill on="t" focussize="0,0"/>
            <v:stroke color="#000000"/>
            <v:imagedata o:title=""/>
            <o:lock v:ext="edit"/>
          </v:shape>
        </w:pict>
      </w:r>
      <w:r>
        <w:rPr>
          <w:color w:val="000000" w:themeColor="text1"/>
        </w:rPr>
        <w:pict>
          <v:shape id="_x0000_s2102" o:spid="_x0000_s2102" o:spt="202" type="#_x0000_t202" style="position:absolute;left:0pt;margin-left:244.65pt;margin-top:153.3pt;height:17.4pt;width:10.65pt;z-index:251689984;mso-width-relative:page;mso-height-relative:page;" filled="f" stroked="f" coordsize="21600,21600">
            <v:path/>
            <v:fill on="f" focussize="0,0"/>
            <v:stroke on="f" joinstyle="miter"/>
            <v:imagedata o:title=""/>
            <o:lock v:ext="edit"/>
            <v:textbox>
              <w:txbxContent>
                <w:p w14:paraId="632A9C04">
                  <w:pPr>
                    <w:adjustRightInd w:val="0"/>
                    <w:snapToGrid w:val="0"/>
                    <w:ind w:left="-105" w:leftChars="-50"/>
                    <w:rPr>
                      <w:b/>
                      <w:bCs/>
                      <w:sz w:val="15"/>
                      <w:szCs w:val="15"/>
                    </w:rPr>
                  </w:pPr>
                  <w:r>
                    <w:rPr>
                      <w:rFonts w:hint="eastAsia"/>
                      <w:b/>
                      <w:bCs/>
                      <w:sz w:val="15"/>
                      <w:szCs w:val="15"/>
                    </w:rPr>
                    <w:t>⑥</w:t>
                  </w:r>
                </w:p>
              </w:txbxContent>
            </v:textbox>
          </v:shape>
        </w:pict>
      </w:r>
      <w:r>
        <w:rPr>
          <w:color w:val="000000" w:themeColor="text1"/>
        </w:rPr>
        <w:pict>
          <v:shape id="_x0000_s2079" o:spid="_x0000_s2079" o:spt="120" type="#_x0000_t120" style="position:absolute;left:0pt;margin-left:244.65pt;margin-top:166.65pt;height:7.1pt;width:7.1pt;z-index:251674624;mso-width-relative:page;mso-height-relative:page;" fillcolor="#FF0000" filled="t" stroked="t" coordsize="21600,21600">
            <v:path/>
            <v:fill on="t" focussize="0,0"/>
            <v:stroke color="#000000"/>
            <v:imagedata o:title=""/>
            <o:lock v:ext="edit"/>
          </v:shape>
        </w:pict>
      </w:r>
      <w:r>
        <w:rPr>
          <w:color w:val="000000" w:themeColor="text1"/>
        </w:rPr>
        <w:pict>
          <v:shape id="_x0000_s2096" o:spid="_x0000_s2096" o:spt="202" type="#_x0000_t202" style="position:absolute;left:0pt;margin-left:263.45pt;margin-top:124.45pt;height:17.4pt;width:10.65pt;z-index:251683840;mso-width-relative:page;mso-height-relative:page;" filled="f" stroked="f" coordsize="21600,21600">
            <v:path/>
            <v:fill on="f" focussize="0,0"/>
            <v:stroke on="f" joinstyle="miter"/>
            <v:imagedata o:title=""/>
            <o:lock v:ext="edit"/>
            <v:textbox>
              <w:txbxContent>
                <w:p w14:paraId="17554AC1">
                  <w:pPr>
                    <w:adjustRightInd w:val="0"/>
                    <w:snapToGrid w:val="0"/>
                    <w:ind w:left="-105" w:leftChars="-50"/>
                    <w:rPr>
                      <w:b/>
                      <w:bCs/>
                      <w:sz w:val="15"/>
                      <w:szCs w:val="15"/>
                    </w:rPr>
                  </w:pPr>
                  <w:r>
                    <w:rPr>
                      <w:rFonts w:hint="eastAsia"/>
                      <w:b/>
                      <w:bCs/>
                      <w:sz w:val="15"/>
                      <w:szCs w:val="15"/>
                    </w:rPr>
                    <w:t>①</w:t>
                  </w:r>
                </w:p>
              </w:txbxContent>
            </v:textbox>
          </v:shape>
        </w:pict>
      </w:r>
      <w:r>
        <w:rPr>
          <w:color w:val="000000" w:themeColor="text1"/>
        </w:rPr>
        <w:pict>
          <v:shape id="_x0000_s2068" o:spid="_x0000_s2068" o:spt="120" type="#_x0000_t120" style="position:absolute;left:0pt;margin-left:262.1pt;margin-top:137.2pt;height:7.1pt;width:7.1pt;z-index:251668480;mso-width-relative:page;mso-height-relative:page;" fillcolor="#FFFF00" filled="t" stroked="t" coordsize="21600,21600">
            <v:path/>
            <v:fill on="t" focussize="0,0"/>
            <v:stroke color="#000000"/>
            <v:imagedata o:title=""/>
            <o:lock v:ext="edit"/>
          </v:shape>
        </w:pict>
      </w:r>
      <w:r>
        <w:rPr>
          <w:color w:val="000000" w:themeColor="text1"/>
        </w:rPr>
        <w:pict>
          <v:shape id="_x0000_s2067" o:spid="_x0000_s2067" o:spt="120" type="#_x0000_t120" style="position:absolute;left:0pt;margin-left:324.1pt;margin-top:132.15pt;height:7.1pt;width:7.1pt;z-index:251667456;mso-width-relative:page;mso-height-relative:page;" fillcolor="#FFFF00" filled="t" stroked="t" coordsize="21600,21600">
            <v:path/>
            <v:fill on="t" focussize="0,0"/>
            <v:stroke color="#000000"/>
            <v:imagedata o:title=""/>
            <o:lock v:ext="edit"/>
          </v:shape>
        </w:pict>
      </w:r>
      <w:r>
        <w:rPr>
          <w:color w:val="000000" w:themeColor="text1"/>
        </w:rPr>
        <w:pict>
          <v:shape id="_x0000_s2095" o:spid="_x0000_s2095" o:spt="202" type="#_x0000_t202" style="position:absolute;left:0pt;margin-left:324.1pt;margin-top:119.8pt;height:17.4pt;width:10.65pt;z-index:251682816;mso-width-relative:page;mso-height-relative:page;" filled="f" stroked="f" coordsize="21600,21600">
            <v:path/>
            <v:fill on="f" focussize="0,0"/>
            <v:stroke on="f" joinstyle="miter"/>
            <v:imagedata o:title=""/>
            <o:lock v:ext="edit"/>
            <v:textbox>
              <w:txbxContent>
                <w:p w14:paraId="424476EF">
                  <w:pPr>
                    <w:adjustRightInd w:val="0"/>
                    <w:snapToGrid w:val="0"/>
                    <w:ind w:left="-105" w:leftChars="-50"/>
                    <w:rPr>
                      <w:b/>
                      <w:bCs/>
                      <w:sz w:val="15"/>
                      <w:szCs w:val="15"/>
                    </w:rPr>
                  </w:pPr>
                  <w:r>
                    <w:rPr>
                      <w:rFonts w:hint="eastAsia"/>
                      <w:b/>
                      <w:bCs/>
                      <w:sz w:val="15"/>
                      <w:szCs w:val="15"/>
                    </w:rPr>
                    <w:t>②</w:t>
                  </w:r>
                </w:p>
              </w:txbxContent>
            </v:textbox>
          </v:shape>
        </w:pict>
      </w:r>
      <w:r>
        <w:rPr>
          <w:color w:val="000000" w:themeColor="text1"/>
        </w:rPr>
        <w:drawing>
          <wp:inline distT="0" distB="0" distL="0" distR="0">
            <wp:extent cx="5759450" cy="7100570"/>
            <wp:effectExtent l="95250" t="95250" r="107950" b="119380"/>
            <wp:docPr id="823252048" name="图片 82325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52048" name="图片 8232520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59450" cy="7100761"/>
                    </a:xfrm>
                    <a:prstGeom prst="rect">
                      <a:avLst/>
                    </a:prstGeom>
                    <a:ln w="50800" cap="sq" cmpd="dbl"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14:paraId="551E2392">
      <w:pPr>
        <w:jc w:val="center"/>
        <w:rPr>
          <w:color w:val="000000" w:themeColor="text1"/>
          <w:sz w:val="28"/>
          <w:szCs w:val="28"/>
        </w:rPr>
      </w:pPr>
    </w:p>
    <w:p w14:paraId="67A668D5">
      <w:pPr>
        <w:jc w:val="center"/>
        <w:rPr>
          <w:color w:val="000000" w:themeColor="text1"/>
          <w:sz w:val="28"/>
          <w:szCs w:val="28"/>
        </w:rPr>
      </w:pPr>
    </w:p>
    <w:p w14:paraId="749BE84A">
      <w:pPr>
        <w:jc w:val="center"/>
        <w:rPr>
          <w:color w:val="000000" w:themeColor="text1"/>
          <w:sz w:val="28"/>
          <w:szCs w:val="28"/>
        </w:rPr>
      </w:pPr>
    </w:p>
    <w:p w14:paraId="7C0A17AF">
      <w:pPr>
        <w:jc w:val="left"/>
        <w:outlineLvl w:val="0"/>
        <w:rPr>
          <w:b/>
          <w:color w:val="000000" w:themeColor="text1"/>
          <w:sz w:val="32"/>
          <w:szCs w:val="32"/>
        </w:rPr>
      </w:pPr>
      <w:bookmarkStart w:id="301" w:name="_Toc143780551"/>
      <w:bookmarkStart w:id="302" w:name="_Toc181472975"/>
      <w:bookmarkStart w:id="303" w:name="_Toc144243850"/>
      <w:bookmarkStart w:id="304" w:name="_Toc181388416"/>
      <w:bookmarkStart w:id="305" w:name="_Toc144243783"/>
      <w:r>
        <w:rPr>
          <w:b/>
          <w:color w:val="000000" w:themeColor="text1"/>
          <w:sz w:val="32"/>
          <w:szCs w:val="32"/>
        </w:rPr>
        <w:t>附图11  平阴县</w:t>
      </w:r>
      <w:r>
        <w:rPr>
          <w:rFonts w:hint="eastAsia"/>
          <w:b/>
          <w:color w:val="000000" w:themeColor="text1"/>
          <w:sz w:val="32"/>
          <w:szCs w:val="32"/>
        </w:rPr>
        <w:t>再生水利用工程现状分布图</w:t>
      </w:r>
      <w:bookmarkEnd w:id="301"/>
      <w:bookmarkEnd w:id="302"/>
      <w:bookmarkEnd w:id="303"/>
      <w:bookmarkEnd w:id="304"/>
      <w:bookmarkEnd w:id="305"/>
    </w:p>
    <w:p w14:paraId="2A3B9740">
      <w:pPr>
        <w:jc w:val="center"/>
        <w:rPr>
          <w:color w:val="000000" w:themeColor="text1"/>
          <w:sz w:val="28"/>
          <w:szCs w:val="28"/>
        </w:rPr>
      </w:pPr>
      <w:r>
        <w:rPr>
          <w:color w:val="000000" w:themeColor="text1"/>
        </w:rPr>
        <w:pict>
          <v:shape id="_x0000_s2113" o:spid="_x0000_s2113" o:spt="202" type="#_x0000_t202" style="position:absolute;left:0pt;margin-left:339.8pt;margin-top:535.9pt;height:16.7pt;width:59.4pt;z-index:251693056;mso-width-relative:page;mso-height-relative:page;" filled="f" stroked="f" coordsize="21600,21600">
            <v:path/>
            <v:fill on="f" focussize="0,0"/>
            <v:stroke on="f" joinstyle="miter"/>
            <v:imagedata o:title=""/>
            <o:lock v:ext="edit"/>
            <v:textbox>
              <w:txbxContent>
                <w:p w14:paraId="48F3E5EF">
                  <w:pPr>
                    <w:adjustRightInd w:val="0"/>
                    <w:snapToGrid w:val="0"/>
                    <w:ind w:left="-105" w:leftChars="-50" w:right="-105" w:rightChars="-50"/>
                    <w:jc w:val="center"/>
                    <w:rPr>
                      <w:rFonts w:hint="eastAsia" w:ascii="黑体" w:hAnsi="黑体" w:eastAsia="黑体"/>
                      <w:sz w:val="13"/>
                      <w:szCs w:val="13"/>
                    </w:rPr>
                  </w:pPr>
                  <w:r>
                    <w:rPr>
                      <w:rFonts w:hint="eastAsia" w:ascii="黑体" w:hAnsi="黑体" w:eastAsia="黑体"/>
                      <w:sz w:val="13"/>
                      <w:szCs w:val="13"/>
                    </w:rPr>
                    <w:t>现有再生水工程</w:t>
                  </w:r>
                </w:p>
              </w:txbxContent>
            </v:textbox>
          </v:shape>
        </w:pict>
      </w:r>
      <w:r>
        <w:rPr>
          <w:color w:val="000000" w:themeColor="text1"/>
        </w:rPr>
        <w:pict>
          <v:shape id="_x0000_s2127" o:spid="_x0000_s2127" o:spt="4" type="#_x0000_t4" style="position:absolute;left:0pt;margin-left:331.3pt;margin-top:539.25pt;height:8.5pt;width:8.5pt;z-index:251696128;mso-width-relative:page;mso-height-relative:page;" fillcolor="#00B0F0" filled="t" coordsize="21600,21600">
            <v:path/>
            <v:fill on="t" focussize="0,0"/>
            <v:stroke joinstyle="miter"/>
            <v:imagedata o:title=""/>
            <o:lock v:ext="edit"/>
          </v:shape>
        </w:pict>
      </w:r>
      <w:r>
        <w:rPr>
          <w:color w:val="000000" w:themeColor="text1"/>
        </w:rPr>
        <w:pict>
          <v:shape id="_x0000_s2124" o:spid="_x0000_s2124" o:spt="32" type="#_x0000_t32" style="position:absolute;left:0pt;margin-left:239.25pt;margin-top:117pt;height:25.85pt;width:24.45pt;z-index:251695104;mso-width-relative:page;mso-height-relative:page;" o:connectortype="straight" filled="f" coordsize="21600,21600">
            <v:path arrowok="t"/>
            <v:fill on="f" focussize="0,0"/>
            <v:stroke endarrow="block"/>
            <v:imagedata o:title=""/>
            <o:lock v:ext="edit"/>
          </v:shape>
        </w:pict>
      </w:r>
      <w:r>
        <w:rPr>
          <w:color w:val="000000" w:themeColor="text1"/>
        </w:rPr>
        <w:pict>
          <v:shape id="_x0000_s2118" o:spid="_x0000_s2118" o:spt="4" type="#_x0000_t4" style="position:absolute;left:0pt;margin-left:263.7pt;margin-top:141.25pt;height:8.5pt;width:8.5pt;z-index:251720704;mso-width-relative:page;mso-height-relative:page;" fillcolor="#00B0F0" filled="t" coordsize="21600,21600">
            <v:path/>
            <v:fill on="t" focussize="0,0"/>
            <v:stroke joinstyle="miter"/>
            <v:imagedata o:title=""/>
            <o:lock v:ext="edit"/>
          </v:shape>
        </w:pict>
      </w:r>
      <w:r>
        <w:rPr>
          <w:color w:val="000000" w:themeColor="text1"/>
        </w:rPr>
        <w:pict>
          <v:shape id="_x0000_s2119" o:spid="_x0000_s2119" o:spt="202" type="#_x0000_t202" style="position:absolute;left:0pt;margin-left:185.8pt;margin-top:92.7pt;height:24.3pt;width:61.2pt;z-index:251694080;mso-width-relative:page;mso-height-relative:page;" fillcolor="#FFFFFF" filled="t" stroked="t" coordsize="21600,21600">
            <v:path/>
            <v:fill on="t" focussize="0,0"/>
            <v:stroke weight="0.25pt" color="#000000" joinstyle="miter"/>
            <v:imagedata o:title=""/>
            <o:lock v:ext="edit"/>
            <v:textbox>
              <w:txbxContent>
                <w:p w14:paraId="2804BF24">
                  <w:pPr>
                    <w:adjustRightInd w:val="0"/>
                    <w:snapToGrid w:val="0"/>
                    <w:ind w:left="-105" w:leftChars="-50" w:right="-105" w:rightChars="-50"/>
                    <w:jc w:val="center"/>
                    <w:rPr>
                      <w:rFonts w:hint="eastAsia" w:ascii="宋体" w:hAnsi="宋体"/>
                      <w:sz w:val="13"/>
                      <w:szCs w:val="13"/>
                    </w:rPr>
                  </w:pPr>
                  <w:r>
                    <w:rPr>
                      <w:rFonts w:hint="eastAsia" w:ascii="宋体" w:hAnsi="宋体"/>
                      <w:sz w:val="13"/>
                      <w:szCs w:val="13"/>
                    </w:rPr>
                    <w:t>平阴县北控水环境开发有限公司</w:t>
                  </w:r>
                </w:p>
              </w:txbxContent>
            </v:textbox>
          </v:shape>
        </w:pict>
      </w:r>
      <w:r>
        <w:rPr>
          <w:color w:val="000000" w:themeColor="text1"/>
        </w:rPr>
        <w:drawing>
          <wp:inline distT="0" distB="0" distL="0" distR="0">
            <wp:extent cx="5759450" cy="7100570"/>
            <wp:effectExtent l="95250" t="95250" r="107950" b="119380"/>
            <wp:docPr id="1394435250" name="图片 139443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35250" name="图片 13944352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59450" cy="7100761"/>
                    </a:xfrm>
                    <a:prstGeom prst="rect">
                      <a:avLst/>
                    </a:prstGeom>
                    <a:ln w="50800" cap="sq" cmpd="dbl"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14:paraId="4C149F45">
      <w:pPr>
        <w:jc w:val="center"/>
        <w:rPr>
          <w:color w:val="000000" w:themeColor="text1"/>
          <w:sz w:val="28"/>
          <w:szCs w:val="28"/>
        </w:rPr>
      </w:pPr>
    </w:p>
    <w:p w14:paraId="76858614">
      <w:pPr>
        <w:jc w:val="center"/>
        <w:rPr>
          <w:color w:val="000000" w:themeColor="text1"/>
          <w:sz w:val="28"/>
          <w:szCs w:val="28"/>
        </w:rPr>
      </w:pPr>
    </w:p>
    <w:p w14:paraId="6DDFD714">
      <w:pPr>
        <w:jc w:val="center"/>
        <w:rPr>
          <w:color w:val="000000" w:themeColor="text1"/>
          <w:sz w:val="28"/>
          <w:szCs w:val="28"/>
        </w:rPr>
      </w:pPr>
    </w:p>
    <w:p w14:paraId="05836B00">
      <w:pPr>
        <w:jc w:val="left"/>
        <w:outlineLvl w:val="0"/>
        <w:rPr>
          <w:b/>
          <w:color w:val="000000" w:themeColor="text1"/>
          <w:sz w:val="32"/>
          <w:szCs w:val="32"/>
        </w:rPr>
      </w:pPr>
      <w:bookmarkStart w:id="306" w:name="_Toc143780552"/>
      <w:bookmarkStart w:id="307" w:name="_Toc181388417"/>
      <w:bookmarkStart w:id="308" w:name="_Toc181472976"/>
      <w:bookmarkStart w:id="309" w:name="_Toc144243784"/>
      <w:bookmarkStart w:id="310" w:name="_Toc144243851"/>
      <w:r>
        <w:rPr>
          <w:b/>
          <w:color w:val="000000" w:themeColor="text1"/>
          <w:sz w:val="32"/>
          <w:szCs w:val="32"/>
        </w:rPr>
        <w:t xml:space="preserve">附图12  </w:t>
      </w:r>
      <w:r>
        <w:rPr>
          <w:rFonts w:hint="eastAsia"/>
          <w:b/>
          <w:color w:val="000000" w:themeColor="text1"/>
          <w:sz w:val="32"/>
          <w:szCs w:val="32"/>
        </w:rPr>
        <w:t>平阴县再生水利用工程规划建设布局图</w:t>
      </w:r>
      <w:bookmarkEnd w:id="306"/>
      <w:bookmarkEnd w:id="307"/>
      <w:bookmarkEnd w:id="308"/>
      <w:bookmarkEnd w:id="309"/>
      <w:bookmarkEnd w:id="310"/>
    </w:p>
    <w:p w14:paraId="18E51EE0">
      <w:pPr>
        <w:jc w:val="center"/>
        <w:rPr>
          <w:color w:val="000000" w:themeColor="text1"/>
          <w:sz w:val="28"/>
          <w:szCs w:val="28"/>
        </w:rPr>
      </w:pPr>
      <w:r>
        <w:drawing>
          <wp:anchor distT="0" distB="0" distL="114300" distR="114300" simplePos="0" relativeHeight="251691008" behindDoc="0" locked="0" layoutInCell="1" allowOverlap="1">
            <wp:simplePos x="0" y="0"/>
            <wp:positionH relativeFrom="column">
              <wp:posOffset>3758565</wp:posOffset>
            </wp:positionH>
            <wp:positionV relativeFrom="paragraph">
              <wp:posOffset>5356860</wp:posOffset>
            </wp:positionV>
            <wp:extent cx="2070735" cy="1262380"/>
            <wp:effectExtent l="19050" t="19050" r="6350" b="0"/>
            <wp:wrapNone/>
            <wp:docPr id="706956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56601" name="图片 1"/>
                    <pic:cNvPicPr>
                      <a:picLocks noChangeAspect="1"/>
                    </pic:cNvPicPr>
                  </pic:nvPicPr>
                  <pic:blipFill>
                    <a:blip r:embed="rId38" cstate="print">
                      <a:extLst>
                        <a:ext uri="{28A0092B-C50C-407E-A947-70E740481C1C}">
                          <a14:useLocalDpi xmlns:a14="http://schemas.microsoft.com/office/drawing/2010/main" val="0"/>
                        </a:ext>
                      </a:extLst>
                    </a:blip>
                    <a:srcRect l="1789" t="2361" r="783" b="1181"/>
                    <a:stretch>
                      <a:fillRect/>
                    </a:stretch>
                  </pic:blipFill>
                  <pic:spPr>
                    <a:xfrm>
                      <a:off x="0" y="0"/>
                      <a:ext cx="2070685" cy="1262380"/>
                    </a:xfrm>
                    <a:prstGeom prst="rect">
                      <a:avLst/>
                    </a:prstGeom>
                    <a:ln w="6350">
                      <a:solidFill>
                        <a:schemeClr val="bg1">
                          <a:lumMod val="65000"/>
                        </a:schemeClr>
                      </a:solidFill>
                    </a:ln>
                  </pic:spPr>
                </pic:pic>
              </a:graphicData>
            </a:graphic>
          </wp:anchor>
        </w:drawing>
      </w:r>
      <w:r>
        <w:rPr>
          <w:color w:val="000000" w:themeColor="text1"/>
        </w:rPr>
        <w:pict>
          <v:shape id="_x0000_s2173" o:spid="_x0000_s2173" o:spt="202" type="#_x0000_t202" style="position:absolute;left:0pt;margin-left:308.55pt;margin-top:291.05pt;height:17.4pt;width:10.65pt;z-index:251723776;mso-width-relative:page;mso-height-relative:page;" filled="f" stroked="f" coordsize="21600,21600">
            <v:path/>
            <v:fill on="f" focussize="0,0"/>
            <v:stroke on="f" joinstyle="miter"/>
            <v:imagedata o:title=""/>
            <o:lock v:ext="edit"/>
            <v:textbox>
              <w:txbxContent>
                <w:p w14:paraId="39BDB98E">
                  <w:pPr>
                    <w:adjustRightInd w:val="0"/>
                    <w:snapToGrid w:val="0"/>
                    <w:ind w:left="-105" w:leftChars="-50"/>
                    <w:rPr>
                      <w:b/>
                      <w:bCs/>
                      <w:sz w:val="15"/>
                      <w:szCs w:val="15"/>
                    </w:rPr>
                  </w:pPr>
                  <w:r>
                    <w:rPr>
                      <w:rFonts w:hint="eastAsia"/>
                      <w:b/>
                      <w:bCs/>
                      <w:sz w:val="15"/>
                      <w:szCs w:val="15"/>
                    </w:rPr>
                    <w:t>⑤</w:t>
                  </w:r>
                </w:p>
              </w:txbxContent>
            </v:textbox>
          </v:shape>
        </w:pict>
      </w:r>
      <w:r>
        <w:rPr>
          <w:color w:val="000000" w:themeColor="text1"/>
        </w:rPr>
        <w:pict>
          <v:shape id="_x0000_s2171" o:spid="_x0000_s2171" o:spt="202" type="#_x0000_t202" style="position:absolute;left:0pt;margin-left:278pt;margin-top:143.15pt;height:17.4pt;width:10.65pt;z-index:251721728;mso-width-relative:page;mso-height-relative:page;" filled="f" stroked="f" coordsize="21600,21600">
            <v:path/>
            <v:fill on="f" focussize="0,0"/>
            <v:stroke on="f" joinstyle="miter"/>
            <v:imagedata o:title=""/>
            <o:lock v:ext="edit"/>
            <v:textbox>
              <w:txbxContent>
                <w:p w14:paraId="662610BC">
                  <w:pPr>
                    <w:adjustRightInd w:val="0"/>
                    <w:snapToGrid w:val="0"/>
                    <w:ind w:left="-105" w:leftChars="-50"/>
                    <w:rPr>
                      <w:b/>
                      <w:bCs/>
                      <w:sz w:val="15"/>
                      <w:szCs w:val="15"/>
                    </w:rPr>
                  </w:pPr>
                  <w:r>
                    <w:rPr>
                      <w:rFonts w:hint="eastAsia"/>
                      <w:b/>
                      <w:bCs/>
                      <w:sz w:val="15"/>
                      <w:szCs w:val="15"/>
                    </w:rPr>
                    <w:t>②</w:t>
                  </w:r>
                </w:p>
              </w:txbxContent>
            </v:textbox>
          </v:shape>
        </w:pict>
      </w:r>
      <w:r>
        <w:rPr>
          <w:color w:val="000000" w:themeColor="text1"/>
        </w:rPr>
        <w:pict>
          <v:shape id="_x0000_s2172" o:spid="_x0000_s2172" o:spt="4" type="#_x0000_t4" style="position:absolute;left:0pt;margin-left:268.1pt;margin-top:149.55pt;height:8.5pt;width:8.5pt;z-index:251722752;mso-width-relative:page;mso-height-relative:page;" fillcolor="#00FFFF" filled="t" coordsize="21600,21600">
            <v:path/>
            <v:fill on="t" focussize="0,0"/>
            <v:stroke joinstyle="miter"/>
            <v:imagedata o:title=""/>
            <o:lock v:ext="edit"/>
          </v:shape>
        </w:pict>
      </w:r>
      <w:r>
        <w:rPr>
          <w:color w:val="000000" w:themeColor="text1"/>
        </w:rPr>
        <w:pict>
          <v:shape id="_x0000_s2149" o:spid="_x0000_s2149" o:spt="202" type="#_x0000_t202" style="position:absolute;left:0pt;margin-left:175.95pt;margin-top:199.95pt;height:17.4pt;width:10.65pt;z-index:251704320;mso-width-relative:page;mso-height-relative:page;" filled="f" stroked="f" coordsize="21600,21600">
            <v:path/>
            <v:fill on="f" focussize="0,0"/>
            <v:stroke on="f" joinstyle="miter"/>
            <v:imagedata o:title=""/>
            <o:lock v:ext="edit"/>
            <v:textbox>
              <w:txbxContent>
                <w:p w14:paraId="52EBA89A">
                  <w:pPr>
                    <w:adjustRightInd w:val="0"/>
                    <w:snapToGrid w:val="0"/>
                    <w:ind w:left="-105" w:leftChars="-50"/>
                    <w:rPr>
                      <w:b/>
                      <w:bCs/>
                      <w:sz w:val="15"/>
                      <w:szCs w:val="15"/>
                    </w:rPr>
                  </w:pPr>
                  <w:r>
                    <w:rPr>
                      <w:rFonts w:hint="eastAsia"/>
                      <w:b/>
                      <w:bCs/>
                      <w:sz w:val="15"/>
                      <w:szCs w:val="15"/>
                    </w:rPr>
                    <w:t>⑧</w:t>
                  </w:r>
                </w:p>
              </w:txbxContent>
            </v:textbox>
          </v:shape>
        </w:pict>
      </w:r>
      <w:r>
        <w:rPr>
          <w:color w:val="000000" w:themeColor="text1"/>
        </w:rPr>
        <w:pict>
          <v:shape id="_x0000_s2147" o:spid="_x0000_s2147" o:spt="202" type="#_x0000_t202" style="position:absolute;left:0pt;margin-left:242.2pt;margin-top:151.65pt;height:17.4pt;width:10.65pt;z-index:251703296;mso-width-relative:page;mso-height-relative:page;" filled="f" stroked="f" coordsize="21600,21600">
            <v:path/>
            <v:fill on="f" focussize="0,0"/>
            <v:stroke on="f" joinstyle="miter"/>
            <v:imagedata o:title=""/>
            <o:lock v:ext="edit"/>
            <v:textbox>
              <w:txbxContent>
                <w:p w14:paraId="507176AF">
                  <w:pPr>
                    <w:adjustRightInd w:val="0"/>
                    <w:snapToGrid w:val="0"/>
                    <w:ind w:left="-105" w:leftChars="-50"/>
                    <w:rPr>
                      <w:b/>
                      <w:bCs/>
                      <w:sz w:val="15"/>
                      <w:szCs w:val="15"/>
                    </w:rPr>
                  </w:pPr>
                  <w:r>
                    <w:rPr>
                      <w:rFonts w:hint="eastAsia"/>
                      <w:b/>
                      <w:bCs/>
                      <w:sz w:val="15"/>
                      <w:szCs w:val="15"/>
                    </w:rPr>
                    <w:t>③</w:t>
                  </w:r>
                </w:p>
              </w:txbxContent>
            </v:textbox>
          </v:shape>
        </w:pict>
      </w:r>
      <w:r>
        <w:rPr>
          <w:color w:val="000000" w:themeColor="text1"/>
        </w:rPr>
        <w:pict>
          <v:shape id="_x0000_s2167" o:spid="_x0000_s2167" o:spt="202" type="#_x0000_t202" style="position:absolute;left:0pt;margin-left:403.15pt;margin-top:535.3pt;height:16.7pt;width:52.3pt;z-index:251718656;mso-width-relative:page;mso-height-relative:page;" fillcolor="#FF0000" filled="f" stroked="f" coordsize="21600,21600">
            <v:path/>
            <v:fill on="f" focussize="0,0"/>
            <v:stroke on="f" joinstyle="miter"/>
            <v:imagedata o:title=""/>
            <o:lock v:ext="edit"/>
            <v:textbox>
              <w:txbxContent>
                <w:p w14:paraId="099F0540">
                  <w:pPr>
                    <w:adjustRightInd w:val="0"/>
                    <w:snapToGrid w:val="0"/>
                    <w:ind w:left="-105" w:leftChars="-50" w:right="-105" w:rightChars="-50"/>
                    <w:jc w:val="center"/>
                    <w:rPr>
                      <w:rFonts w:hint="eastAsia" w:ascii="黑体" w:hAnsi="黑体" w:eastAsia="黑体"/>
                      <w:sz w:val="13"/>
                      <w:szCs w:val="13"/>
                    </w:rPr>
                  </w:pPr>
                  <w:r>
                    <w:rPr>
                      <w:rFonts w:hint="eastAsia" w:ascii="黑体" w:hAnsi="黑体" w:eastAsia="黑体"/>
                      <w:sz w:val="13"/>
                      <w:szCs w:val="13"/>
                    </w:rPr>
                    <w:t>规划调水工程</w:t>
                  </w:r>
                </w:p>
              </w:txbxContent>
            </v:textbox>
          </v:shape>
        </w:pict>
      </w:r>
      <w:r>
        <w:rPr>
          <w:color w:val="000000" w:themeColor="text1"/>
        </w:rPr>
        <w:pict>
          <v:shape id="_x0000_s2152" o:spid="_x0000_s2152" o:spt="202" type="#_x0000_t202" style="position:absolute;left:0pt;margin-left:329.9pt;margin-top:535.75pt;height:16.7pt;width:50.5pt;z-index:251705344;mso-width-relative:page;mso-height-relative:page;" fillcolor="#FF0000" filled="f" stroked="f" coordsize="21600,21600">
            <v:path/>
            <v:fill on="f" focussize="0,0"/>
            <v:stroke on="f" joinstyle="miter"/>
            <v:imagedata o:title=""/>
            <o:lock v:ext="edit"/>
            <v:textbox>
              <w:txbxContent>
                <w:p w14:paraId="0BA9E142">
                  <w:pPr>
                    <w:adjustRightInd w:val="0"/>
                    <w:snapToGrid w:val="0"/>
                    <w:ind w:left="-105" w:leftChars="-50" w:right="-105" w:rightChars="-50"/>
                    <w:jc w:val="center"/>
                    <w:rPr>
                      <w:rFonts w:hint="eastAsia" w:ascii="黑体" w:hAnsi="黑体" w:eastAsia="黑体"/>
                      <w:sz w:val="13"/>
                      <w:szCs w:val="13"/>
                    </w:rPr>
                  </w:pPr>
                  <w:r>
                    <w:rPr>
                      <w:rFonts w:hint="eastAsia" w:ascii="黑体" w:hAnsi="黑体" w:eastAsia="黑体"/>
                      <w:sz w:val="13"/>
                      <w:szCs w:val="13"/>
                    </w:rPr>
                    <w:t>规划再生水厂</w:t>
                  </w:r>
                </w:p>
              </w:txbxContent>
            </v:textbox>
          </v:shape>
        </w:pict>
      </w:r>
      <w:r>
        <w:rPr>
          <w:color w:val="000000" w:themeColor="text1"/>
        </w:rPr>
        <w:pict>
          <v:shape id="_x0000_s2137" o:spid="_x0000_s2137" o:spt="202" type="#_x0000_t202" style="position:absolute;left:0pt;margin-left:265.95pt;margin-top:535.9pt;height:16.7pt;width:50.5pt;z-index:251697152;mso-width-relative:page;mso-height-relative:page;" filled="f" stroked="f" coordsize="21600,21600">
            <v:path/>
            <v:fill on="f" focussize="0,0"/>
            <v:stroke on="f" joinstyle="miter"/>
            <v:imagedata o:title=""/>
            <o:lock v:ext="edit"/>
            <v:textbox>
              <w:txbxContent>
                <w:p w14:paraId="0F336B4F">
                  <w:pPr>
                    <w:adjustRightInd w:val="0"/>
                    <w:snapToGrid w:val="0"/>
                    <w:ind w:left="-105" w:leftChars="-50" w:right="-105" w:rightChars="-50"/>
                    <w:jc w:val="center"/>
                    <w:rPr>
                      <w:rFonts w:hint="eastAsia" w:ascii="黑体" w:hAnsi="黑体" w:eastAsia="黑体"/>
                      <w:sz w:val="13"/>
                      <w:szCs w:val="13"/>
                    </w:rPr>
                  </w:pPr>
                  <w:r>
                    <w:rPr>
                      <w:rFonts w:hint="eastAsia" w:ascii="黑体" w:hAnsi="黑体" w:eastAsia="黑体"/>
                      <w:sz w:val="13"/>
                      <w:szCs w:val="13"/>
                    </w:rPr>
                    <w:t>现有再生水厂</w:t>
                  </w:r>
                </w:p>
              </w:txbxContent>
            </v:textbox>
          </v:shape>
        </w:pict>
      </w:r>
      <w:r>
        <w:rPr>
          <w:color w:val="000000" w:themeColor="text1"/>
        </w:rPr>
        <w:pict>
          <v:shape id="_x0000_s2166" o:spid="_x0000_s2166" o:spt="4" type="#_x0000_t4" style="position:absolute;left:0pt;flip:x y;margin-left:325.45pt;margin-top:539.6pt;height:8.5pt;width:8.5pt;z-index:251717632;mso-width-relative:page;mso-height-relative:page;" fillcolor="#00FFFF" filled="t" coordsize="21600,21600">
            <v:path/>
            <v:fill on="t" focussize="0,0"/>
            <v:stroke joinstyle="miter"/>
            <v:imagedata o:title=""/>
            <o:lock v:ext="edit"/>
          </v:shape>
        </w:pict>
      </w:r>
      <w:r>
        <w:rPr>
          <w:color w:val="000000" w:themeColor="text1"/>
        </w:rPr>
        <w:pict>
          <v:shape id="_x0000_s2165" o:spid="_x0000_s2165" o:spt="4" type="#_x0000_t4" style="position:absolute;left:0pt;margin-left:259.25pt;margin-top:539.6pt;height:8.5pt;width:8.5pt;z-index:251716608;mso-width-relative:page;mso-height-relative:page;" fillcolor="#00B0F0" filled="t" coordsize="21600,21600">
            <v:path/>
            <v:fill on="t" focussize="0,0"/>
            <v:stroke joinstyle="miter"/>
            <v:imagedata o:title=""/>
            <o:lock v:ext="edit"/>
          </v:shape>
        </w:pict>
      </w:r>
      <w:r>
        <w:rPr>
          <w:color w:val="000000" w:themeColor="text1"/>
        </w:rPr>
        <w:pict>
          <v:shape id="_x0000_s2169" o:spid="_x0000_s2169" style="position:absolute;left:0pt;margin-left:385.65pt;margin-top:543.45pt;height:0pt;width:22.4pt;z-index:251719680;mso-width-relative:page;mso-height-relative:page;" filled="f" stroked="t" coordsize="448,1" path="m448,0l0,0e">
            <v:path arrowok="t"/>
            <v:fill on="f" focussize="0,0"/>
            <v:stroke weight="1.5pt" color="#00FFFF"/>
            <v:imagedata o:title=""/>
            <o:lock v:ext="edit"/>
          </v:shape>
        </w:pict>
      </w:r>
      <w:r>
        <w:rPr>
          <w:color w:val="000000" w:themeColor="text1"/>
        </w:rPr>
        <w:pict>
          <v:shape id="_x0000_s2156" o:spid="_x0000_s2156" o:spt="4" type="#_x0000_t4" style="position:absolute;left:0pt;margin-left:175.95pt;margin-top:213.6pt;height:8.5pt;width:8.5pt;z-index:251709440;mso-width-relative:page;mso-height-relative:page;" fillcolor="#00FFFF" filled="t" coordsize="21600,21600">
            <v:path/>
            <v:fill on="t" focussize="0,0"/>
            <v:stroke joinstyle="miter"/>
            <v:imagedata o:title=""/>
            <o:lock v:ext="edit"/>
          </v:shape>
        </w:pict>
      </w:r>
      <w:r>
        <w:rPr>
          <w:color w:val="000000" w:themeColor="text1"/>
        </w:rPr>
        <w:pict>
          <v:shape id="_x0000_s2144" o:spid="_x0000_s2144" o:spt="202" type="#_x0000_t202" style="position:absolute;left:0pt;margin-left:100.95pt;margin-top:296.25pt;height:17.4pt;width:10.65pt;z-index:251700224;mso-width-relative:page;mso-height-relative:page;" filled="f" stroked="f" coordsize="21600,21600">
            <v:path/>
            <v:fill on="f" focussize="0,0"/>
            <v:stroke on="f" joinstyle="miter"/>
            <v:imagedata o:title=""/>
            <o:lock v:ext="edit"/>
            <v:textbox>
              <w:txbxContent>
                <w:p w14:paraId="3E5784F2">
                  <w:pPr>
                    <w:adjustRightInd w:val="0"/>
                    <w:snapToGrid w:val="0"/>
                    <w:ind w:left="-105" w:leftChars="-50"/>
                    <w:rPr>
                      <w:b/>
                      <w:bCs/>
                      <w:sz w:val="15"/>
                      <w:szCs w:val="15"/>
                    </w:rPr>
                  </w:pPr>
                  <w:r>
                    <w:rPr>
                      <w:rFonts w:hint="eastAsia"/>
                      <w:b/>
                      <w:bCs/>
                      <w:sz w:val="15"/>
                      <w:szCs w:val="15"/>
                    </w:rPr>
                    <w:t>⑦</w:t>
                  </w:r>
                </w:p>
              </w:txbxContent>
            </v:textbox>
          </v:shape>
        </w:pict>
      </w:r>
      <w:r>
        <w:rPr>
          <w:color w:val="000000" w:themeColor="text1"/>
        </w:rPr>
        <w:pict>
          <v:shape id="_x0000_s2157" o:spid="_x0000_s2157" o:spt="4" type="#_x0000_t4" style="position:absolute;left:0pt;margin-left:99.85pt;margin-top:291.45pt;height:8.5pt;width:8.5pt;z-index:251710464;mso-width-relative:page;mso-height-relative:page;" fillcolor="#00FFFF" filled="t" coordsize="21600,21600">
            <v:path/>
            <v:fill on="t" focussize="0,0"/>
            <v:stroke joinstyle="miter"/>
            <v:imagedata o:title=""/>
            <o:lock v:ext="edit"/>
          </v:shape>
        </w:pict>
      </w:r>
      <w:r>
        <w:rPr>
          <w:color w:val="000000" w:themeColor="text1"/>
        </w:rPr>
        <w:pict>
          <v:shape id="_x0000_s2145" o:spid="_x0000_s2145" o:spt="202" type="#_x0000_t202" style="position:absolute;left:0pt;margin-left:97.7pt;margin-top:346.75pt;height:17.4pt;width:10.65pt;z-index:251701248;mso-width-relative:page;mso-height-relative:page;" filled="f" stroked="f" coordsize="21600,21600">
            <v:path/>
            <v:fill on="f" focussize="0,0"/>
            <v:stroke on="f" joinstyle="miter"/>
            <v:imagedata o:title=""/>
            <o:lock v:ext="edit"/>
            <v:textbox>
              <w:txbxContent>
                <w:p w14:paraId="16E8154A">
                  <w:pPr>
                    <w:adjustRightInd w:val="0"/>
                    <w:snapToGrid w:val="0"/>
                    <w:ind w:left="-105" w:leftChars="-50"/>
                    <w:rPr>
                      <w:b/>
                      <w:bCs/>
                      <w:sz w:val="15"/>
                      <w:szCs w:val="15"/>
                    </w:rPr>
                  </w:pPr>
                  <w:r>
                    <w:rPr>
                      <w:rFonts w:hint="eastAsia"/>
                      <w:b/>
                      <w:bCs/>
                      <w:sz w:val="15"/>
                      <w:szCs w:val="15"/>
                    </w:rPr>
                    <w:t>⑨</w:t>
                  </w:r>
                </w:p>
              </w:txbxContent>
            </v:textbox>
          </v:shape>
        </w:pict>
      </w:r>
      <w:r>
        <w:rPr>
          <w:color w:val="000000" w:themeColor="text1"/>
        </w:rPr>
        <w:pict>
          <v:shape id="_x0000_s2158" o:spid="_x0000_s2158" o:spt="4" type="#_x0000_t4" style="position:absolute;left:0pt;margin-left:97.7pt;margin-top:359.15pt;height:8.5pt;width:8.5pt;z-index:251711488;mso-width-relative:page;mso-height-relative:page;" fillcolor="#00FFFF" filled="t" coordsize="21600,21600">
            <v:path/>
            <v:fill on="t" focussize="0,0"/>
            <v:stroke joinstyle="miter"/>
            <v:imagedata o:title=""/>
            <o:lock v:ext="edit"/>
          </v:shape>
        </w:pict>
      </w:r>
      <w:r>
        <w:rPr>
          <w:color w:val="000000" w:themeColor="text1"/>
        </w:rPr>
        <w:pict>
          <v:shape id="_x0000_s2159" o:spid="_x0000_s2159" o:spt="4" type="#_x0000_t4" style="position:absolute;left:0pt;margin-left:283.4pt;margin-top:406.25pt;height:8.5pt;width:8.5pt;z-index:251712512;mso-width-relative:page;mso-height-relative:page;" fillcolor="#00FFFF" filled="t" coordsize="21600,21600">
            <v:path/>
            <v:fill on="t" focussize="0,0"/>
            <v:stroke joinstyle="miter"/>
            <v:imagedata o:title=""/>
            <o:lock v:ext="edit"/>
          </v:shape>
        </w:pict>
      </w:r>
      <w:r>
        <w:rPr>
          <w:color w:val="000000" w:themeColor="text1"/>
        </w:rPr>
        <w:pict>
          <v:shape id="_x0000_s2146" o:spid="_x0000_s2146" o:spt="202" type="#_x0000_t202" style="position:absolute;left:0pt;margin-left:283.4pt;margin-top:393.8pt;height:17.4pt;width:10.65pt;z-index:251702272;mso-width-relative:page;mso-height-relative:page;" filled="f" stroked="f" coordsize="21600,21600">
            <v:path/>
            <v:fill on="f" focussize="0,0"/>
            <v:stroke on="f" joinstyle="miter"/>
            <v:imagedata o:title=""/>
            <o:lock v:ext="edit"/>
            <v:textbox>
              <w:txbxContent>
                <w:p w14:paraId="3B9689B7">
                  <w:pPr>
                    <w:adjustRightInd w:val="0"/>
                    <w:snapToGrid w:val="0"/>
                    <w:ind w:left="-105" w:leftChars="-50"/>
                    <w:rPr>
                      <w:b/>
                      <w:bCs/>
                      <w:sz w:val="15"/>
                      <w:szCs w:val="15"/>
                    </w:rPr>
                  </w:pPr>
                  <w:r>
                    <w:rPr>
                      <w:rFonts w:hint="eastAsia"/>
                      <w:b/>
                      <w:bCs/>
                      <w:sz w:val="15"/>
                      <w:szCs w:val="15"/>
                    </w:rPr>
                    <w:t>⑥</w:t>
                  </w:r>
                </w:p>
              </w:txbxContent>
            </v:textbox>
          </v:shape>
        </w:pict>
      </w:r>
      <w:r>
        <w:rPr>
          <w:color w:val="000000" w:themeColor="text1"/>
        </w:rPr>
        <w:pict>
          <v:shape id="_x0000_s2160" o:spid="_x0000_s2160" o:spt="4" type="#_x0000_t4" style="position:absolute;left:0pt;margin-left:319.2pt;margin-top:299.95pt;height:8.5pt;width:8.5pt;z-index:251713536;mso-width-relative:page;mso-height-relative:page;" fillcolor="#00FFFF" filled="t" coordsize="21600,21600">
            <v:path/>
            <v:fill on="t" focussize="0,0"/>
            <v:stroke joinstyle="miter"/>
            <v:imagedata o:title=""/>
            <o:lock v:ext="edit"/>
          </v:shape>
        </w:pict>
      </w:r>
      <w:r>
        <w:rPr>
          <w:color w:val="000000" w:themeColor="text1"/>
        </w:rPr>
        <w:pict>
          <v:shape id="_x0000_s2162" o:spid="_x0000_s2162" o:spt="202" type="#_x0000_t202" style="position:absolute;left:0pt;margin-left:265.95pt;margin-top:209.25pt;height:17.4pt;width:10.65pt;z-index:251715584;mso-width-relative:page;mso-height-relative:page;" filled="f" stroked="f" coordsize="21600,21600">
            <v:path/>
            <v:fill on="f" focussize="0,0"/>
            <v:stroke on="f" joinstyle="miter"/>
            <v:imagedata o:title=""/>
            <o:lock v:ext="edit"/>
            <v:textbox>
              <w:txbxContent>
                <w:p w14:paraId="6823344F">
                  <w:pPr>
                    <w:adjustRightInd w:val="0"/>
                    <w:snapToGrid w:val="0"/>
                    <w:ind w:left="-105" w:leftChars="-50"/>
                    <w:rPr>
                      <w:b/>
                      <w:bCs/>
                      <w:sz w:val="15"/>
                      <w:szCs w:val="15"/>
                    </w:rPr>
                  </w:pPr>
                  <w:r>
                    <w:rPr>
                      <w:rFonts w:hint="eastAsia"/>
                      <w:b/>
                      <w:bCs/>
                      <w:sz w:val="15"/>
                      <w:szCs w:val="15"/>
                    </w:rPr>
                    <w:t>⑩</w:t>
                  </w:r>
                </w:p>
              </w:txbxContent>
            </v:textbox>
          </v:shape>
        </w:pict>
      </w:r>
      <w:r>
        <w:rPr>
          <w:color w:val="000000" w:themeColor="text1"/>
        </w:rPr>
        <w:pict>
          <v:shape id="_x0000_s2161" o:spid="_x0000_s2161" style="position:absolute;left:0pt;margin-left:255pt;margin-top:177.55pt;height:119pt;width:33.65pt;z-index:251714560;mso-width-relative:page;mso-height-relative:page;" filled="f" stroked="t" coordsize="673,2380" path="m63,0l0,255,0,640,673,1520,498,1770,508,2380e">
            <v:path arrowok="t"/>
            <v:fill on="f" focussize="0,0"/>
            <v:stroke weight="2.25pt" color="#00FFFF"/>
            <v:imagedata o:title=""/>
            <o:lock v:ext="edit"/>
          </v:shape>
        </w:pict>
      </w:r>
      <w:r>
        <w:rPr>
          <w:color w:val="000000" w:themeColor="text1"/>
        </w:rPr>
        <w:pict>
          <v:shape id="_x0000_s2155" o:spid="_x0000_s2155" o:spt="4" type="#_x0000_t4" style="position:absolute;left:0pt;margin-left:244.35pt;margin-top:166.45pt;height:8.5pt;width:8.5pt;z-index:251708416;mso-width-relative:page;mso-height-relative:page;" fillcolor="#00FFFF" filled="t" coordsize="21600,21600">
            <v:path/>
            <v:fill on="t" focussize="0,0"/>
            <v:stroke joinstyle="miter"/>
            <v:imagedata o:title=""/>
            <o:lock v:ext="edit"/>
          </v:shape>
        </w:pict>
      </w:r>
      <w:r>
        <w:rPr>
          <w:color w:val="000000" w:themeColor="text1"/>
        </w:rPr>
        <w:pict>
          <v:shape id="_x0000_s2154" o:spid="_x0000_s2154" o:spt="4" type="#_x0000_t4" style="position:absolute;left:0pt;margin-left:262.9pt;margin-top:143.15pt;height:8.5pt;width:8.5pt;z-index:251707392;mso-width-relative:page;mso-height-relative:page;" fillcolor="#00B0F0" filled="t" coordsize="21600,21600">
            <v:path/>
            <v:fill on="t" focussize="0,0"/>
            <v:stroke joinstyle="miter"/>
            <v:imagedata o:title=""/>
            <o:lock v:ext="edit"/>
          </v:shape>
        </w:pict>
      </w:r>
      <w:r>
        <w:rPr>
          <w:color w:val="000000" w:themeColor="text1"/>
        </w:rPr>
        <w:pict>
          <v:shape id="_x0000_s2143" o:spid="_x0000_s2143" o:spt="202" type="#_x0000_t202" style="position:absolute;left:0pt;margin-left:262.9pt;margin-top:128.6pt;height:17.4pt;width:10.65pt;z-index:251699200;mso-width-relative:page;mso-height-relative:page;" filled="f" stroked="f" coordsize="21600,21600">
            <v:path/>
            <v:fill on="f" focussize="0,0"/>
            <v:stroke on="f" joinstyle="miter"/>
            <v:imagedata o:title=""/>
            <o:lock v:ext="edit"/>
            <v:textbox>
              <w:txbxContent>
                <w:p w14:paraId="51031C40">
                  <w:pPr>
                    <w:adjustRightInd w:val="0"/>
                    <w:snapToGrid w:val="0"/>
                    <w:ind w:left="-105" w:leftChars="-50"/>
                    <w:rPr>
                      <w:b/>
                      <w:bCs/>
                      <w:sz w:val="15"/>
                      <w:szCs w:val="15"/>
                    </w:rPr>
                  </w:pPr>
                  <w:r>
                    <w:rPr>
                      <w:rFonts w:hint="eastAsia"/>
                      <w:b/>
                      <w:bCs/>
                      <w:sz w:val="15"/>
                      <w:szCs w:val="15"/>
                    </w:rPr>
                    <w:t>①</w:t>
                  </w:r>
                </w:p>
              </w:txbxContent>
            </v:textbox>
          </v:shape>
        </w:pict>
      </w:r>
      <w:r>
        <w:rPr>
          <w:color w:val="000000" w:themeColor="text1"/>
        </w:rPr>
        <w:pict>
          <v:shape id="_x0000_s2142" o:spid="_x0000_s2142" o:spt="202" type="#_x0000_t202" style="position:absolute;left:0pt;margin-left:326.3pt;margin-top:117.35pt;height:17.4pt;width:10.65pt;z-index:251698176;mso-width-relative:page;mso-height-relative:page;" filled="f" stroked="f" coordsize="21600,21600">
            <v:path/>
            <v:fill on="f" focussize="0,0"/>
            <v:stroke on="f" joinstyle="miter"/>
            <v:imagedata o:title=""/>
            <o:lock v:ext="edit"/>
            <v:textbox>
              <w:txbxContent>
                <w:p w14:paraId="13EEEEF4">
                  <w:pPr>
                    <w:adjustRightInd w:val="0"/>
                    <w:snapToGrid w:val="0"/>
                    <w:ind w:left="-105" w:leftChars="-50"/>
                    <w:rPr>
                      <w:b/>
                      <w:bCs/>
                      <w:sz w:val="15"/>
                      <w:szCs w:val="15"/>
                    </w:rPr>
                  </w:pPr>
                  <w:r>
                    <w:rPr>
                      <w:rFonts w:hint="eastAsia"/>
                      <w:b/>
                      <w:bCs/>
                      <w:sz w:val="15"/>
                      <w:szCs w:val="15"/>
                    </w:rPr>
                    <w:t>④</w:t>
                  </w:r>
                </w:p>
              </w:txbxContent>
            </v:textbox>
          </v:shape>
        </w:pict>
      </w:r>
      <w:r>
        <w:rPr>
          <w:color w:val="000000" w:themeColor="text1"/>
        </w:rPr>
        <w:pict>
          <v:shape id="_x0000_s2153" o:spid="_x0000_s2153" o:spt="4" type="#_x0000_t4" style="position:absolute;left:0pt;margin-left:326.95pt;margin-top:130.25pt;height:8.5pt;width:8.5pt;z-index:251706368;mso-width-relative:page;mso-height-relative:page;" fillcolor="#00FFFF" filled="t" coordsize="21600,21600">
            <v:path/>
            <v:fill on="t" focussize="0,0"/>
            <v:stroke joinstyle="miter"/>
            <v:imagedata o:title=""/>
            <o:lock v:ext="edit"/>
          </v:shape>
        </w:pict>
      </w:r>
      <w:r>
        <w:rPr>
          <w:color w:val="000000" w:themeColor="text1"/>
        </w:rPr>
        <w:drawing>
          <wp:inline distT="0" distB="0" distL="0" distR="0">
            <wp:extent cx="5759450" cy="7096760"/>
            <wp:effectExtent l="95250" t="95250" r="107950" b="123190"/>
            <wp:docPr id="4589902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90266" name="图片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759450" cy="7096760"/>
                    </a:xfrm>
                    <a:prstGeom prst="rect">
                      <a:avLst/>
                    </a:prstGeom>
                    <a:ln w="50800" cap="sq" cmpd="dbl"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14:paraId="5CD7C8F7">
      <w:pPr>
        <w:jc w:val="center"/>
        <w:rPr>
          <w:color w:val="000000" w:themeColor="text1"/>
          <w:sz w:val="28"/>
          <w:szCs w:val="28"/>
        </w:rPr>
      </w:pPr>
    </w:p>
    <w:sectPr>
      <w:pgSz w:w="11906" w:h="16838"/>
      <w:pgMar w:top="1440" w:right="1418" w:bottom="1440"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Arial Unicode MS">
    <w:panose1 w:val="020B0604020202020204"/>
    <w:charset w:val="86"/>
    <w:family w:val="swiss"/>
    <w:pitch w:val="default"/>
    <w:sig w:usb0="FFFFFFFF" w:usb1="E9FFFFFF" w:usb2="0000003F" w:usb3="00000000" w:csb0="603F01FF" w:csb1="FFFF0000"/>
  </w:font>
  <w:font w:name="新宋体">
    <w:panose1 w:val="02010609030101010101"/>
    <w:charset w:val="86"/>
    <w:family w:val="modern"/>
    <w:pitch w:val="default"/>
    <w:sig w:usb0="00000283" w:usb1="288F0000" w:usb2="00000006" w:usb3="00000000" w:csb0="00040001" w:csb1="00000000"/>
  </w:font>
  <w:font w:name="华文中宋">
    <w:panose1 w:val="02010600040101010101"/>
    <w:charset w:val="86"/>
    <w:family w:val="auto"/>
    <w:pitch w:val="default"/>
    <w:sig w:usb0="00000287" w:usb1="080F0000" w:usb2="00000000" w:usb3="00000000" w:csb0="0004009F" w:csb1="DFD70000"/>
  </w:font>
  <w:font w:name="CG Times (W1)">
    <w:altName w:val="Times New Roman"/>
    <w:panose1 w:val="00000000000000000000"/>
    <w:charset w:val="00"/>
    <w:family w:val="roman"/>
    <w:pitch w:val="default"/>
    <w:sig w:usb0="00000000" w:usb1="00000000" w:usb2="00000000" w:usb3="00000000" w:csb0="00000001" w:csb1="00000000"/>
  </w:font>
  <w:font w:name="等线 Light">
    <w:panose1 w:val="02010600030101010101"/>
    <w:charset w:val="86"/>
    <w:family w:val="auto"/>
    <w:pitch w:val="default"/>
    <w:sig w:usb0="A00002BF" w:usb1="38CF7CFA" w:usb2="00000016" w:usb3="00000000" w:csb0="0004000F" w:csb1="00000000"/>
  </w:font>
  <w:font w:name="Helvetica">
    <w:altName w:val="Arial"/>
    <w:panose1 w:val="020B0604020202020204"/>
    <w:charset w:val="00"/>
    <w:family w:val="swiss"/>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221B17">
    <w:pPr>
      <w:pStyle w:val="28"/>
      <w:framePr w:wrap="around" w:vAnchor="text" w:hAnchor="margin" w:xAlign="center" w:y="1"/>
      <w:rPr>
        <w:rStyle w:val="56"/>
      </w:rPr>
    </w:pPr>
    <w:r>
      <w:rPr>
        <w:rStyle w:val="56"/>
      </w:rPr>
      <w:fldChar w:fldCharType="begin"/>
    </w:r>
    <w:r>
      <w:rPr>
        <w:rStyle w:val="56"/>
      </w:rPr>
      <w:instrText xml:space="preserve">PAGE  </w:instrText>
    </w:r>
    <w:r>
      <w:rPr>
        <w:rStyle w:val="56"/>
      </w:rPr>
      <w:fldChar w:fldCharType="separate"/>
    </w:r>
    <w:r>
      <w:rPr>
        <w:rStyle w:val="56"/>
      </w:rPr>
      <w:t>53</w:t>
    </w:r>
    <w:r>
      <w:rPr>
        <w:rStyle w:val="56"/>
      </w:rPr>
      <w:fldChar w:fldCharType="end"/>
    </w:r>
  </w:p>
  <w:p w14:paraId="1C761B0C">
    <w:pPr>
      <w:pStyle w:val="2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528642">
    <w:pPr>
      <w:pStyle w:val="28"/>
      <w:jc w:val="center"/>
      <w:rPr>
        <w:rFonts w:ascii="Times New Roman" w:hAnsi="Times New Roman"/>
        <w:sz w:val="21"/>
        <w:szCs w:val="21"/>
      </w:rPr>
    </w:pPr>
    <w:r>
      <w:rPr>
        <w:rFonts w:hint="eastAsia" w:ascii="Times New Roman" w:hAnsi="Times New Roman"/>
        <w:sz w:val="21"/>
        <w:szCs w:val="21"/>
      </w:rPr>
      <w:t>-</w:t>
    </w:r>
    <w:r>
      <w:rPr>
        <w:rFonts w:ascii="Times New Roman" w:hAnsi="Times New Roman"/>
        <w:sz w:val="21"/>
        <w:szCs w:val="21"/>
      </w:rPr>
      <w:t xml:space="preserve"> </w:t>
    </w:r>
    <w:r>
      <w:rPr>
        <w:rFonts w:ascii="Times New Roman" w:hAnsi="Times New Roman"/>
        <w:sz w:val="21"/>
        <w:szCs w:val="21"/>
      </w:rPr>
      <w:fldChar w:fldCharType="begin"/>
    </w:r>
    <w:r>
      <w:rPr>
        <w:rFonts w:ascii="Times New Roman" w:hAnsi="Times New Roman"/>
        <w:sz w:val="21"/>
        <w:szCs w:val="21"/>
      </w:rPr>
      <w:instrText xml:space="preserve"> PAGE   \* MERGEFORMAT </w:instrText>
    </w:r>
    <w:r>
      <w:rPr>
        <w:rFonts w:ascii="Times New Roman" w:hAnsi="Times New Roman"/>
        <w:sz w:val="21"/>
        <w:szCs w:val="21"/>
      </w:rPr>
      <w:fldChar w:fldCharType="separate"/>
    </w:r>
    <w:r>
      <w:rPr>
        <w:rFonts w:ascii="Times New Roman" w:hAnsi="Times New Roman"/>
        <w:sz w:val="21"/>
        <w:szCs w:val="21"/>
        <w:lang w:val="zh-CN"/>
      </w:rPr>
      <w:t>IV</w:t>
    </w:r>
    <w:r>
      <w:rPr>
        <w:rFonts w:ascii="Times New Roman" w:hAnsi="Times New Roman"/>
        <w:sz w:val="21"/>
        <w:szCs w:val="21"/>
      </w:rPr>
      <w:fldChar w:fldCharType="end"/>
    </w:r>
    <w:r>
      <w:rPr>
        <w:rFonts w:ascii="Times New Roman" w:hAnsi="Times New Roman"/>
        <w:sz w:val="21"/>
        <w:szCs w:val="21"/>
      </w:rPr>
      <w:t xml:space="preserve"> </w:t>
    </w:r>
    <w:r>
      <w:rPr>
        <w:rFonts w:hint="eastAsia" w:ascii="Times New Roman" w:hAnsi="Times New Roman"/>
        <w:sz w:val="21"/>
        <w:szCs w:val="21"/>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912005">
    <w:pPr>
      <w:pStyle w:val="2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08110243"/>
      <w:docPartObj>
        <w:docPartGallery w:val="autotext"/>
      </w:docPartObj>
    </w:sdtPr>
    <w:sdtContent>
      <w:p w14:paraId="00638BFA">
        <w:pPr>
          <w:pStyle w:val="28"/>
          <w:jc w:val="center"/>
        </w:pPr>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rPr>
          <w:t>2</w:t>
        </w:r>
        <w:r>
          <w:rPr>
            <w:rFonts w:ascii="Times New Roman" w:hAnsi="Times New Roman"/>
            <w:sz w:val="21"/>
            <w:szCs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FB56C1">
    <w:pPr>
      <w:pStyle w:val="28"/>
      <w:framePr w:wrap="around" w:vAnchor="text" w:hAnchor="margin" w:xAlign="center" w:y="1"/>
      <w:rPr>
        <w:rStyle w:val="56"/>
        <w:rFonts w:ascii="Times New Roman" w:hAnsi="Times New Roman"/>
        <w:sz w:val="21"/>
        <w:szCs w:val="21"/>
      </w:rPr>
    </w:pPr>
    <w:r>
      <w:rPr>
        <w:rStyle w:val="56"/>
        <w:rFonts w:hint="eastAsia" w:ascii="Times New Roman" w:hAnsi="Times New Roman"/>
        <w:sz w:val="21"/>
        <w:szCs w:val="21"/>
      </w:rPr>
      <w:t>-</w:t>
    </w:r>
    <w:r>
      <w:rPr>
        <w:rStyle w:val="56"/>
        <w:rFonts w:ascii="Times New Roman" w:hAnsi="Times New Roman"/>
        <w:sz w:val="21"/>
        <w:szCs w:val="21"/>
      </w:rPr>
      <w:t xml:space="preserve"> </w:t>
    </w:r>
    <w:r>
      <w:rPr>
        <w:rStyle w:val="56"/>
        <w:rFonts w:ascii="Times New Roman" w:hAnsi="Times New Roman"/>
        <w:sz w:val="21"/>
        <w:szCs w:val="21"/>
      </w:rPr>
      <w:fldChar w:fldCharType="begin"/>
    </w:r>
    <w:r>
      <w:rPr>
        <w:rStyle w:val="56"/>
        <w:rFonts w:ascii="Times New Roman" w:hAnsi="Times New Roman"/>
        <w:sz w:val="21"/>
        <w:szCs w:val="21"/>
      </w:rPr>
      <w:instrText xml:space="preserve">PAGE  </w:instrText>
    </w:r>
    <w:r>
      <w:rPr>
        <w:rStyle w:val="56"/>
        <w:rFonts w:ascii="Times New Roman" w:hAnsi="Times New Roman"/>
        <w:sz w:val="21"/>
        <w:szCs w:val="21"/>
      </w:rPr>
      <w:fldChar w:fldCharType="separate"/>
    </w:r>
    <w:r>
      <w:rPr>
        <w:rStyle w:val="56"/>
        <w:rFonts w:ascii="Times New Roman" w:hAnsi="Times New Roman"/>
        <w:sz w:val="21"/>
        <w:szCs w:val="21"/>
      </w:rPr>
      <w:t>165</w:t>
    </w:r>
    <w:r>
      <w:rPr>
        <w:rStyle w:val="56"/>
        <w:rFonts w:ascii="Times New Roman" w:hAnsi="Times New Roman"/>
        <w:sz w:val="21"/>
        <w:szCs w:val="21"/>
      </w:rPr>
      <w:fldChar w:fldCharType="end"/>
    </w:r>
    <w:r>
      <w:rPr>
        <w:rStyle w:val="56"/>
        <w:rFonts w:ascii="Times New Roman" w:hAnsi="Times New Roman"/>
        <w:sz w:val="21"/>
        <w:szCs w:val="21"/>
      </w:rPr>
      <w:t xml:space="preserve"> </w:t>
    </w:r>
    <w:r>
      <w:rPr>
        <w:rStyle w:val="56"/>
        <w:rFonts w:hint="eastAsia" w:ascii="Times New Roman" w:hAnsi="Times New Roman"/>
        <w:sz w:val="21"/>
        <w:szCs w:val="21"/>
      </w:rPr>
      <w:t>-</w:t>
    </w:r>
  </w:p>
  <w:p w14:paraId="083BE4F0">
    <w:pPr>
      <w:pStyle w:val="2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72059431"/>
      <w:docPartObj>
        <w:docPartGallery w:val="autotext"/>
      </w:docPartObj>
    </w:sdtPr>
    <w:sdtEndPr>
      <w:rPr>
        <w:rFonts w:ascii="Times New Roman" w:hAnsi="Times New Roman"/>
        <w:sz w:val="21"/>
        <w:szCs w:val="21"/>
      </w:rPr>
    </w:sdtEndPr>
    <w:sdtContent>
      <w:p w14:paraId="7E4E7B35">
        <w:pPr>
          <w:pStyle w:val="28"/>
          <w:jc w:val="center"/>
          <w:rPr>
            <w:rFonts w:ascii="Times New Roman" w:hAnsi="Times New Roman"/>
            <w:sz w:val="21"/>
            <w:szCs w:val="21"/>
          </w:rPr>
        </w:pPr>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rPr>
          <w:t>2</w:t>
        </w:r>
        <w:r>
          <w:rPr>
            <w:rFonts w:ascii="Times New Roman" w:hAnsi="Times New Roman"/>
            <w:sz w:val="21"/>
            <w:szCs w:val="21"/>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2D1A8">
    <w:pPr>
      <w:pStyle w:val="29"/>
      <w:rPr>
        <w:rFonts w:eastAsia="楷体"/>
        <w:sz w:val="21"/>
      </w:rPr>
    </w:pPr>
    <w:r>
      <w:rPr>
        <w:rFonts w:eastAsia="楷体"/>
        <w:b/>
        <w:sz w:val="21"/>
      </w:rPr>
      <w:t>平阴县</w:t>
    </w:r>
    <w:r>
      <w:rPr>
        <w:rFonts w:hint="eastAsia" w:eastAsia="楷体"/>
        <w:b/>
        <w:sz w:val="21"/>
      </w:rPr>
      <w:t>再生水利用</w:t>
    </w:r>
    <w:r>
      <w:rPr>
        <w:rFonts w:eastAsia="楷体"/>
        <w:b/>
        <w:sz w:val="21"/>
      </w:rPr>
      <w:t>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64FD5A">
    <w:pPr>
      <w:pStyle w:val="2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44D25">
    <w:pPr>
      <w:pStyle w:val="29"/>
      <w:rPr>
        <w:rFonts w:eastAsia="楷体"/>
        <w:sz w:val="21"/>
      </w:rPr>
    </w:pPr>
    <w:r>
      <w:rPr>
        <w:rFonts w:eastAsia="楷体"/>
        <w:b/>
        <w:sz w:val="21"/>
      </w:rPr>
      <w:t>平阴县</w:t>
    </w:r>
    <w:r>
      <w:rPr>
        <w:rFonts w:hint="eastAsia" w:eastAsia="楷体"/>
        <w:b/>
        <w:sz w:val="21"/>
      </w:rPr>
      <w:t>再生水利用</w:t>
    </w:r>
    <w:r>
      <w:rPr>
        <w:rFonts w:eastAsia="楷体"/>
        <w:b/>
        <w:sz w:val="21"/>
      </w:rPr>
      <w:t>规划</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3FA0017"/>
    <w:multiLevelType w:val="multilevel"/>
    <w:tmpl w:val="13FA0017"/>
    <w:lvl w:ilvl="0" w:tentative="0">
      <w:start w:val="1"/>
      <w:numFmt w:val="chineseCountingThousand"/>
      <w:suff w:val="nothing"/>
      <w:lvlText w:val="第%1章  "/>
      <w:lvlJc w:val="left"/>
      <w:pPr>
        <w:ind w:left="0" w:firstLine="0"/>
      </w:pPr>
      <w:rPr>
        <w:rFonts w:hint="eastAsia" w:ascii="宋体" w:eastAsia="宋体"/>
        <w:b/>
        <w:i w:val="0"/>
        <w:sz w:val="44"/>
      </w:rPr>
    </w:lvl>
    <w:lvl w:ilvl="1" w:tentative="0">
      <w:start w:val="1"/>
      <w:numFmt w:val="chineseCountingThousand"/>
      <w:suff w:val="nothing"/>
      <w:lvlText w:val="第%2节    "/>
      <w:lvlJc w:val="left"/>
      <w:pPr>
        <w:ind w:left="0" w:firstLine="0"/>
      </w:pPr>
      <w:rPr>
        <w:rFonts w:hint="eastAsia" w:ascii="宋体" w:eastAsia="宋体"/>
        <w:b/>
        <w:i w:val="0"/>
        <w:sz w:val="32"/>
      </w:rPr>
    </w:lvl>
    <w:lvl w:ilvl="2" w:tentative="0">
      <w:start w:val="1"/>
      <w:numFmt w:val="chineseCountingThousand"/>
      <w:suff w:val="nothing"/>
      <w:lvlText w:val="%3、"/>
      <w:lvlJc w:val="left"/>
      <w:pPr>
        <w:ind w:left="0" w:firstLine="0"/>
      </w:pPr>
      <w:rPr>
        <w:rFonts w:hint="eastAsia" w:ascii="宋体" w:eastAsia="宋体"/>
        <w:b/>
        <w:i w:val="0"/>
        <w:sz w:val="32"/>
      </w:rPr>
    </w:lvl>
    <w:lvl w:ilvl="3" w:tentative="0">
      <w:start w:val="1"/>
      <w:numFmt w:val="chineseCountingThousand"/>
      <w:suff w:val="nothing"/>
      <w:lvlText w:val="(%4)"/>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pStyle w:val="8"/>
      <w:suff w:val="nothing"/>
      <w:lvlText w:val=""/>
      <w:lvlJc w:val="left"/>
      <w:pPr>
        <w:ind w:left="0" w:firstLine="0"/>
      </w:pPr>
      <w:rPr>
        <w:rFonts w:hint="eastAsia"/>
      </w:rPr>
    </w:lvl>
    <w:lvl w:ilvl="7" w:tentative="0">
      <w:start w:val="1"/>
      <w:numFmt w:val="none"/>
      <w:pStyle w:val="9"/>
      <w:suff w:val="nothing"/>
      <w:lvlText w:val=""/>
      <w:lvlJc w:val="left"/>
      <w:pPr>
        <w:ind w:left="0" w:firstLine="0"/>
      </w:pPr>
      <w:rPr>
        <w:rFonts w:hint="eastAsia"/>
      </w:rPr>
    </w:lvl>
    <w:lvl w:ilvl="8" w:tentative="0">
      <w:start w:val="1"/>
      <w:numFmt w:val="none"/>
      <w:pStyle w:val="10"/>
      <w:suff w:val="nothing"/>
      <w:lvlText w:val=""/>
      <w:lvlJc w:val="left"/>
      <w:pPr>
        <w:ind w:left="0" w:firstLine="0"/>
      </w:pPr>
      <w:rPr>
        <w:rFonts w:hint="eastAsia"/>
      </w:rPr>
    </w:lvl>
  </w:abstractNum>
  <w:abstractNum w:abstractNumId="1">
    <w:nsid w:val="4E06DA11"/>
    <w:multiLevelType w:val="singleLevel"/>
    <w:tmpl w:val="4E06DA11"/>
    <w:lvl w:ilvl="0" w:tentative="0">
      <w:start w:val="2"/>
      <w:numFmt w:val="chineseCounting"/>
      <w:suff w:val="space"/>
      <w:lvlText w:val="第%1章"/>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50"/>
  <w:drawingGridHorizontalSpacing w:val="105"/>
  <w:drawingGridVerticalSpacing w:val="156"/>
  <w:displayHorizontalDrawingGridEvery w:val="2"/>
  <w:displayVerticalDrawingGridEvery w:val="2"/>
  <w:characterSpacingControl w:val="doNotCompress"/>
  <w:compat>
    <w:useFELayout/>
    <w:compatSetting w:name="compatibilityMode" w:uri="http://schemas.microsoft.com/office/word" w:val="12"/>
  </w:compat>
  <w:docVars>
    <w:docVar w:name="commondata" w:val="eyJoZGlkIjoiZTBhZjMyZDgwYzRhMTAxNjg1NzNlZTY3YWZkNDM0NjkifQ=="/>
  </w:docVars>
  <w:rsids>
    <w:rsidRoot w:val="002D1BCE"/>
    <w:rsid w:val="00000A88"/>
    <w:rsid w:val="0000146D"/>
    <w:rsid w:val="000017A7"/>
    <w:rsid w:val="000021A4"/>
    <w:rsid w:val="00002377"/>
    <w:rsid w:val="00003076"/>
    <w:rsid w:val="00003642"/>
    <w:rsid w:val="00003839"/>
    <w:rsid w:val="00003841"/>
    <w:rsid w:val="000039C0"/>
    <w:rsid w:val="00003A82"/>
    <w:rsid w:val="00003D0E"/>
    <w:rsid w:val="00003D9D"/>
    <w:rsid w:val="00003ED1"/>
    <w:rsid w:val="00003F38"/>
    <w:rsid w:val="00004A6C"/>
    <w:rsid w:val="00004BB0"/>
    <w:rsid w:val="0000519F"/>
    <w:rsid w:val="00006148"/>
    <w:rsid w:val="0000615B"/>
    <w:rsid w:val="00006947"/>
    <w:rsid w:val="00006C4D"/>
    <w:rsid w:val="00006CCF"/>
    <w:rsid w:val="00006E37"/>
    <w:rsid w:val="00006FA9"/>
    <w:rsid w:val="000074D7"/>
    <w:rsid w:val="000077EE"/>
    <w:rsid w:val="00007923"/>
    <w:rsid w:val="00007936"/>
    <w:rsid w:val="00007A2F"/>
    <w:rsid w:val="00007AD5"/>
    <w:rsid w:val="00007B94"/>
    <w:rsid w:val="00007C90"/>
    <w:rsid w:val="0001067E"/>
    <w:rsid w:val="00010BCB"/>
    <w:rsid w:val="0001120B"/>
    <w:rsid w:val="000112C5"/>
    <w:rsid w:val="000118F3"/>
    <w:rsid w:val="00011EF9"/>
    <w:rsid w:val="000121AE"/>
    <w:rsid w:val="000122EB"/>
    <w:rsid w:val="000123D2"/>
    <w:rsid w:val="000129D8"/>
    <w:rsid w:val="00013340"/>
    <w:rsid w:val="00013B8B"/>
    <w:rsid w:val="00015208"/>
    <w:rsid w:val="00015A41"/>
    <w:rsid w:val="00015E4E"/>
    <w:rsid w:val="00016173"/>
    <w:rsid w:val="00016291"/>
    <w:rsid w:val="0001667C"/>
    <w:rsid w:val="00016822"/>
    <w:rsid w:val="00016843"/>
    <w:rsid w:val="00016CFD"/>
    <w:rsid w:val="000172D6"/>
    <w:rsid w:val="00017374"/>
    <w:rsid w:val="00017954"/>
    <w:rsid w:val="00017E8A"/>
    <w:rsid w:val="0002003C"/>
    <w:rsid w:val="00020199"/>
    <w:rsid w:val="000202C1"/>
    <w:rsid w:val="00020368"/>
    <w:rsid w:val="0002067C"/>
    <w:rsid w:val="000208F7"/>
    <w:rsid w:val="00020D4E"/>
    <w:rsid w:val="000215D3"/>
    <w:rsid w:val="000215D5"/>
    <w:rsid w:val="00021A89"/>
    <w:rsid w:val="00021B6F"/>
    <w:rsid w:val="000225ED"/>
    <w:rsid w:val="000226E9"/>
    <w:rsid w:val="000231CA"/>
    <w:rsid w:val="000233C3"/>
    <w:rsid w:val="0002403B"/>
    <w:rsid w:val="0002413B"/>
    <w:rsid w:val="00024A2F"/>
    <w:rsid w:val="00024B48"/>
    <w:rsid w:val="00024F38"/>
    <w:rsid w:val="0002525A"/>
    <w:rsid w:val="00025475"/>
    <w:rsid w:val="0002574B"/>
    <w:rsid w:val="00025818"/>
    <w:rsid w:val="000259B6"/>
    <w:rsid w:val="00025D7B"/>
    <w:rsid w:val="00025FBF"/>
    <w:rsid w:val="00026039"/>
    <w:rsid w:val="00026319"/>
    <w:rsid w:val="00026516"/>
    <w:rsid w:val="0002662F"/>
    <w:rsid w:val="00026AC3"/>
    <w:rsid w:val="00026E08"/>
    <w:rsid w:val="0002756C"/>
    <w:rsid w:val="0002787B"/>
    <w:rsid w:val="00027998"/>
    <w:rsid w:val="00027AD3"/>
    <w:rsid w:val="00027D90"/>
    <w:rsid w:val="00027EE3"/>
    <w:rsid w:val="000300FD"/>
    <w:rsid w:val="00030252"/>
    <w:rsid w:val="00031084"/>
    <w:rsid w:val="000311CD"/>
    <w:rsid w:val="0003178C"/>
    <w:rsid w:val="000318B1"/>
    <w:rsid w:val="00031FF8"/>
    <w:rsid w:val="00032847"/>
    <w:rsid w:val="00032BE2"/>
    <w:rsid w:val="0003335D"/>
    <w:rsid w:val="00033772"/>
    <w:rsid w:val="0003393F"/>
    <w:rsid w:val="00033B14"/>
    <w:rsid w:val="00033B34"/>
    <w:rsid w:val="00033BD8"/>
    <w:rsid w:val="00033FFD"/>
    <w:rsid w:val="000344CF"/>
    <w:rsid w:val="000344E2"/>
    <w:rsid w:val="00034AAE"/>
    <w:rsid w:val="00034C2D"/>
    <w:rsid w:val="00034C74"/>
    <w:rsid w:val="00034D3D"/>
    <w:rsid w:val="000350B1"/>
    <w:rsid w:val="000356CB"/>
    <w:rsid w:val="00035FF8"/>
    <w:rsid w:val="00036479"/>
    <w:rsid w:val="00036744"/>
    <w:rsid w:val="00036955"/>
    <w:rsid w:val="00036C4E"/>
    <w:rsid w:val="00037100"/>
    <w:rsid w:val="000377B4"/>
    <w:rsid w:val="0003782A"/>
    <w:rsid w:val="00037F05"/>
    <w:rsid w:val="00037FD4"/>
    <w:rsid w:val="000400BC"/>
    <w:rsid w:val="00040116"/>
    <w:rsid w:val="00040153"/>
    <w:rsid w:val="000406AB"/>
    <w:rsid w:val="000409CA"/>
    <w:rsid w:val="00040CE3"/>
    <w:rsid w:val="000410B4"/>
    <w:rsid w:val="000410BA"/>
    <w:rsid w:val="00041438"/>
    <w:rsid w:val="000414EC"/>
    <w:rsid w:val="00041B72"/>
    <w:rsid w:val="00041BB1"/>
    <w:rsid w:val="00041E35"/>
    <w:rsid w:val="0004223F"/>
    <w:rsid w:val="000423A3"/>
    <w:rsid w:val="0004263D"/>
    <w:rsid w:val="00042A69"/>
    <w:rsid w:val="00042D46"/>
    <w:rsid w:val="00043BA1"/>
    <w:rsid w:val="00043F2E"/>
    <w:rsid w:val="0004421A"/>
    <w:rsid w:val="000447CC"/>
    <w:rsid w:val="00044843"/>
    <w:rsid w:val="00044906"/>
    <w:rsid w:val="00044CD5"/>
    <w:rsid w:val="00044F0A"/>
    <w:rsid w:val="000457A6"/>
    <w:rsid w:val="00045836"/>
    <w:rsid w:val="00046154"/>
    <w:rsid w:val="00046A9A"/>
    <w:rsid w:val="00047261"/>
    <w:rsid w:val="000474E3"/>
    <w:rsid w:val="00047AC6"/>
    <w:rsid w:val="00047F25"/>
    <w:rsid w:val="0005060A"/>
    <w:rsid w:val="00050899"/>
    <w:rsid w:val="000508E7"/>
    <w:rsid w:val="000512F9"/>
    <w:rsid w:val="000515A8"/>
    <w:rsid w:val="00051B95"/>
    <w:rsid w:val="00052586"/>
    <w:rsid w:val="0005260A"/>
    <w:rsid w:val="00052890"/>
    <w:rsid w:val="000528F3"/>
    <w:rsid w:val="00052D61"/>
    <w:rsid w:val="00052EC6"/>
    <w:rsid w:val="00053631"/>
    <w:rsid w:val="00053747"/>
    <w:rsid w:val="00053A12"/>
    <w:rsid w:val="00054390"/>
    <w:rsid w:val="0005451D"/>
    <w:rsid w:val="00055223"/>
    <w:rsid w:val="000559D0"/>
    <w:rsid w:val="00055E5B"/>
    <w:rsid w:val="000561DE"/>
    <w:rsid w:val="00057979"/>
    <w:rsid w:val="00060327"/>
    <w:rsid w:val="0006151A"/>
    <w:rsid w:val="00061A4E"/>
    <w:rsid w:val="00061F19"/>
    <w:rsid w:val="000623B0"/>
    <w:rsid w:val="000624C6"/>
    <w:rsid w:val="000627F8"/>
    <w:rsid w:val="00062A1F"/>
    <w:rsid w:val="00062B9B"/>
    <w:rsid w:val="00062D7A"/>
    <w:rsid w:val="00063572"/>
    <w:rsid w:val="00063DE1"/>
    <w:rsid w:val="00064C2C"/>
    <w:rsid w:val="00064E08"/>
    <w:rsid w:val="0006564D"/>
    <w:rsid w:val="00065C4D"/>
    <w:rsid w:val="00065FB3"/>
    <w:rsid w:val="00066239"/>
    <w:rsid w:val="0006691A"/>
    <w:rsid w:val="00066FE8"/>
    <w:rsid w:val="0006705E"/>
    <w:rsid w:val="00067122"/>
    <w:rsid w:val="0006774C"/>
    <w:rsid w:val="000677D2"/>
    <w:rsid w:val="0006782A"/>
    <w:rsid w:val="000679CF"/>
    <w:rsid w:val="00067D8A"/>
    <w:rsid w:val="0007035F"/>
    <w:rsid w:val="000703A5"/>
    <w:rsid w:val="00070509"/>
    <w:rsid w:val="000707E5"/>
    <w:rsid w:val="00070C91"/>
    <w:rsid w:val="00070CA0"/>
    <w:rsid w:val="000717B5"/>
    <w:rsid w:val="00071BE6"/>
    <w:rsid w:val="000721F1"/>
    <w:rsid w:val="000722DB"/>
    <w:rsid w:val="000724E3"/>
    <w:rsid w:val="00072672"/>
    <w:rsid w:val="0007361B"/>
    <w:rsid w:val="00073BFA"/>
    <w:rsid w:val="00073C68"/>
    <w:rsid w:val="00073EE8"/>
    <w:rsid w:val="000744BB"/>
    <w:rsid w:val="00074E3C"/>
    <w:rsid w:val="000754F3"/>
    <w:rsid w:val="00075576"/>
    <w:rsid w:val="0007642A"/>
    <w:rsid w:val="00076997"/>
    <w:rsid w:val="00076A1D"/>
    <w:rsid w:val="00076AC7"/>
    <w:rsid w:val="00076C85"/>
    <w:rsid w:val="00077355"/>
    <w:rsid w:val="00077EB9"/>
    <w:rsid w:val="0008013E"/>
    <w:rsid w:val="000801AA"/>
    <w:rsid w:val="00080220"/>
    <w:rsid w:val="00080226"/>
    <w:rsid w:val="0008033F"/>
    <w:rsid w:val="00080750"/>
    <w:rsid w:val="00081012"/>
    <w:rsid w:val="000813E2"/>
    <w:rsid w:val="0008162F"/>
    <w:rsid w:val="00081A61"/>
    <w:rsid w:val="00081C02"/>
    <w:rsid w:val="000824EE"/>
    <w:rsid w:val="00082668"/>
    <w:rsid w:val="00082836"/>
    <w:rsid w:val="00082BBC"/>
    <w:rsid w:val="00082C40"/>
    <w:rsid w:val="000832F8"/>
    <w:rsid w:val="0008388D"/>
    <w:rsid w:val="00083C9B"/>
    <w:rsid w:val="0008437D"/>
    <w:rsid w:val="000843C3"/>
    <w:rsid w:val="00084515"/>
    <w:rsid w:val="000858D5"/>
    <w:rsid w:val="000859D5"/>
    <w:rsid w:val="00085C6B"/>
    <w:rsid w:val="000868CE"/>
    <w:rsid w:val="000868F5"/>
    <w:rsid w:val="00086D3A"/>
    <w:rsid w:val="00086EB5"/>
    <w:rsid w:val="00086F51"/>
    <w:rsid w:val="00087380"/>
    <w:rsid w:val="00087B74"/>
    <w:rsid w:val="00087BDB"/>
    <w:rsid w:val="00090116"/>
    <w:rsid w:val="000902E3"/>
    <w:rsid w:val="00090430"/>
    <w:rsid w:val="00090499"/>
    <w:rsid w:val="00090911"/>
    <w:rsid w:val="00090985"/>
    <w:rsid w:val="00090BD2"/>
    <w:rsid w:val="00090E94"/>
    <w:rsid w:val="00090F05"/>
    <w:rsid w:val="000910EA"/>
    <w:rsid w:val="0009148E"/>
    <w:rsid w:val="0009183C"/>
    <w:rsid w:val="00091977"/>
    <w:rsid w:val="000919DA"/>
    <w:rsid w:val="0009223B"/>
    <w:rsid w:val="00092689"/>
    <w:rsid w:val="00092B1D"/>
    <w:rsid w:val="00092BF5"/>
    <w:rsid w:val="00092C55"/>
    <w:rsid w:val="0009330C"/>
    <w:rsid w:val="00093898"/>
    <w:rsid w:val="00094002"/>
    <w:rsid w:val="00094296"/>
    <w:rsid w:val="00094438"/>
    <w:rsid w:val="00094504"/>
    <w:rsid w:val="00094B75"/>
    <w:rsid w:val="00094C3F"/>
    <w:rsid w:val="00094DF0"/>
    <w:rsid w:val="00094FFA"/>
    <w:rsid w:val="00095566"/>
    <w:rsid w:val="000957D9"/>
    <w:rsid w:val="00095871"/>
    <w:rsid w:val="000958B6"/>
    <w:rsid w:val="00095B34"/>
    <w:rsid w:val="00095E25"/>
    <w:rsid w:val="00096590"/>
    <w:rsid w:val="00096A47"/>
    <w:rsid w:val="00096A85"/>
    <w:rsid w:val="00097728"/>
    <w:rsid w:val="00097974"/>
    <w:rsid w:val="0009799A"/>
    <w:rsid w:val="00097B83"/>
    <w:rsid w:val="00097C63"/>
    <w:rsid w:val="000A08AE"/>
    <w:rsid w:val="000A0A6A"/>
    <w:rsid w:val="000A121A"/>
    <w:rsid w:val="000A1C36"/>
    <w:rsid w:val="000A1F8A"/>
    <w:rsid w:val="000A2B5B"/>
    <w:rsid w:val="000A2FDB"/>
    <w:rsid w:val="000A3509"/>
    <w:rsid w:val="000A358C"/>
    <w:rsid w:val="000A3728"/>
    <w:rsid w:val="000A3823"/>
    <w:rsid w:val="000A3920"/>
    <w:rsid w:val="000A3C6D"/>
    <w:rsid w:val="000A43EC"/>
    <w:rsid w:val="000A4819"/>
    <w:rsid w:val="000A4DFC"/>
    <w:rsid w:val="000A4E35"/>
    <w:rsid w:val="000A4E6B"/>
    <w:rsid w:val="000A5334"/>
    <w:rsid w:val="000A5A91"/>
    <w:rsid w:val="000A5DBB"/>
    <w:rsid w:val="000A6154"/>
    <w:rsid w:val="000A62CC"/>
    <w:rsid w:val="000A72EE"/>
    <w:rsid w:val="000A7375"/>
    <w:rsid w:val="000A7E3E"/>
    <w:rsid w:val="000A7FF8"/>
    <w:rsid w:val="000B0310"/>
    <w:rsid w:val="000B0B90"/>
    <w:rsid w:val="000B0DEC"/>
    <w:rsid w:val="000B10F6"/>
    <w:rsid w:val="000B12D5"/>
    <w:rsid w:val="000B13CF"/>
    <w:rsid w:val="000B19BE"/>
    <w:rsid w:val="000B1A12"/>
    <w:rsid w:val="000B2495"/>
    <w:rsid w:val="000B2A6C"/>
    <w:rsid w:val="000B2C7E"/>
    <w:rsid w:val="000B3524"/>
    <w:rsid w:val="000B354D"/>
    <w:rsid w:val="000B3659"/>
    <w:rsid w:val="000B39C3"/>
    <w:rsid w:val="000B3F17"/>
    <w:rsid w:val="000B4020"/>
    <w:rsid w:val="000B4065"/>
    <w:rsid w:val="000B41D9"/>
    <w:rsid w:val="000B42FD"/>
    <w:rsid w:val="000B4717"/>
    <w:rsid w:val="000B4E1D"/>
    <w:rsid w:val="000B4EEA"/>
    <w:rsid w:val="000B55F6"/>
    <w:rsid w:val="000B5789"/>
    <w:rsid w:val="000B5842"/>
    <w:rsid w:val="000B636F"/>
    <w:rsid w:val="000B6377"/>
    <w:rsid w:val="000B67F5"/>
    <w:rsid w:val="000B6BCF"/>
    <w:rsid w:val="000B7083"/>
    <w:rsid w:val="000B7549"/>
    <w:rsid w:val="000B768E"/>
    <w:rsid w:val="000C03E3"/>
    <w:rsid w:val="000C0433"/>
    <w:rsid w:val="000C0E11"/>
    <w:rsid w:val="000C0EE9"/>
    <w:rsid w:val="000C10D2"/>
    <w:rsid w:val="000C11B5"/>
    <w:rsid w:val="000C13FD"/>
    <w:rsid w:val="000C14FB"/>
    <w:rsid w:val="000C1922"/>
    <w:rsid w:val="000C20FC"/>
    <w:rsid w:val="000C22DF"/>
    <w:rsid w:val="000C243C"/>
    <w:rsid w:val="000C2491"/>
    <w:rsid w:val="000C24BF"/>
    <w:rsid w:val="000C2822"/>
    <w:rsid w:val="000C2E3B"/>
    <w:rsid w:val="000C3152"/>
    <w:rsid w:val="000C3A70"/>
    <w:rsid w:val="000C3C09"/>
    <w:rsid w:val="000C3DA4"/>
    <w:rsid w:val="000C40E8"/>
    <w:rsid w:val="000C469C"/>
    <w:rsid w:val="000C4E58"/>
    <w:rsid w:val="000C4E6D"/>
    <w:rsid w:val="000C545D"/>
    <w:rsid w:val="000C591F"/>
    <w:rsid w:val="000C5E2F"/>
    <w:rsid w:val="000C6410"/>
    <w:rsid w:val="000C6EA3"/>
    <w:rsid w:val="000C70AF"/>
    <w:rsid w:val="000C7516"/>
    <w:rsid w:val="000C7671"/>
    <w:rsid w:val="000C798E"/>
    <w:rsid w:val="000D01F5"/>
    <w:rsid w:val="000D059E"/>
    <w:rsid w:val="000D05D5"/>
    <w:rsid w:val="000D06B5"/>
    <w:rsid w:val="000D07BC"/>
    <w:rsid w:val="000D126A"/>
    <w:rsid w:val="000D13DA"/>
    <w:rsid w:val="000D150A"/>
    <w:rsid w:val="000D1857"/>
    <w:rsid w:val="000D19E2"/>
    <w:rsid w:val="000D1EB4"/>
    <w:rsid w:val="000D208B"/>
    <w:rsid w:val="000D2837"/>
    <w:rsid w:val="000D37CC"/>
    <w:rsid w:val="000D39B3"/>
    <w:rsid w:val="000D40E2"/>
    <w:rsid w:val="000D43D9"/>
    <w:rsid w:val="000D4DC2"/>
    <w:rsid w:val="000D4EE0"/>
    <w:rsid w:val="000D504E"/>
    <w:rsid w:val="000D53AF"/>
    <w:rsid w:val="000D61FA"/>
    <w:rsid w:val="000D6371"/>
    <w:rsid w:val="000D72E8"/>
    <w:rsid w:val="000D74B4"/>
    <w:rsid w:val="000D7AE5"/>
    <w:rsid w:val="000D7C66"/>
    <w:rsid w:val="000D7E3E"/>
    <w:rsid w:val="000E1476"/>
    <w:rsid w:val="000E14BF"/>
    <w:rsid w:val="000E1994"/>
    <w:rsid w:val="000E1D40"/>
    <w:rsid w:val="000E245E"/>
    <w:rsid w:val="000E2AA1"/>
    <w:rsid w:val="000E31BE"/>
    <w:rsid w:val="000E3BCC"/>
    <w:rsid w:val="000E3DE6"/>
    <w:rsid w:val="000E4207"/>
    <w:rsid w:val="000E49E0"/>
    <w:rsid w:val="000E4C16"/>
    <w:rsid w:val="000E4C3E"/>
    <w:rsid w:val="000E4ED1"/>
    <w:rsid w:val="000E4F4F"/>
    <w:rsid w:val="000E509D"/>
    <w:rsid w:val="000E51B4"/>
    <w:rsid w:val="000E51FA"/>
    <w:rsid w:val="000E5FB2"/>
    <w:rsid w:val="000E6C9D"/>
    <w:rsid w:val="000E7288"/>
    <w:rsid w:val="000E7CB7"/>
    <w:rsid w:val="000E7DE9"/>
    <w:rsid w:val="000F0F0B"/>
    <w:rsid w:val="000F132B"/>
    <w:rsid w:val="000F190F"/>
    <w:rsid w:val="000F1D58"/>
    <w:rsid w:val="000F2429"/>
    <w:rsid w:val="000F242A"/>
    <w:rsid w:val="000F2631"/>
    <w:rsid w:val="000F28E9"/>
    <w:rsid w:val="000F2D1E"/>
    <w:rsid w:val="000F3338"/>
    <w:rsid w:val="000F3B1A"/>
    <w:rsid w:val="000F3CE7"/>
    <w:rsid w:val="000F3CF9"/>
    <w:rsid w:val="000F3E1A"/>
    <w:rsid w:val="000F3E92"/>
    <w:rsid w:val="000F4986"/>
    <w:rsid w:val="000F4B2D"/>
    <w:rsid w:val="000F4CDA"/>
    <w:rsid w:val="000F5145"/>
    <w:rsid w:val="000F5308"/>
    <w:rsid w:val="000F5832"/>
    <w:rsid w:val="000F6BC9"/>
    <w:rsid w:val="000F6F0D"/>
    <w:rsid w:val="000F70A4"/>
    <w:rsid w:val="000F7893"/>
    <w:rsid w:val="000F7B6F"/>
    <w:rsid w:val="000F7D3B"/>
    <w:rsid w:val="001006E4"/>
    <w:rsid w:val="00100B92"/>
    <w:rsid w:val="00100EC4"/>
    <w:rsid w:val="00101110"/>
    <w:rsid w:val="001015B4"/>
    <w:rsid w:val="00101918"/>
    <w:rsid w:val="0010196E"/>
    <w:rsid w:val="00102817"/>
    <w:rsid w:val="001029E1"/>
    <w:rsid w:val="00103243"/>
    <w:rsid w:val="00103919"/>
    <w:rsid w:val="0010393D"/>
    <w:rsid w:val="00103FDF"/>
    <w:rsid w:val="001043FA"/>
    <w:rsid w:val="00104562"/>
    <w:rsid w:val="00104B56"/>
    <w:rsid w:val="00104F34"/>
    <w:rsid w:val="00105276"/>
    <w:rsid w:val="001056BF"/>
    <w:rsid w:val="00105A3E"/>
    <w:rsid w:val="001079AE"/>
    <w:rsid w:val="00107CB3"/>
    <w:rsid w:val="00110099"/>
    <w:rsid w:val="001104EE"/>
    <w:rsid w:val="001105A3"/>
    <w:rsid w:val="00110E43"/>
    <w:rsid w:val="001112BA"/>
    <w:rsid w:val="0011142E"/>
    <w:rsid w:val="001114D3"/>
    <w:rsid w:val="00111903"/>
    <w:rsid w:val="001119E7"/>
    <w:rsid w:val="00112080"/>
    <w:rsid w:val="001128B3"/>
    <w:rsid w:val="00112BED"/>
    <w:rsid w:val="00113206"/>
    <w:rsid w:val="00113457"/>
    <w:rsid w:val="00113993"/>
    <w:rsid w:val="00114221"/>
    <w:rsid w:val="001142A3"/>
    <w:rsid w:val="00114657"/>
    <w:rsid w:val="00114918"/>
    <w:rsid w:val="00114BFB"/>
    <w:rsid w:val="0011522F"/>
    <w:rsid w:val="001152CA"/>
    <w:rsid w:val="001153A3"/>
    <w:rsid w:val="00115692"/>
    <w:rsid w:val="00115847"/>
    <w:rsid w:val="0011584D"/>
    <w:rsid w:val="00115A5D"/>
    <w:rsid w:val="00115A69"/>
    <w:rsid w:val="00115DF6"/>
    <w:rsid w:val="00116431"/>
    <w:rsid w:val="001164E5"/>
    <w:rsid w:val="00116D1B"/>
    <w:rsid w:val="001173DC"/>
    <w:rsid w:val="00117C2F"/>
    <w:rsid w:val="00117E91"/>
    <w:rsid w:val="00120090"/>
    <w:rsid w:val="00120131"/>
    <w:rsid w:val="001203A8"/>
    <w:rsid w:val="0012065C"/>
    <w:rsid w:val="001212F9"/>
    <w:rsid w:val="00121384"/>
    <w:rsid w:val="00121695"/>
    <w:rsid w:val="0012178A"/>
    <w:rsid w:val="00121871"/>
    <w:rsid w:val="001218F0"/>
    <w:rsid w:val="00121E17"/>
    <w:rsid w:val="001221DC"/>
    <w:rsid w:val="00122984"/>
    <w:rsid w:val="00122AAA"/>
    <w:rsid w:val="00123107"/>
    <w:rsid w:val="0012318F"/>
    <w:rsid w:val="0012364D"/>
    <w:rsid w:val="001238F7"/>
    <w:rsid w:val="00123FDB"/>
    <w:rsid w:val="00124425"/>
    <w:rsid w:val="00124617"/>
    <w:rsid w:val="00125129"/>
    <w:rsid w:val="0012578C"/>
    <w:rsid w:val="00126769"/>
    <w:rsid w:val="00126C14"/>
    <w:rsid w:val="00126C35"/>
    <w:rsid w:val="00127350"/>
    <w:rsid w:val="00127411"/>
    <w:rsid w:val="0012792F"/>
    <w:rsid w:val="00127964"/>
    <w:rsid w:val="00127B52"/>
    <w:rsid w:val="001303D6"/>
    <w:rsid w:val="0013043D"/>
    <w:rsid w:val="001308A7"/>
    <w:rsid w:val="00130B8D"/>
    <w:rsid w:val="00131399"/>
    <w:rsid w:val="00131594"/>
    <w:rsid w:val="00131759"/>
    <w:rsid w:val="0013176D"/>
    <w:rsid w:val="001322C6"/>
    <w:rsid w:val="00132AA0"/>
    <w:rsid w:val="00132B84"/>
    <w:rsid w:val="00132FA7"/>
    <w:rsid w:val="00133545"/>
    <w:rsid w:val="00133883"/>
    <w:rsid w:val="001342EF"/>
    <w:rsid w:val="00134F9E"/>
    <w:rsid w:val="00135249"/>
    <w:rsid w:val="0013580D"/>
    <w:rsid w:val="0013583A"/>
    <w:rsid w:val="00135D0A"/>
    <w:rsid w:val="00135D54"/>
    <w:rsid w:val="00136272"/>
    <w:rsid w:val="00136300"/>
    <w:rsid w:val="00136349"/>
    <w:rsid w:val="0013642D"/>
    <w:rsid w:val="0013657B"/>
    <w:rsid w:val="001365F9"/>
    <w:rsid w:val="00136942"/>
    <w:rsid w:val="00136C4F"/>
    <w:rsid w:val="00136D59"/>
    <w:rsid w:val="00136D96"/>
    <w:rsid w:val="00137DA2"/>
    <w:rsid w:val="0014015E"/>
    <w:rsid w:val="00140478"/>
    <w:rsid w:val="00140B82"/>
    <w:rsid w:val="00140CA4"/>
    <w:rsid w:val="00140E4E"/>
    <w:rsid w:val="0014162C"/>
    <w:rsid w:val="00141845"/>
    <w:rsid w:val="001424AB"/>
    <w:rsid w:val="00142687"/>
    <w:rsid w:val="001436F3"/>
    <w:rsid w:val="001438FB"/>
    <w:rsid w:val="00143C5C"/>
    <w:rsid w:val="00144107"/>
    <w:rsid w:val="001442C2"/>
    <w:rsid w:val="0014486F"/>
    <w:rsid w:val="00144F5C"/>
    <w:rsid w:val="00144FB0"/>
    <w:rsid w:val="00145642"/>
    <w:rsid w:val="001456E5"/>
    <w:rsid w:val="0014589B"/>
    <w:rsid w:val="00145CC3"/>
    <w:rsid w:val="00145DC4"/>
    <w:rsid w:val="00145E62"/>
    <w:rsid w:val="00146CD8"/>
    <w:rsid w:val="00146D60"/>
    <w:rsid w:val="00147A25"/>
    <w:rsid w:val="0015060B"/>
    <w:rsid w:val="00150611"/>
    <w:rsid w:val="0015113C"/>
    <w:rsid w:val="0015135C"/>
    <w:rsid w:val="00151627"/>
    <w:rsid w:val="001517EC"/>
    <w:rsid w:val="00151CE0"/>
    <w:rsid w:val="00151DB4"/>
    <w:rsid w:val="0015204A"/>
    <w:rsid w:val="00152153"/>
    <w:rsid w:val="001521DF"/>
    <w:rsid w:val="001522CC"/>
    <w:rsid w:val="001526CB"/>
    <w:rsid w:val="00152840"/>
    <w:rsid w:val="001528BD"/>
    <w:rsid w:val="00152A8D"/>
    <w:rsid w:val="00152C5E"/>
    <w:rsid w:val="00152D67"/>
    <w:rsid w:val="001531EE"/>
    <w:rsid w:val="001532CD"/>
    <w:rsid w:val="001539AB"/>
    <w:rsid w:val="00153A6D"/>
    <w:rsid w:val="00153E75"/>
    <w:rsid w:val="00153F6A"/>
    <w:rsid w:val="0015434A"/>
    <w:rsid w:val="00154688"/>
    <w:rsid w:val="00154892"/>
    <w:rsid w:val="00154A7B"/>
    <w:rsid w:val="001554DC"/>
    <w:rsid w:val="001555E3"/>
    <w:rsid w:val="0015571C"/>
    <w:rsid w:val="00155CC8"/>
    <w:rsid w:val="00156087"/>
    <w:rsid w:val="00156661"/>
    <w:rsid w:val="001568D3"/>
    <w:rsid w:val="0015697C"/>
    <w:rsid w:val="00156AAF"/>
    <w:rsid w:val="00156CA2"/>
    <w:rsid w:val="00156E05"/>
    <w:rsid w:val="001579D3"/>
    <w:rsid w:val="00157DEC"/>
    <w:rsid w:val="001601C9"/>
    <w:rsid w:val="001603E7"/>
    <w:rsid w:val="00160CD6"/>
    <w:rsid w:val="00160FC9"/>
    <w:rsid w:val="00161396"/>
    <w:rsid w:val="00161885"/>
    <w:rsid w:val="00161B40"/>
    <w:rsid w:val="00161B5B"/>
    <w:rsid w:val="00161FFE"/>
    <w:rsid w:val="001620FB"/>
    <w:rsid w:val="00162249"/>
    <w:rsid w:val="001625DC"/>
    <w:rsid w:val="0016266C"/>
    <w:rsid w:val="0016280F"/>
    <w:rsid w:val="0016303D"/>
    <w:rsid w:val="001638F0"/>
    <w:rsid w:val="00163C5F"/>
    <w:rsid w:val="00164386"/>
    <w:rsid w:val="001643B4"/>
    <w:rsid w:val="00164579"/>
    <w:rsid w:val="0016498F"/>
    <w:rsid w:val="00164AC7"/>
    <w:rsid w:val="00164CFC"/>
    <w:rsid w:val="00164D19"/>
    <w:rsid w:val="00165126"/>
    <w:rsid w:val="001658BC"/>
    <w:rsid w:val="00165C1F"/>
    <w:rsid w:val="00165F2A"/>
    <w:rsid w:val="00165F57"/>
    <w:rsid w:val="001660B0"/>
    <w:rsid w:val="0016628F"/>
    <w:rsid w:val="00166554"/>
    <w:rsid w:val="00166C29"/>
    <w:rsid w:val="0016783E"/>
    <w:rsid w:val="00167C4D"/>
    <w:rsid w:val="00167E14"/>
    <w:rsid w:val="00167FF4"/>
    <w:rsid w:val="0017059B"/>
    <w:rsid w:val="001705DE"/>
    <w:rsid w:val="001707FE"/>
    <w:rsid w:val="00170833"/>
    <w:rsid w:val="0017097B"/>
    <w:rsid w:val="001709C9"/>
    <w:rsid w:val="00170C9A"/>
    <w:rsid w:val="00171553"/>
    <w:rsid w:val="00172794"/>
    <w:rsid w:val="001728B0"/>
    <w:rsid w:val="0017290E"/>
    <w:rsid w:val="001729AF"/>
    <w:rsid w:val="00172A03"/>
    <w:rsid w:val="001730EE"/>
    <w:rsid w:val="001731C6"/>
    <w:rsid w:val="0017327F"/>
    <w:rsid w:val="001732BD"/>
    <w:rsid w:val="00173B13"/>
    <w:rsid w:val="00173C56"/>
    <w:rsid w:val="00174180"/>
    <w:rsid w:val="00174A89"/>
    <w:rsid w:val="00174CC8"/>
    <w:rsid w:val="00174E98"/>
    <w:rsid w:val="00175764"/>
    <w:rsid w:val="001757DB"/>
    <w:rsid w:val="00175B84"/>
    <w:rsid w:val="00175DA2"/>
    <w:rsid w:val="00175F9B"/>
    <w:rsid w:val="00176414"/>
    <w:rsid w:val="0017682B"/>
    <w:rsid w:val="00176BF1"/>
    <w:rsid w:val="00176E86"/>
    <w:rsid w:val="001771D3"/>
    <w:rsid w:val="00177B53"/>
    <w:rsid w:val="00180075"/>
    <w:rsid w:val="00180131"/>
    <w:rsid w:val="001801D1"/>
    <w:rsid w:val="001804D8"/>
    <w:rsid w:val="00180B61"/>
    <w:rsid w:val="00180B84"/>
    <w:rsid w:val="00181307"/>
    <w:rsid w:val="0018139C"/>
    <w:rsid w:val="001813DD"/>
    <w:rsid w:val="0018243B"/>
    <w:rsid w:val="00182458"/>
    <w:rsid w:val="001826BB"/>
    <w:rsid w:val="001829D4"/>
    <w:rsid w:val="00182D21"/>
    <w:rsid w:val="001830C8"/>
    <w:rsid w:val="0018329F"/>
    <w:rsid w:val="001832E3"/>
    <w:rsid w:val="001834BA"/>
    <w:rsid w:val="00183595"/>
    <w:rsid w:val="00183C90"/>
    <w:rsid w:val="00183FE7"/>
    <w:rsid w:val="0018414F"/>
    <w:rsid w:val="0018426F"/>
    <w:rsid w:val="00184625"/>
    <w:rsid w:val="00184768"/>
    <w:rsid w:val="00184C0F"/>
    <w:rsid w:val="00184D49"/>
    <w:rsid w:val="0018588B"/>
    <w:rsid w:val="00185C47"/>
    <w:rsid w:val="00186113"/>
    <w:rsid w:val="001862C1"/>
    <w:rsid w:val="0018630B"/>
    <w:rsid w:val="00186618"/>
    <w:rsid w:val="00186665"/>
    <w:rsid w:val="0018672E"/>
    <w:rsid w:val="00186BF9"/>
    <w:rsid w:val="00187725"/>
    <w:rsid w:val="001878F1"/>
    <w:rsid w:val="0019025D"/>
    <w:rsid w:val="001909CD"/>
    <w:rsid w:val="00190AC2"/>
    <w:rsid w:val="00190BFB"/>
    <w:rsid w:val="00190E0D"/>
    <w:rsid w:val="00190FF6"/>
    <w:rsid w:val="00191AA9"/>
    <w:rsid w:val="00191BD0"/>
    <w:rsid w:val="001924E7"/>
    <w:rsid w:val="001928E2"/>
    <w:rsid w:val="00192C0A"/>
    <w:rsid w:val="0019375B"/>
    <w:rsid w:val="00193B9B"/>
    <w:rsid w:val="0019488B"/>
    <w:rsid w:val="00194A30"/>
    <w:rsid w:val="00194C35"/>
    <w:rsid w:val="00194DA8"/>
    <w:rsid w:val="00194F12"/>
    <w:rsid w:val="00194F73"/>
    <w:rsid w:val="00195A38"/>
    <w:rsid w:val="00195D9D"/>
    <w:rsid w:val="00195E12"/>
    <w:rsid w:val="00195E29"/>
    <w:rsid w:val="00196505"/>
    <w:rsid w:val="00196A61"/>
    <w:rsid w:val="0019779A"/>
    <w:rsid w:val="001A040F"/>
    <w:rsid w:val="001A0A6D"/>
    <w:rsid w:val="001A0DAF"/>
    <w:rsid w:val="001A1287"/>
    <w:rsid w:val="001A1539"/>
    <w:rsid w:val="001A1F7C"/>
    <w:rsid w:val="001A2095"/>
    <w:rsid w:val="001A262C"/>
    <w:rsid w:val="001A2686"/>
    <w:rsid w:val="001A2BFF"/>
    <w:rsid w:val="001A30C1"/>
    <w:rsid w:val="001A33B5"/>
    <w:rsid w:val="001A37D4"/>
    <w:rsid w:val="001A4467"/>
    <w:rsid w:val="001A4ADC"/>
    <w:rsid w:val="001A4FF0"/>
    <w:rsid w:val="001A5193"/>
    <w:rsid w:val="001A5875"/>
    <w:rsid w:val="001A58C7"/>
    <w:rsid w:val="001A5D10"/>
    <w:rsid w:val="001A61D9"/>
    <w:rsid w:val="001A647C"/>
    <w:rsid w:val="001A67E8"/>
    <w:rsid w:val="001A6970"/>
    <w:rsid w:val="001A6B2E"/>
    <w:rsid w:val="001A6F67"/>
    <w:rsid w:val="001A75D5"/>
    <w:rsid w:val="001A7702"/>
    <w:rsid w:val="001A77E9"/>
    <w:rsid w:val="001A7AB7"/>
    <w:rsid w:val="001A7B5A"/>
    <w:rsid w:val="001B000D"/>
    <w:rsid w:val="001B071B"/>
    <w:rsid w:val="001B0DE5"/>
    <w:rsid w:val="001B0F3B"/>
    <w:rsid w:val="001B10B7"/>
    <w:rsid w:val="001B12C3"/>
    <w:rsid w:val="001B1426"/>
    <w:rsid w:val="001B1A1C"/>
    <w:rsid w:val="001B390A"/>
    <w:rsid w:val="001B3B6E"/>
    <w:rsid w:val="001B3E5B"/>
    <w:rsid w:val="001B434D"/>
    <w:rsid w:val="001B456D"/>
    <w:rsid w:val="001B488C"/>
    <w:rsid w:val="001B4D86"/>
    <w:rsid w:val="001B5218"/>
    <w:rsid w:val="001B537E"/>
    <w:rsid w:val="001B5A38"/>
    <w:rsid w:val="001B5B39"/>
    <w:rsid w:val="001B5E90"/>
    <w:rsid w:val="001B6CF0"/>
    <w:rsid w:val="001B74FC"/>
    <w:rsid w:val="001B7521"/>
    <w:rsid w:val="001B7E06"/>
    <w:rsid w:val="001C0086"/>
    <w:rsid w:val="001C0629"/>
    <w:rsid w:val="001C0B77"/>
    <w:rsid w:val="001C12EB"/>
    <w:rsid w:val="001C1704"/>
    <w:rsid w:val="001C2258"/>
    <w:rsid w:val="001C2605"/>
    <w:rsid w:val="001C2709"/>
    <w:rsid w:val="001C2BC7"/>
    <w:rsid w:val="001C2E87"/>
    <w:rsid w:val="001C3F72"/>
    <w:rsid w:val="001C52B2"/>
    <w:rsid w:val="001C5896"/>
    <w:rsid w:val="001C6455"/>
    <w:rsid w:val="001C6AC9"/>
    <w:rsid w:val="001C6B06"/>
    <w:rsid w:val="001C707F"/>
    <w:rsid w:val="001C7853"/>
    <w:rsid w:val="001C7A0E"/>
    <w:rsid w:val="001C7A49"/>
    <w:rsid w:val="001C7B12"/>
    <w:rsid w:val="001D08BC"/>
    <w:rsid w:val="001D122E"/>
    <w:rsid w:val="001D1A40"/>
    <w:rsid w:val="001D2213"/>
    <w:rsid w:val="001D2B6A"/>
    <w:rsid w:val="001D2CF6"/>
    <w:rsid w:val="001D30AB"/>
    <w:rsid w:val="001D312C"/>
    <w:rsid w:val="001D512F"/>
    <w:rsid w:val="001D57FE"/>
    <w:rsid w:val="001D5921"/>
    <w:rsid w:val="001D65BA"/>
    <w:rsid w:val="001D69C8"/>
    <w:rsid w:val="001D6CA3"/>
    <w:rsid w:val="001D6E87"/>
    <w:rsid w:val="001D6FBF"/>
    <w:rsid w:val="001D6FF1"/>
    <w:rsid w:val="001D716C"/>
    <w:rsid w:val="001D73CD"/>
    <w:rsid w:val="001D7549"/>
    <w:rsid w:val="001D7F41"/>
    <w:rsid w:val="001E0BA0"/>
    <w:rsid w:val="001E0BCB"/>
    <w:rsid w:val="001E1555"/>
    <w:rsid w:val="001E18D3"/>
    <w:rsid w:val="001E1987"/>
    <w:rsid w:val="001E1CAB"/>
    <w:rsid w:val="001E24AE"/>
    <w:rsid w:val="001E26EE"/>
    <w:rsid w:val="001E2A41"/>
    <w:rsid w:val="001E2D17"/>
    <w:rsid w:val="001E317A"/>
    <w:rsid w:val="001E319F"/>
    <w:rsid w:val="001E31B3"/>
    <w:rsid w:val="001E31C7"/>
    <w:rsid w:val="001E4485"/>
    <w:rsid w:val="001E4F33"/>
    <w:rsid w:val="001E4F5E"/>
    <w:rsid w:val="001E50E7"/>
    <w:rsid w:val="001E548E"/>
    <w:rsid w:val="001E5C34"/>
    <w:rsid w:val="001E64FB"/>
    <w:rsid w:val="001E65E4"/>
    <w:rsid w:val="001E66A3"/>
    <w:rsid w:val="001E68DE"/>
    <w:rsid w:val="001E6F29"/>
    <w:rsid w:val="001E6FF8"/>
    <w:rsid w:val="001E73A5"/>
    <w:rsid w:val="001E7585"/>
    <w:rsid w:val="001F08F0"/>
    <w:rsid w:val="001F2F36"/>
    <w:rsid w:val="001F3245"/>
    <w:rsid w:val="001F329F"/>
    <w:rsid w:val="001F3CC0"/>
    <w:rsid w:val="001F3EC2"/>
    <w:rsid w:val="001F4116"/>
    <w:rsid w:val="001F41A4"/>
    <w:rsid w:val="001F42B5"/>
    <w:rsid w:val="001F4521"/>
    <w:rsid w:val="001F454D"/>
    <w:rsid w:val="001F4570"/>
    <w:rsid w:val="001F4CB2"/>
    <w:rsid w:val="001F5359"/>
    <w:rsid w:val="001F57AB"/>
    <w:rsid w:val="001F5F2F"/>
    <w:rsid w:val="001F610B"/>
    <w:rsid w:val="001F639F"/>
    <w:rsid w:val="001F653A"/>
    <w:rsid w:val="001F6CBD"/>
    <w:rsid w:val="001F6D62"/>
    <w:rsid w:val="001F6E01"/>
    <w:rsid w:val="001F70FB"/>
    <w:rsid w:val="001F7331"/>
    <w:rsid w:val="001F77CC"/>
    <w:rsid w:val="001F7F0A"/>
    <w:rsid w:val="00200763"/>
    <w:rsid w:val="00200EF0"/>
    <w:rsid w:val="002014D4"/>
    <w:rsid w:val="00201635"/>
    <w:rsid w:val="00201BA2"/>
    <w:rsid w:val="00201D03"/>
    <w:rsid w:val="00201E35"/>
    <w:rsid w:val="00201E72"/>
    <w:rsid w:val="0020205D"/>
    <w:rsid w:val="002024D6"/>
    <w:rsid w:val="0020262C"/>
    <w:rsid w:val="00202A9E"/>
    <w:rsid w:val="00202CF2"/>
    <w:rsid w:val="00202D55"/>
    <w:rsid w:val="002034DD"/>
    <w:rsid w:val="00203552"/>
    <w:rsid w:val="002036E4"/>
    <w:rsid w:val="00203716"/>
    <w:rsid w:val="00203BAF"/>
    <w:rsid w:val="00203EF0"/>
    <w:rsid w:val="002047F6"/>
    <w:rsid w:val="002048AB"/>
    <w:rsid w:val="00204F54"/>
    <w:rsid w:val="002055AC"/>
    <w:rsid w:val="00205CDD"/>
    <w:rsid w:val="00205E27"/>
    <w:rsid w:val="002060FD"/>
    <w:rsid w:val="002064CA"/>
    <w:rsid w:val="00206524"/>
    <w:rsid w:val="00206831"/>
    <w:rsid w:val="00206BA7"/>
    <w:rsid w:val="00206BC0"/>
    <w:rsid w:val="00206CD5"/>
    <w:rsid w:val="00206CF5"/>
    <w:rsid w:val="00206E18"/>
    <w:rsid w:val="00206E60"/>
    <w:rsid w:val="002078A3"/>
    <w:rsid w:val="00207D06"/>
    <w:rsid w:val="00210242"/>
    <w:rsid w:val="002102F0"/>
    <w:rsid w:val="00210830"/>
    <w:rsid w:val="00210E75"/>
    <w:rsid w:val="00210F37"/>
    <w:rsid w:val="00210F75"/>
    <w:rsid w:val="00211B3E"/>
    <w:rsid w:val="00211E8F"/>
    <w:rsid w:val="00211F84"/>
    <w:rsid w:val="0021207F"/>
    <w:rsid w:val="00212214"/>
    <w:rsid w:val="00212269"/>
    <w:rsid w:val="002124F0"/>
    <w:rsid w:val="0021301B"/>
    <w:rsid w:val="002132F9"/>
    <w:rsid w:val="00213745"/>
    <w:rsid w:val="00213DA6"/>
    <w:rsid w:val="00214156"/>
    <w:rsid w:val="002147B3"/>
    <w:rsid w:val="00214B06"/>
    <w:rsid w:val="00215104"/>
    <w:rsid w:val="0021551E"/>
    <w:rsid w:val="0021590A"/>
    <w:rsid w:val="00215BA8"/>
    <w:rsid w:val="00215C1A"/>
    <w:rsid w:val="00215F43"/>
    <w:rsid w:val="00216033"/>
    <w:rsid w:val="0021626C"/>
    <w:rsid w:val="00216470"/>
    <w:rsid w:val="00216579"/>
    <w:rsid w:val="00216697"/>
    <w:rsid w:val="0021677A"/>
    <w:rsid w:val="002169C3"/>
    <w:rsid w:val="0021708E"/>
    <w:rsid w:val="002173AC"/>
    <w:rsid w:val="00217426"/>
    <w:rsid w:val="00217E2F"/>
    <w:rsid w:val="00217F51"/>
    <w:rsid w:val="0022017F"/>
    <w:rsid w:val="0022092C"/>
    <w:rsid w:val="00220B0E"/>
    <w:rsid w:val="0022127C"/>
    <w:rsid w:val="002212F7"/>
    <w:rsid w:val="0022159B"/>
    <w:rsid w:val="00221D11"/>
    <w:rsid w:val="00221D32"/>
    <w:rsid w:val="00221D75"/>
    <w:rsid w:val="0022245E"/>
    <w:rsid w:val="00222903"/>
    <w:rsid w:val="00222FFA"/>
    <w:rsid w:val="00223308"/>
    <w:rsid w:val="0022333D"/>
    <w:rsid w:val="0022338A"/>
    <w:rsid w:val="00223510"/>
    <w:rsid w:val="0022360D"/>
    <w:rsid w:val="002236D3"/>
    <w:rsid w:val="00223770"/>
    <w:rsid w:val="0022388E"/>
    <w:rsid w:val="002240A8"/>
    <w:rsid w:val="002245EB"/>
    <w:rsid w:val="00224618"/>
    <w:rsid w:val="00224703"/>
    <w:rsid w:val="00224AA0"/>
    <w:rsid w:val="00224C3C"/>
    <w:rsid w:val="00224CF1"/>
    <w:rsid w:val="002252FC"/>
    <w:rsid w:val="002254DC"/>
    <w:rsid w:val="002255E3"/>
    <w:rsid w:val="002256FE"/>
    <w:rsid w:val="00225C18"/>
    <w:rsid w:val="002260CD"/>
    <w:rsid w:val="00226B5A"/>
    <w:rsid w:val="00226BC8"/>
    <w:rsid w:val="0022710B"/>
    <w:rsid w:val="002275FB"/>
    <w:rsid w:val="002276EC"/>
    <w:rsid w:val="002304DD"/>
    <w:rsid w:val="00230C01"/>
    <w:rsid w:val="00231028"/>
    <w:rsid w:val="0023147B"/>
    <w:rsid w:val="00231D06"/>
    <w:rsid w:val="0023221A"/>
    <w:rsid w:val="0023261F"/>
    <w:rsid w:val="00232854"/>
    <w:rsid w:val="00232C41"/>
    <w:rsid w:val="002336C0"/>
    <w:rsid w:val="002337A8"/>
    <w:rsid w:val="00233AF0"/>
    <w:rsid w:val="00233F0B"/>
    <w:rsid w:val="0023478D"/>
    <w:rsid w:val="00234D11"/>
    <w:rsid w:val="002352AB"/>
    <w:rsid w:val="0023542E"/>
    <w:rsid w:val="002356D7"/>
    <w:rsid w:val="00235796"/>
    <w:rsid w:val="002358CF"/>
    <w:rsid w:val="00235ACE"/>
    <w:rsid w:val="00235D37"/>
    <w:rsid w:val="00235D7F"/>
    <w:rsid w:val="002362BE"/>
    <w:rsid w:val="00236335"/>
    <w:rsid w:val="00236878"/>
    <w:rsid w:val="00236CBC"/>
    <w:rsid w:val="00237026"/>
    <w:rsid w:val="00237053"/>
    <w:rsid w:val="00237A59"/>
    <w:rsid w:val="00237B5A"/>
    <w:rsid w:val="00237DF7"/>
    <w:rsid w:val="00240713"/>
    <w:rsid w:val="00240EE4"/>
    <w:rsid w:val="0024106E"/>
    <w:rsid w:val="002416B3"/>
    <w:rsid w:val="002418CF"/>
    <w:rsid w:val="00241BAF"/>
    <w:rsid w:val="00241E34"/>
    <w:rsid w:val="0024201E"/>
    <w:rsid w:val="00242209"/>
    <w:rsid w:val="00242366"/>
    <w:rsid w:val="00242466"/>
    <w:rsid w:val="002424F7"/>
    <w:rsid w:val="002425E4"/>
    <w:rsid w:val="00242724"/>
    <w:rsid w:val="002428F0"/>
    <w:rsid w:val="00242BB6"/>
    <w:rsid w:val="00242D51"/>
    <w:rsid w:val="00243A97"/>
    <w:rsid w:val="002441A7"/>
    <w:rsid w:val="00244420"/>
    <w:rsid w:val="00244BA7"/>
    <w:rsid w:val="00244FA6"/>
    <w:rsid w:val="0024503A"/>
    <w:rsid w:val="0024588D"/>
    <w:rsid w:val="002459DB"/>
    <w:rsid w:val="00245C9D"/>
    <w:rsid w:val="00245D61"/>
    <w:rsid w:val="00246371"/>
    <w:rsid w:val="002467B4"/>
    <w:rsid w:val="00246D8E"/>
    <w:rsid w:val="00246DB7"/>
    <w:rsid w:val="002472D8"/>
    <w:rsid w:val="0024763C"/>
    <w:rsid w:val="00247674"/>
    <w:rsid w:val="002476BE"/>
    <w:rsid w:val="002477E4"/>
    <w:rsid w:val="0024783B"/>
    <w:rsid w:val="00247AD2"/>
    <w:rsid w:val="00247EBE"/>
    <w:rsid w:val="00250176"/>
    <w:rsid w:val="0025028F"/>
    <w:rsid w:val="002507EA"/>
    <w:rsid w:val="00250A87"/>
    <w:rsid w:val="00250DC0"/>
    <w:rsid w:val="00251ADB"/>
    <w:rsid w:val="00251B7D"/>
    <w:rsid w:val="00251CBD"/>
    <w:rsid w:val="00252960"/>
    <w:rsid w:val="00252D26"/>
    <w:rsid w:val="002534C1"/>
    <w:rsid w:val="00253B13"/>
    <w:rsid w:val="00253C96"/>
    <w:rsid w:val="002542E7"/>
    <w:rsid w:val="00254362"/>
    <w:rsid w:val="002545CE"/>
    <w:rsid w:val="00254A2C"/>
    <w:rsid w:val="00255540"/>
    <w:rsid w:val="00255A67"/>
    <w:rsid w:val="00255B3D"/>
    <w:rsid w:val="00255B8D"/>
    <w:rsid w:val="00255CE0"/>
    <w:rsid w:val="002566FD"/>
    <w:rsid w:val="00256954"/>
    <w:rsid w:val="0025711B"/>
    <w:rsid w:val="002574A4"/>
    <w:rsid w:val="002574BC"/>
    <w:rsid w:val="002574D8"/>
    <w:rsid w:val="002576AC"/>
    <w:rsid w:val="002579A0"/>
    <w:rsid w:val="002579D7"/>
    <w:rsid w:val="00257C52"/>
    <w:rsid w:val="00257E05"/>
    <w:rsid w:val="002604E7"/>
    <w:rsid w:val="00261060"/>
    <w:rsid w:val="002610DF"/>
    <w:rsid w:val="002611F5"/>
    <w:rsid w:val="00261854"/>
    <w:rsid w:val="00261904"/>
    <w:rsid w:val="00261B0E"/>
    <w:rsid w:val="0026229F"/>
    <w:rsid w:val="002622C1"/>
    <w:rsid w:val="00262A94"/>
    <w:rsid w:val="00262F9C"/>
    <w:rsid w:val="00263029"/>
    <w:rsid w:val="0026332D"/>
    <w:rsid w:val="0026351B"/>
    <w:rsid w:val="00263621"/>
    <w:rsid w:val="00263C38"/>
    <w:rsid w:val="002644E2"/>
    <w:rsid w:val="00264DE8"/>
    <w:rsid w:val="00264FF6"/>
    <w:rsid w:val="002650E0"/>
    <w:rsid w:val="00265106"/>
    <w:rsid w:val="002653DA"/>
    <w:rsid w:val="0026545A"/>
    <w:rsid w:val="002658B6"/>
    <w:rsid w:val="002658F7"/>
    <w:rsid w:val="00265CCC"/>
    <w:rsid w:val="00265E3C"/>
    <w:rsid w:val="00265EFB"/>
    <w:rsid w:val="002660F3"/>
    <w:rsid w:val="00266535"/>
    <w:rsid w:val="00266BF7"/>
    <w:rsid w:val="0026745F"/>
    <w:rsid w:val="00270453"/>
    <w:rsid w:val="00270577"/>
    <w:rsid w:val="00270988"/>
    <w:rsid w:val="00270A27"/>
    <w:rsid w:val="00270BFA"/>
    <w:rsid w:val="002713BC"/>
    <w:rsid w:val="002716E8"/>
    <w:rsid w:val="002718C9"/>
    <w:rsid w:val="00271A28"/>
    <w:rsid w:val="00271E25"/>
    <w:rsid w:val="00272574"/>
    <w:rsid w:val="002726A1"/>
    <w:rsid w:val="00272EE7"/>
    <w:rsid w:val="00273129"/>
    <w:rsid w:val="00273376"/>
    <w:rsid w:val="002736EE"/>
    <w:rsid w:val="002737D5"/>
    <w:rsid w:val="00273B5D"/>
    <w:rsid w:val="00273E03"/>
    <w:rsid w:val="002740BD"/>
    <w:rsid w:val="002740F4"/>
    <w:rsid w:val="0027434B"/>
    <w:rsid w:val="002745BD"/>
    <w:rsid w:val="002746F8"/>
    <w:rsid w:val="00274A93"/>
    <w:rsid w:val="00275315"/>
    <w:rsid w:val="0027572F"/>
    <w:rsid w:val="002757D1"/>
    <w:rsid w:val="0027597D"/>
    <w:rsid w:val="00275EEC"/>
    <w:rsid w:val="00276961"/>
    <w:rsid w:val="00276CC7"/>
    <w:rsid w:val="00276DB4"/>
    <w:rsid w:val="002774F3"/>
    <w:rsid w:val="00277B70"/>
    <w:rsid w:val="00277C2A"/>
    <w:rsid w:val="002800E8"/>
    <w:rsid w:val="00280451"/>
    <w:rsid w:val="00280AE9"/>
    <w:rsid w:val="002819C3"/>
    <w:rsid w:val="00282255"/>
    <w:rsid w:val="0028265E"/>
    <w:rsid w:val="0028277B"/>
    <w:rsid w:val="00282C79"/>
    <w:rsid w:val="00282FA9"/>
    <w:rsid w:val="002833AA"/>
    <w:rsid w:val="00283B24"/>
    <w:rsid w:val="0028410E"/>
    <w:rsid w:val="0028411B"/>
    <w:rsid w:val="00284A8D"/>
    <w:rsid w:val="00284BAA"/>
    <w:rsid w:val="00284EA7"/>
    <w:rsid w:val="002851CF"/>
    <w:rsid w:val="00285288"/>
    <w:rsid w:val="0028660A"/>
    <w:rsid w:val="00286711"/>
    <w:rsid w:val="002867A7"/>
    <w:rsid w:val="002868CF"/>
    <w:rsid w:val="00286BDD"/>
    <w:rsid w:val="00286CEE"/>
    <w:rsid w:val="00286D0B"/>
    <w:rsid w:val="00286F3E"/>
    <w:rsid w:val="002872E8"/>
    <w:rsid w:val="00287545"/>
    <w:rsid w:val="002877DB"/>
    <w:rsid w:val="00287BBC"/>
    <w:rsid w:val="0029180F"/>
    <w:rsid w:val="00291A65"/>
    <w:rsid w:val="00292150"/>
    <w:rsid w:val="002922A9"/>
    <w:rsid w:val="002928C9"/>
    <w:rsid w:val="00292A85"/>
    <w:rsid w:val="00292C3B"/>
    <w:rsid w:val="00292DC0"/>
    <w:rsid w:val="00293137"/>
    <w:rsid w:val="00293292"/>
    <w:rsid w:val="002933F4"/>
    <w:rsid w:val="002938D2"/>
    <w:rsid w:val="002939D1"/>
    <w:rsid w:val="00293AA4"/>
    <w:rsid w:val="00293ED3"/>
    <w:rsid w:val="00294120"/>
    <w:rsid w:val="00294A0D"/>
    <w:rsid w:val="0029501E"/>
    <w:rsid w:val="00295209"/>
    <w:rsid w:val="00295708"/>
    <w:rsid w:val="002958E3"/>
    <w:rsid w:val="00295E02"/>
    <w:rsid w:val="00296351"/>
    <w:rsid w:val="00296EED"/>
    <w:rsid w:val="002974E8"/>
    <w:rsid w:val="00297970"/>
    <w:rsid w:val="00297BA2"/>
    <w:rsid w:val="00297D4F"/>
    <w:rsid w:val="00297EEF"/>
    <w:rsid w:val="002A0C15"/>
    <w:rsid w:val="002A0E95"/>
    <w:rsid w:val="002A124D"/>
    <w:rsid w:val="002A17D5"/>
    <w:rsid w:val="002A217E"/>
    <w:rsid w:val="002A228C"/>
    <w:rsid w:val="002A234F"/>
    <w:rsid w:val="002A2401"/>
    <w:rsid w:val="002A2ED7"/>
    <w:rsid w:val="002A309E"/>
    <w:rsid w:val="002A32D0"/>
    <w:rsid w:val="002A3601"/>
    <w:rsid w:val="002A3E57"/>
    <w:rsid w:val="002A3EB6"/>
    <w:rsid w:val="002A4099"/>
    <w:rsid w:val="002A41D3"/>
    <w:rsid w:val="002A45A6"/>
    <w:rsid w:val="002A48B2"/>
    <w:rsid w:val="002A4B44"/>
    <w:rsid w:val="002A4B7C"/>
    <w:rsid w:val="002A5505"/>
    <w:rsid w:val="002A55A1"/>
    <w:rsid w:val="002A5944"/>
    <w:rsid w:val="002A5E26"/>
    <w:rsid w:val="002A6101"/>
    <w:rsid w:val="002A6C1A"/>
    <w:rsid w:val="002A6FD9"/>
    <w:rsid w:val="002A78CF"/>
    <w:rsid w:val="002A7963"/>
    <w:rsid w:val="002B0240"/>
    <w:rsid w:val="002B02DA"/>
    <w:rsid w:val="002B0F10"/>
    <w:rsid w:val="002B0F5B"/>
    <w:rsid w:val="002B1483"/>
    <w:rsid w:val="002B1A86"/>
    <w:rsid w:val="002B1F50"/>
    <w:rsid w:val="002B2429"/>
    <w:rsid w:val="002B26F4"/>
    <w:rsid w:val="002B275D"/>
    <w:rsid w:val="002B2C21"/>
    <w:rsid w:val="002B2DEA"/>
    <w:rsid w:val="002B2EA7"/>
    <w:rsid w:val="002B35AF"/>
    <w:rsid w:val="002B3726"/>
    <w:rsid w:val="002B3A52"/>
    <w:rsid w:val="002B3D49"/>
    <w:rsid w:val="002B40D1"/>
    <w:rsid w:val="002B41E0"/>
    <w:rsid w:val="002B43A5"/>
    <w:rsid w:val="002B4BC8"/>
    <w:rsid w:val="002B52E3"/>
    <w:rsid w:val="002B53EE"/>
    <w:rsid w:val="002B5857"/>
    <w:rsid w:val="002B5C9F"/>
    <w:rsid w:val="002B5CE5"/>
    <w:rsid w:val="002B5FE2"/>
    <w:rsid w:val="002B6064"/>
    <w:rsid w:val="002B697B"/>
    <w:rsid w:val="002B6E14"/>
    <w:rsid w:val="002B7557"/>
    <w:rsid w:val="002B78BF"/>
    <w:rsid w:val="002C0614"/>
    <w:rsid w:val="002C07F7"/>
    <w:rsid w:val="002C08F3"/>
    <w:rsid w:val="002C0D1B"/>
    <w:rsid w:val="002C0F2D"/>
    <w:rsid w:val="002C11F7"/>
    <w:rsid w:val="002C16A7"/>
    <w:rsid w:val="002C189E"/>
    <w:rsid w:val="002C1A44"/>
    <w:rsid w:val="002C1A4C"/>
    <w:rsid w:val="002C1C27"/>
    <w:rsid w:val="002C1FB3"/>
    <w:rsid w:val="002C233F"/>
    <w:rsid w:val="002C23A8"/>
    <w:rsid w:val="002C2543"/>
    <w:rsid w:val="002C290C"/>
    <w:rsid w:val="002C2B59"/>
    <w:rsid w:val="002C2BD5"/>
    <w:rsid w:val="002C2D97"/>
    <w:rsid w:val="002C2E20"/>
    <w:rsid w:val="002C311E"/>
    <w:rsid w:val="002C398D"/>
    <w:rsid w:val="002C3BA9"/>
    <w:rsid w:val="002C3BE7"/>
    <w:rsid w:val="002C3D52"/>
    <w:rsid w:val="002C4B02"/>
    <w:rsid w:val="002C4C61"/>
    <w:rsid w:val="002C4EEE"/>
    <w:rsid w:val="002C4F7A"/>
    <w:rsid w:val="002C5729"/>
    <w:rsid w:val="002C5A97"/>
    <w:rsid w:val="002C5AA9"/>
    <w:rsid w:val="002C5D27"/>
    <w:rsid w:val="002C5EC4"/>
    <w:rsid w:val="002C67B4"/>
    <w:rsid w:val="002C6909"/>
    <w:rsid w:val="002C6C28"/>
    <w:rsid w:val="002C713A"/>
    <w:rsid w:val="002C76E7"/>
    <w:rsid w:val="002C77DA"/>
    <w:rsid w:val="002C78C7"/>
    <w:rsid w:val="002D027B"/>
    <w:rsid w:val="002D0A24"/>
    <w:rsid w:val="002D10C5"/>
    <w:rsid w:val="002D164B"/>
    <w:rsid w:val="002D1ABC"/>
    <w:rsid w:val="002D1B1D"/>
    <w:rsid w:val="002D1BCE"/>
    <w:rsid w:val="002D1EF0"/>
    <w:rsid w:val="002D21FB"/>
    <w:rsid w:val="002D26BD"/>
    <w:rsid w:val="002D2884"/>
    <w:rsid w:val="002D29CF"/>
    <w:rsid w:val="002D2A0D"/>
    <w:rsid w:val="002D2F08"/>
    <w:rsid w:val="002D3067"/>
    <w:rsid w:val="002D31AF"/>
    <w:rsid w:val="002D36E6"/>
    <w:rsid w:val="002D4810"/>
    <w:rsid w:val="002D49A4"/>
    <w:rsid w:val="002D4D6C"/>
    <w:rsid w:val="002D4ED3"/>
    <w:rsid w:val="002D4F03"/>
    <w:rsid w:val="002D56CA"/>
    <w:rsid w:val="002D576E"/>
    <w:rsid w:val="002D57D7"/>
    <w:rsid w:val="002D5E0A"/>
    <w:rsid w:val="002D5F4A"/>
    <w:rsid w:val="002D5F62"/>
    <w:rsid w:val="002D6922"/>
    <w:rsid w:val="002D6B72"/>
    <w:rsid w:val="002D6CD8"/>
    <w:rsid w:val="002D737C"/>
    <w:rsid w:val="002D73EF"/>
    <w:rsid w:val="002D7A47"/>
    <w:rsid w:val="002D7DB5"/>
    <w:rsid w:val="002E05B0"/>
    <w:rsid w:val="002E0750"/>
    <w:rsid w:val="002E07F5"/>
    <w:rsid w:val="002E0D76"/>
    <w:rsid w:val="002E0F79"/>
    <w:rsid w:val="002E1329"/>
    <w:rsid w:val="002E140D"/>
    <w:rsid w:val="002E14F0"/>
    <w:rsid w:val="002E153F"/>
    <w:rsid w:val="002E17D8"/>
    <w:rsid w:val="002E1BB7"/>
    <w:rsid w:val="002E2DC2"/>
    <w:rsid w:val="002E2EFC"/>
    <w:rsid w:val="002E3A75"/>
    <w:rsid w:val="002E3D36"/>
    <w:rsid w:val="002E400E"/>
    <w:rsid w:val="002E406C"/>
    <w:rsid w:val="002E4895"/>
    <w:rsid w:val="002E48C7"/>
    <w:rsid w:val="002E4DDC"/>
    <w:rsid w:val="002E50B6"/>
    <w:rsid w:val="002E53F9"/>
    <w:rsid w:val="002E558E"/>
    <w:rsid w:val="002E57A3"/>
    <w:rsid w:val="002E5A11"/>
    <w:rsid w:val="002E61A5"/>
    <w:rsid w:val="002E663C"/>
    <w:rsid w:val="002E672D"/>
    <w:rsid w:val="002E6BC0"/>
    <w:rsid w:val="002E6F48"/>
    <w:rsid w:val="002E6F4E"/>
    <w:rsid w:val="002E780C"/>
    <w:rsid w:val="002E7BDE"/>
    <w:rsid w:val="002E7D7A"/>
    <w:rsid w:val="002F013D"/>
    <w:rsid w:val="002F0242"/>
    <w:rsid w:val="002F0B31"/>
    <w:rsid w:val="002F0CAC"/>
    <w:rsid w:val="002F1399"/>
    <w:rsid w:val="002F17E9"/>
    <w:rsid w:val="002F2950"/>
    <w:rsid w:val="002F2B75"/>
    <w:rsid w:val="002F2DF1"/>
    <w:rsid w:val="002F33B4"/>
    <w:rsid w:val="002F361E"/>
    <w:rsid w:val="002F37D9"/>
    <w:rsid w:val="002F41C2"/>
    <w:rsid w:val="002F441B"/>
    <w:rsid w:val="002F4A69"/>
    <w:rsid w:val="002F4C42"/>
    <w:rsid w:val="002F4D66"/>
    <w:rsid w:val="002F56BA"/>
    <w:rsid w:val="002F5B66"/>
    <w:rsid w:val="002F5E82"/>
    <w:rsid w:val="002F5F6A"/>
    <w:rsid w:val="002F60ED"/>
    <w:rsid w:val="002F63D8"/>
    <w:rsid w:val="002F6B9A"/>
    <w:rsid w:val="002F6CD7"/>
    <w:rsid w:val="002F7E17"/>
    <w:rsid w:val="0030026F"/>
    <w:rsid w:val="00300397"/>
    <w:rsid w:val="003005D5"/>
    <w:rsid w:val="00300D2A"/>
    <w:rsid w:val="00300E9F"/>
    <w:rsid w:val="003019F5"/>
    <w:rsid w:val="00301C02"/>
    <w:rsid w:val="00301DDA"/>
    <w:rsid w:val="00301DE0"/>
    <w:rsid w:val="003024E3"/>
    <w:rsid w:val="003025CF"/>
    <w:rsid w:val="00302B0C"/>
    <w:rsid w:val="003034B1"/>
    <w:rsid w:val="003034CB"/>
    <w:rsid w:val="003035DA"/>
    <w:rsid w:val="003035EF"/>
    <w:rsid w:val="003037EF"/>
    <w:rsid w:val="00303C4B"/>
    <w:rsid w:val="003043F5"/>
    <w:rsid w:val="00304A8D"/>
    <w:rsid w:val="00305508"/>
    <w:rsid w:val="00305A0E"/>
    <w:rsid w:val="00305F10"/>
    <w:rsid w:val="00306169"/>
    <w:rsid w:val="003066AA"/>
    <w:rsid w:val="003068AD"/>
    <w:rsid w:val="00306A25"/>
    <w:rsid w:val="00307598"/>
    <w:rsid w:val="00307ABB"/>
    <w:rsid w:val="003110EA"/>
    <w:rsid w:val="0031115A"/>
    <w:rsid w:val="0031159C"/>
    <w:rsid w:val="00311D79"/>
    <w:rsid w:val="00311DED"/>
    <w:rsid w:val="00311E9C"/>
    <w:rsid w:val="0031208A"/>
    <w:rsid w:val="003121FA"/>
    <w:rsid w:val="0031234E"/>
    <w:rsid w:val="0031275A"/>
    <w:rsid w:val="00312AC8"/>
    <w:rsid w:val="00312B2E"/>
    <w:rsid w:val="00312ED0"/>
    <w:rsid w:val="00313D19"/>
    <w:rsid w:val="00314411"/>
    <w:rsid w:val="00314595"/>
    <w:rsid w:val="003148F1"/>
    <w:rsid w:val="00314E1E"/>
    <w:rsid w:val="0031517D"/>
    <w:rsid w:val="00315B7D"/>
    <w:rsid w:val="00315D80"/>
    <w:rsid w:val="00315F31"/>
    <w:rsid w:val="00315FAB"/>
    <w:rsid w:val="003170AA"/>
    <w:rsid w:val="003170D9"/>
    <w:rsid w:val="00317318"/>
    <w:rsid w:val="0032195F"/>
    <w:rsid w:val="00321A2A"/>
    <w:rsid w:val="00321BDC"/>
    <w:rsid w:val="003221C0"/>
    <w:rsid w:val="00322BB7"/>
    <w:rsid w:val="00322C56"/>
    <w:rsid w:val="00322FA4"/>
    <w:rsid w:val="00324524"/>
    <w:rsid w:val="003250C2"/>
    <w:rsid w:val="00325294"/>
    <w:rsid w:val="003252E1"/>
    <w:rsid w:val="00325543"/>
    <w:rsid w:val="00325E3B"/>
    <w:rsid w:val="00326521"/>
    <w:rsid w:val="003265DB"/>
    <w:rsid w:val="003266DC"/>
    <w:rsid w:val="00326FB5"/>
    <w:rsid w:val="003272C9"/>
    <w:rsid w:val="00327528"/>
    <w:rsid w:val="00327946"/>
    <w:rsid w:val="00327C82"/>
    <w:rsid w:val="00327CCC"/>
    <w:rsid w:val="00327E35"/>
    <w:rsid w:val="00327EAC"/>
    <w:rsid w:val="0033023F"/>
    <w:rsid w:val="003303E1"/>
    <w:rsid w:val="00330602"/>
    <w:rsid w:val="00330837"/>
    <w:rsid w:val="003309F4"/>
    <w:rsid w:val="00330AA6"/>
    <w:rsid w:val="00330BF7"/>
    <w:rsid w:val="00330DFC"/>
    <w:rsid w:val="003310E2"/>
    <w:rsid w:val="00331205"/>
    <w:rsid w:val="00331316"/>
    <w:rsid w:val="00331CC0"/>
    <w:rsid w:val="003326B0"/>
    <w:rsid w:val="00332AAD"/>
    <w:rsid w:val="003330E8"/>
    <w:rsid w:val="00333307"/>
    <w:rsid w:val="003333EC"/>
    <w:rsid w:val="00333634"/>
    <w:rsid w:val="00333A52"/>
    <w:rsid w:val="00333C83"/>
    <w:rsid w:val="003342E0"/>
    <w:rsid w:val="003345DB"/>
    <w:rsid w:val="00334B97"/>
    <w:rsid w:val="00334D77"/>
    <w:rsid w:val="00335197"/>
    <w:rsid w:val="0033588E"/>
    <w:rsid w:val="00335A6D"/>
    <w:rsid w:val="00335F81"/>
    <w:rsid w:val="003366DF"/>
    <w:rsid w:val="00336971"/>
    <w:rsid w:val="003369E2"/>
    <w:rsid w:val="00336C5B"/>
    <w:rsid w:val="00336E42"/>
    <w:rsid w:val="0033720C"/>
    <w:rsid w:val="00337943"/>
    <w:rsid w:val="0033794F"/>
    <w:rsid w:val="00337C3C"/>
    <w:rsid w:val="00337D89"/>
    <w:rsid w:val="00337F13"/>
    <w:rsid w:val="003414AD"/>
    <w:rsid w:val="003419A2"/>
    <w:rsid w:val="00341B0A"/>
    <w:rsid w:val="0034254E"/>
    <w:rsid w:val="003428C4"/>
    <w:rsid w:val="003429A9"/>
    <w:rsid w:val="003429F1"/>
    <w:rsid w:val="00342F35"/>
    <w:rsid w:val="00343C54"/>
    <w:rsid w:val="00343D5C"/>
    <w:rsid w:val="003446D2"/>
    <w:rsid w:val="00345221"/>
    <w:rsid w:val="00345348"/>
    <w:rsid w:val="00345E07"/>
    <w:rsid w:val="00346FD2"/>
    <w:rsid w:val="003470D8"/>
    <w:rsid w:val="003474A6"/>
    <w:rsid w:val="00347540"/>
    <w:rsid w:val="003478E2"/>
    <w:rsid w:val="00347A3C"/>
    <w:rsid w:val="00350043"/>
    <w:rsid w:val="0035030B"/>
    <w:rsid w:val="00350952"/>
    <w:rsid w:val="00350A7E"/>
    <w:rsid w:val="00350BB6"/>
    <w:rsid w:val="003512FE"/>
    <w:rsid w:val="0035236A"/>
    <w:rsid w:val="003525E7"/>
    <w:rsid w:val="00352612"/>
    <w:rsid w:val="00352AEA"/>
    <w:rsid w:val="00352F49"/>
    <w:rsid w:val="00353233"/>
    <w:rsid w:val="0035368A"/>
    <w:rsid w:val="00353A16"/>
    <w:rsid w:val="00354540"/>
    <w:rsid w:val="0035476B"/>
    <w:rsid w:val="003549EF"/>
    <w:rsid w:val="00354EBD"/>
    <w:rsid w:val="00355014"/>
    <w:rsid w:val="0035527E"/>
    <w:rsid w:val="00355738"/>
    <w:rsid w:val="00355A4A"/>
    <w:rsid w:val="00355C81"/>
    <w:rsid w:val="00355DEB"/>
    <w:rsid w:val="0035651F"/>
    <w:rsid w:val="003568D3"/>
    <w:rsid w:val="00356ACF"/>
    <w:rsid w:val="003577BB"/>
    <w:rsid w:val="00357826"/>
    <w:rsid w:val="00357CA1"/>
    <w:rsid w:val="00357EEE"/>
    <w:rsid w:val="003607EF"/>
    <w:rsid w:val="00360F3A"/>
    <w:rsid w:val="00360F53"/>
    <w:rsid w:val="003610EF"/>
    <w:rsid w:val="0036127B"/>
    <w:rsid w:val="003612B7"/>
    <w:rsid w:val="00361526"/>
    <w:rsid w:val="003617D1"/>
    <w:rsid w:val="0036228B"/>
    <w:rsid w:val="0036252F"/>
    <w:rsid w:val="00362581"/>
    <w:rsid w:val="003627A8"/>
    <w:rsid w:val="00363167"/>
    <w:rsid w:val="003631F3"/>
    <w:rsid w:val="0036381F"/>
    <w:rsid w:val="00363C21"/>
    <w:rsid w:val="00364002"/>
    <w:rsid w:val="00364726"/>
    <w:rsid w:val="0036474D"/>
    <w:rsid w:val="003648D4"/>
    <w:rsid w:val="00364BBD"/>
    <w:rsid w:val="00364D44"/>
    <w:rsid w:val="00365399"/>
    <w:rsid w:val="00365A6C"/>
    <w:rsid w:val="00365D37"/>
    <w:rsid w:val="00365DBD"/>
    <w:rsid w:val="00366739"/>
    <w:rsid w:val="00366B1B"/>
    <w:rsid w:val="00367062"/>
    <w:rsid w:val="003674A0"/>
    <w:rsid w:val="00370284"/>
    <w:rsid w:val="0037045A"/>
    <w:rsid w:val="003704E5"/>
    <w:rsid w:val="003705CB"/>
    <w:rsid w:val="00370703"/>
    <w:rsid w:val="003707BA"/>
    <w:rsid w:val="00370913"/>
    <w:rsid w:val="00370991"/>
    <w:rsid w:val="00370CC5"/>
    <w:rsid w:val="00370E77"/>
    <w:rsid w:val="00371156"/>
    <w:rsid w:val="003715DF"/>
    <w:rsid w:val="00371631"/>
    <w:rsid w:val="00371880"/>
    <w:rsid w:val="00371AF6"/>
    <w:rsid w:val="00372781"/>
    <w:rsid w:val="00372DED"/>
    <w:rsid w:val="00372EEA"/>
    <w:rsid w:val="00373F38"/>
    <w:rsid w:val="003742FF"/>
    <w:rsid w:val="00374C84"/>
    <w:rsid w:val="00374EDC"/>
    <w:rsid w:val="003751F8"/>
    <w:rsid w:val="003753BC"/>
    <w:rsid w:val="003755EB"/>
    <w:rsid w:val="00375A13"/>
    <w:rsid w:val="00376150"/>
    <w:rsid w:val="003770B6"/>
    <w:rsid w:val="003770C0"/>
    <w:rsid w:val="003772D1"/>
    <w:rsid w:val="00377667"/>
    <w:rsid w:val="00377709"/>
    <w:rsid w:val="0038023A"/>
    <w:rsid w:val="00380A27"/>
    <w:rsid w:val="003816B4"/>
    <w:rsid w:val="00381875"/>
    <w:rsid w:val="003819F9"/>
    <w:rsid w:val="00381A68"/>
    <w:rsid w:val="0038216E"/>
    <w:rsid w:val="0038229A"/>
    <w:rsid w:val="00382510"/>
    <w:rsid w:val="00382A9B"/>
    <w:rsid w:val="00382CA1"/>
    <w:rsid w:val="00383847"/>
    <w:rsid w:val="00383E27"/>
    <w:rsid w:val="003840C3"/>
    <w:rsid w:val="00384B8A"/>
    <w:rsid w:val="00384F35"/>
    <w:rsid w:val="00385119"/>
    <w:rsid w:val="0038535E"/>
    <w:rsid w:val="00385FCD"/>
    <w:rsid w:val="003861FD"/>
    <w:rsid w:val="0038669C"/>
    <w:rsid w:val="00387245"/>
    <w:rsid w:val="00387583"/>
    <w:rsid w:val="003875EB"/>
    <w:rsid w:val="003876D5"/>
    <w:rsid w:val="00387FBF"/>
    <w:rsid w:val="0039009A"/>
    <w:rsid w:val="00390854"/>
    <w:rsid w:val="00390F1A"/>
    <w:rsid w:val="00391FB2"/>
    <w:rsid w:val="0039269B"/>
    <w:rsid w:val="00392A05"/>
    <w:rsid w:val="00392CF0"/>
    <w:rsid w:val="003933C8"/>
    <w:rsid w:val="003933FC"/>
    <w:rsid w:val="0039373B"/>
    <w:rsid w:val="003938C9"/>
    <w:rsid w:val="00393B9F"/>
    <w:rsid w:val="00393E45"/>
    <w:rsid w:val="00394856"/>
    <w:rsid w:val="00394975"/>
    <w:rsid w:val="00394BC8"/>
    <w:rsid w:val="00394E65"/>
    <w:rsid w:val="00395BCE"/>
    <w:rsid w:val="00395E46"/>
    <w:rsid w:val="00395FF0"/>
    <w:rsid w:val="0039623C"/>
    <w:rsid w:val="00396385"/>
    <w:rsid w:val="0039646B"/>
    <w:rsid w:val="003967B4"/>
    <w:rsid w:val="0039682B"/>
    <w:rsid w:val="00396973"/>
    <w:rsid w:val="003969CA"/>
    <w:rsid w:val="00396AFB"/>
    <w:rsid w:val="00396E2C"/>
    <w:rsid w:val="00396E43"/>
    <w:rsid w:val="0039765B"/>
    <w:rsid w:val="00397788"/>
    <w:rsid w:val="00397A2F"/>
    <w:rsid w:val="003A06CA"/>
    <w:rsid w:val="003A074F"/>
    <w:rsid w:val="003A0C34"/>
    <w:rsid w:val="003A1857"/>
    <w:rsid w:val="003A190B"/>
    <w:rsid w:val="003A1B21"/>
    <w:rsid w:val="003A1B45"/>
    <w:rsid w:val="003A1C44"/>
    <w:rsid w:val="003A1D9E"/>
    <w:rsid w:val="003A2419"/>
    <w:rsid w:val="003A2CDD"/>
    <w:rsid w:val="003A311A"/>
    <w:rsid w:val="003A35AC"/>
    <w:rsid w:val="003A36C3"/>
    <w:rsid w:val="003A3FFE"/>
    <w:rsid w:val="003A40B0"/>
    <w:rsid w:val="003A4507"/>
    <w:rsid w:val="003A48B5"/>
    <w:rsid w:val="003A494C"/>
    <w:rsid w:val="003A49F8"/>
    <w:rsid w:val="003A4EC7"/>
    <w:rsid w:val="003A504D"/>
    <w:rsid w:val="003A54CC"/>
    <w:rsid w:val="003A591C"/>
    <w:rsid w:val="003A5D1A"/>
    <w:rsid w:val="003A5FB7"/>
    <w:rsid w:val="003A6045"/>
    <w:rsid w:val="003A64B3"/>
    <w:rsid w:val="003A65E4"/>
    <w:rsid w:val="003A683A"/>
    <w:rsid w:val="003A6846"/>
    <w:rsid w:val="003A6A1E"/>
    <w:rsid w:val="003A6E21"/>
    <w:rsid w:val="003A723D"/>
    <w:rsid w:val="003A7635"/>
    <w:rsid w:val="003A7AF4"/>
    <w:rsid w:val="003A7D72"/>
    <w:rsid w:val="003B00EB"/>
    <w:rsid w:val="003B0489"/>
    <w:rsid w:val="003B054E"/>
    <w:rsid w:val="003B0F16"/>
    <w:rsid w:val="003B1C83"/>
    <w:rsid w:val="003B20F8"/>
    <w:rsid w:val="003B27F8"/>
    <w:rsid w:val="003B28BF"/>
    <w:rsid w:val="003B2903"/>
    <w:rsid w:val="003B29C6"/>
    <w:rsid w:val="003B2F3D"/>
    <w:rsid w:val="003B2F49"/>
    <w:rsid w:val="003B3021"/>
    <w:rsid w:val="003B3A13"/>
    <w:rsid w:val="003B3A9E"/>
    <w:rsid w:val="003B3F83"/>
    <w:rsid w:val="003B4960"/>
    <w:rsid w:val="003B4B09"/>
    <w:rsid w:val="003B4FAA"/>
    <w:rsid w:val="003B54CC"/>
    <w:rsid w:val="003B61E4"/>
    <w:rsid w:val="003B625A"/>
    <w:rsid w:val="003B67E4"/>
    <w:rsid w:val="003B753B"/>
    <w:rsid w:val="003B794E"/>
    <w:rsid w:val="003B7B83"/>
    <w:rsid w:val="003B7E95"/>
    <w:rsid w:val="003C0210"/>
    <w:rsid w:val="003C097E"/>
    <w:rsid w:val="003C1005"/>
    <w:rsid w:val="003C153F"/>
    <w:rsid w:val="003C2091"/>
    <w:rsid w:val="003C2829"/>
    <w:rsid w:val="003C31C7"/>
    <w:rsid w:val="003C332D"/>
    <w:rsid w:val="003C369D"/>
    <w:rsid w:val="003C420C"/>
    <w:rsid w:val="003C44D7"/>
    <w:rsid w:val="003C4696"/>
    <w:rsid w:val="003C470F"/>
    <w:rsid w:val="003C5B99"/>
    <w:rsid w:val="003C5DD6"/>
    <w:rsid w:val="003C614F"/>
    <w:rsid w:val="003C647C"/>
    <w:rsid w:val="003C6BF9"/>
    <w:rsid w:val="003C72B9"/>
    <w:rsid w:val="003D0423"/>
    <w:rsid w:val="003D071D"/>
    <w:rsid w:val="003D0BA9"/>
    <w:rsid w:val="003D1130"/>
    <w:rsid w:val="003D1134"/>
    <w:rsid w:val="003D1A21"/>
    <w:rsid w:val="003D2385"/>
    <w:rsid w:val="003D23A6"/>
    <w:rsid w:val="003D2474"/>
    <w:rsid w:val="003D26FA"/>
    <w:rsid w:val="003D276D"/>
    <w:rsid w:val="003D28A2"/>
    <w:rsid w:val="003D29C0"/>
    <w:rsid w:val="003D2AF3"/>
    <w:rsid w:val="003D2FC9"/>
    <w:rsid w:val="003D31FB"/>
    <w:rsid w:val="003D336C"/>
    <w:rsid w:val="003D362C"/>
    <w:rsid w:val="003D3660"/>
    <w:rsid w:val="003D36FD"/>
    <w:rsid w:val="003D37C2"/>
    <w:rsid w:val="003D3ABB"/>
    <w:rsid w:val="003D443A"/>
    <w:rsid w:val="003D4650"/>
    <w:rsid w:val="003D49D2"/>
    <w:rsid w:val="003D4F84"/>
    <w:rsid w:val="003D5197"/>
    <w:rsid w:val="003D52A2"/>
    <w:rsid w:val="003D5789"/>
    <w:rsid w:val="003D5B3B"/>
    <w:rsid w:val="003D5CB4"/>
    <w:rsid w:val="003D5EBC"/>
    <w:rsid w:val="003D5F4C"/>
    <w:rsid w:val="003D6E6E"/>
    <w:rsid w:val="003D72A2"/>
    <w:rsid w:val="003D7331"/>
    <w:rsid w:val="003D7EE6"/>
    <w:rsid w:val="003E020D"/>
    <w:rsid w:val="003E0345"/>
    <w:rsid w:val="003E0598"/>
    <w:rsid w:val="003E0809"/>
    <w:rsid w:val="003E0A15"/>
    <w:rsid w:val="003E1511"/>
    <w:rsid w:val="003E152A"/>
    <w:rsid w:val="003E17E1"/>
    <w:rsid w:val="003E1BF0"/>
    <w:rsid w:val="003E1DBF"/>
    <w:rsid w:val="003E1FFC"/>
    <w:rsid w:val="003E21EE"/>
    <w:rsid w:val="003E251C"/>
    <w:rsid w:val="003E27F0"/>
    <w:rsid w:val="003E2921"/>
    <w:rsid w:val="003E2D4A"/>
    <w:rsid w:val="003E2D61"/>
    <w:rsid w:val="003E2E34"/>
    <w:rsid w:val="003E3177"/>
    <w:rsid w:val="003E32AF"/>
    <w:rsid w:val="003E366C"/>
    <w:rsid w:val="003E3774"/>
    <w:rsid w:val="003E3C57"/>
    <w:rsid w:val="003E4B84"/>
    <w:rsid w:val="003E4F38"/>
    <w:rsid w:val="003E531D"/>
    <w:rsid w:val="003E5358"/>
    <w:rsid w:val="003E565A"/>
    <w:rsid w:val="003E5BD6"/>
    <w:rsid w:val="003E6507"/>
    <w:rsid w:val="003E6AD7"/>
    <w:rsid w:val="003E72EA"/>
    <w:rsid w:val="003E769E"/>
    <w:rsid w:val="003E7C28"/>
    <w:rsid w:val="003F03C3"/>
    <w:rsid w:val="003F0D74"/>
    <w:rsid w:val="003F1168"/>
    <w:rsid w:val="003F1737"/>
    <w:rsid w:val="003F18DB"/>
    <w:rsid w:val="003F1AF5"/>
    <w:rsid w:val="003F20D7"/>
    <w:rsid w:val="003F2117"/>
    <w:rsid w:val="003F25A0"/>
    <w:rsid w:val="003F2749"/>
    <w:rsid w:val="003F3005"/>
    <w:rsid w:val="003F3900"/>
    <w:rsid w:val="003F3C4B"/>
    <w:rsid w:val="003F4102"/>
    <w:rsid w:val="003F4617"/>
    <w:rsid w:val="003F468B"/>
    <w:rsid w:val="003F4858"/>
    <w:rsid w:val="003F4C6A"/>
    <w:rsid w:val="003F4EFE"/>
    <w:rsid w:val="003F541C"/>
    <w:rsid w:val="003F61F8"/>
    <w:rsid w:val="003F697E"/>
    <w:rsid w:val="003F6ABC"/>
    <w:rsid w:val="003F6F5E"/>
    <w:rsid w:val="003F76C4"/>
    <w:rsid w:val="003F78F2"/>
    <w:rsid w:val="0040008F"/>
    <w:rsid w:val="00400C7A"/>
    <w:rsid w:val="004014AE"/>
    <w:rsid w:val="004017CA"/>
    <w:rsid w:val="00401DEB"/>
    <w:rsid w:val="004020D7"/>
    <w:rsid w:val="0040216F"/>
    <w:rsid w:val="00402345"/>
    <w:rsid w:val="00402B58"/>
    <w:rsid w:val="004030C3"/>
    <w:rsid w:val="00403A7F"/>
    <w:rsid w:val="00403C78"/>
    <w:rsid w:val="00403DBF"/>
    <w:rsid w:val="0040499C"/>
    <w:rsid w:val="00404B37"/>
    <w:rsid w:val="00404C35"/>
    <w:rsid w:val="00404CB4"/>
    <w:rsid w:val="00404F82"/>
    <w:rsid w:val="00405034"/>
    <w:rsid w:val="0040537B"/>
    <w:rsid w:val="00405685"/>
    <w:rsid w:val="004059CC"/>
    <w:rsid w:val="004060F3"/>
    <w:rsid w:val="004066DF"/>
    <w:rsid w:val="00406C6B"/>
    <w:rsid w:val="00406E45"/>
    <w:rsid w:val="00406E72"/>
    <w:rsid w:val="00406F00"/>
    <w:rsid w:val="004074BF"/>
    <w:rsid w:val="00407697"/>
    <w:rsid w:val="004076C2"/>
    <w:rsid w:val="004077A8"/>
    <w:rsid w:val="004077C3"/>
    <w:rsid w:val="0041008F"/>
    <w:rsid w:val="004104AE"/>
    <w:rsid w:val="00410ABC"/>
    <w:rsid w:val="00410E14"/>
    <w:rsid w:val="004118C4"/>
    <w:rsid w:val="00411AC4"/>
    <w:rsid w:val="00411B0C"/>
    <w:rsid w:val="00411B80"/>
    <w:rsid w:val="00412054"/>
    <w:rsid w:val="0041242B"/>
    <w:rsid w:val="004127F3"/>
    <w:rsid w:val="00413042"/>
    <w:rsid w:val="0041346C"/>
    <w:rsid w:val="004134DA"/>
    <w:rsid w:val="004138AE"/>
    <w:rsid w:val="00413D07"/>
    <w:rsid w:val="00413FC5"/>
    <w:rsid w:val="00414451"/>
    <w:rsid w:val="0041538A"/>
    <w:rsid w:val="0041554C"/>
    <w:rsid w:val="00415566"/>
    <w:rsid w:val="004156DB"/>
    <w:rsid w:val="00415F8C"/>
    <w:rsid w:val="00415FD5"/>
    <w:rsid w:val="00415FDB"/>
    <w:rsid w:val="00416073"/>
    <w:rsid w:val="0041621F"/>
    <w:rsid w:val="0041651E"/>
    <w:rsid w:val="0041677E"/>
    <w:rsid w:val="00416A0F"/>
    <w:rsid w:val="004172FA"/>
    <w:rsid w:val="004176B2"/>
    <w:rsid w:val="00417E3F"/>
    <w:rsid w:val="00417FED"/>
    <w:rsid w:val="00420788"/>
    <w:rsid w:val="00420D00"/>
    <w:rsid w:val="00420F24"/>
    <w:rsid w:val="0042196D"/>
    <w:rsid w:val="00421B48"/>
    <w:rsid w:val="00421DA6"/>
    <w:rsid w:val="004221D3"/>
    <w:rsid w:val="00422988"/>
    <w:rsid w:val="00422AC8"/>
    <w:rsid w:val="00422B71"/>
    <w:rsid w:val="00422DDF"/>
    <w:rsid w:val="00423006"/>
    <w:rsid w:val="0042352C"/>
    <w:rsid w:val="00423F9B"/>
    <w:rsid w:val="004241A0"/>
    <w:rsid w:val="00424C20"/>
    <w:rsid w:val="00424D40"/>
    <w:rsid w:val="004263BA"/>
    <w:rsid w:val="004263CC"/>
    <w:rsid w:val="004265EF"/>
    <w:rsid w:val="00426842"/>
    <w:rsid w:val="00426E48"/>
    <w:rsid w:val="00426E51"/>
    <w:rsid w:val="00427C0D"/>
    <w:rsid w:val="00427D50"/>
    <w:rsid w:val="00427EE9"/>
    <w:rsid w:val="0043025B"/>
    <w:rsid w:val="00431064"/>
    <w:rsid w:val="00431BE1"/>
    <w:rsid w:val="00432720"/>
    <w:rsid w:val="0043308E"/>
    <w:rsid w:val="0043341E"/>
    <w:rsid w:val="00433636"/>
    <w:rsid w:val="004336AB"/>
    <w:rsid w:val="0043384C"/>
    <w:rsid w:val="004339FB"/>
    <w:rsid w:val="00434114"/>
    <w:rsid w:val="00434716"/>
    <w:rsid w:val="00434CA6"/>
    <w:rsid w:val="004359C6"/>
    <w:rsid w:val="00435DFF"/>
    <w:rsid w:val="00436097"/>
    <w:rsid w:val="004363ED"/>
    <w:rsid w:val="004366FC"/>
    <w:rsid w:val="004367EB"/>
    <w:rsid w:val="00437166"/>
    <w:rsid w:val="0043721E"/>
    <w:rsid w:val="00437BF9"/>
    <w:rsid w:val="00437C82"/>
    <w:rsid w:val="00437CDC"/>
    <w:rsid w:val="00440369"/>
    <w:rsid w:val="004404C2"/>
    <w:rsid w:val="00440D4E"/>
    <w:rsid w:val="00441418"/>
    <w:rsid w:val="0044159A"/>
    <w:rsid w:val="004417B2"/>
    <w:rsid w:val="004417C5"/>
    <w:rsid w:val="00442B8E"/>
    <w:rsid w:val="004431F1"/>
    <w:rsid w:val="00443C35"/>
    <w:rsid w:val="004441F6"/>
    <w:rsid w:val="00444811"/>
    <w:rsid w:val="00444F60"/>
    <w:rsid w:val="00444F6F"/>
    <w:rsid w:val="00444F90"/>
    <w:rsid w:val="004453AB"/>
    <w:rsid w:val="0044565A"/>
    <w:rsid w:val="0044587B"/>
    <w:rsid w:val="00445AB0"/>
    <w:rsid w:val="00445E19"/>
    <w:rsid w:val="00445F52"/>
    <w:rsid w:val="00446353"/>
    <w:rsid w:val="004466C0"/>
    <w:rsid w:val="00446D03"/>
    <w:rsid w:val="004470A7"/>
    <w:rsid w:val="00447441"/>
    <w:rsid w:val="0044762C"/>
    <w:rsid w:val="004476D0"/>
    <w:rsid w:val="00447D34"/>
    <w:rsid w:val="00447DF2"/>
    <w:rsid w:val="00450093"/>
    <w:rsid w:val="0045143E"/>
    <w:rsid w:val="00451453"/>
    <w:rsid w:val="00451834"/>
    <w:rsid w:val="00451A6A"/>
    <w:rsid w:val="004520B5"/>
    <w:rsid w:val="00452248"/>
    <w:rsid w:val="004523EF"/>
    <w:rsid w:val="004524B5"/>
    <w:rsid w:val="004529F2"/>
    <w:rsid w:val="00452E12"/>
    <w:rsid w:val="00452F85"/>
    <w:rsid w:val="004533D1"/>
    <w:rsid w:val="00453543"/>
    <w:rsid w:val="00453582"/>
    <w:rsid w:val="004535EB"/>
    <w:rsid w:val="0045374F"/>
    <w:rsid w:val="00453EBD"/>
    <w:rsid w:val="0045402C"/>
    <w:rsid w:val="00454222"/>
    <w:rsid w:val="0045479C"/>
    <w:rsid w:val="0045495C"/>
    <w:rsid w:val="00454BBC"/>
    <w:rsid w:val="00454D13"/>
    <w:rsid w:val="00455C3C"/>
    <w:rsid w:val="00455C96"/>
    <w:rsid w:val="00455E2A"/>
    <w:rsid w:val="004560DA"/>
    <w:rsid w:val="004567B5"/>
    <w:rsid w:val="00456943"/>
    <w:rsid w:val="00456A61"/>
    <w:rsid w:val="004570C1"/>
    <w:rsid w:val="00457257"/>
    <w:rsid w:val="004600D5"/>
    <w:rsid w:val="004603D9"/>
    <w:rsid w:val="00460B44"/>
    <w:rsid w:val="00460BF5"/>
    <w:rsid w:val="00461EE1"/>
    <w:rsid w:val="00462F07"/>
    <w:rsid w:val="004631DC"/>
    <w:rsid w:val="00463A57"/>
    <w:rsid w:val="00463B55"/>
    <w:rsid w:val="00463BE8"/>
    <w:rsid w:val="00464240"/>
    <w:rsid w:val="00464272"/>
    <w:rsid w:val="00465127"/>
    <w:rsid w:val="00465B2D"/>
    <w:rsid w:val="004660E6"/>
    <w:rsid w:val="00466193"/>
    <w:rsid w:val="0046622C"/>
    <w:rsid w:val="00466310"/>
    <w:rsid w:val="004663FA"/>
    <w:rsid w:val="00466583"/>
    <w:rsid w:val="00466710"/>
    <w:rsid w:val="00467217"/>
    <w:rsid w:val="00467219"/>
    <w:rsid w:val="004675AD"/>
    <w:rsid w:val="004676BB"/>
    <w:rsid w:val="0046776A"/>
    <w:rsid w:val="00467D55"/>
    <w:rsid w:val="00467DE7"/>
    <w:rsid w:val="00470977"/>
    <w:rsid w:val="00470C59"/>
    <w:rsid w:val="004710CA"/>
    <w:rsid w:val="004711BA"/>
    <w:rsid w:val="004714A6"/>
    <w:rsid w:val="004719D4"/>
    <w:rsid w:val="00471B24"/>
    <w:rsid w:val="004726E1"/>
    <w:rsid w:val="00472810"/>
    <w:rsid w:val="00472A43"/>
    <w:rsid w:val="00472D2C"/>
    <w:rsid w:val="0047304B"/>
    <w:rsid w:val="004736C7"/>
    <w:rsid w:val="00473A04"/>
    <w:rsid w:val="00473F79"/>
    <w:rsid w:val="004746B8"/>
    <w:rsid w:val="0047492F"/>
    <w:rsid w:val="00474A34"/>
    <w:rsid w:val="00474CFE"/>
    <w:rsid w:val="00474E8D"/>
    <w:rsid w:val="00474EAE"/>
    <w:rsid w:val="004753FC"/>
    <w:rsid w:val="0047562B"/>
    <w:rsid w:val="00475D96"/>
    <w:rsid w:val="0047651C"/>
    <w:rsid w:val="00477224"/>
    <w:rsid w:val="0047737F"/>
    <w:rsid w:val="0047763A"/>
    <w:rsid w:val="0047788F"/>
    <w:rsid w:val="00477AA2"/>
    <w:rsid w:val="00477C8B"/>
    <w:rsid w:val="004801A0"/>
    <w:rsid w:val="004804B1"/>
    <w:rsid w:val="00481456"/>
    <w:rsid w:val="00481529"/>
    <w:rsid w:val="00481642"/>
    <w:rsid w:val="00481733"/>
    <w:rsid w:val="00481815"/>
    <w:rsid w:val="00481971"/>
    <w:rsid w:val="00481DAF"/>
    <w:rsid w:val="00481E9D"/>
    <w:rsid w:val="0048293D"/>
    <w:rsid w:val="00482D08"/>
    <w:rsid w:val="00482D5C"/>
    <w:rsid w:val="00483078"/>
    <w:rsid w:val="0048312A"/>
    <w:rsid w:val="00483350"/>
    <w:rsid w:val="004839F3"/>
    <w:rsid w:val="00483C9E"/>
    <w:rsid w:val="00483F3C"/>
    <w:rsid w:val="00484170"/>
    <w:rsid w:val="004842A9"/>
    <w:rsid w:val="00484317"/>
    <w:rsid w:val="00484BB2"/>
    <w:rsid w:val="0048509A"/>
    <w:rsid w:val="00485D9E"/>
    <w:rsid w:val="004866D5"/>
    <w:rsid w:val="004868D5"/>
    <w:rsid w:val="00486998"/>
    <w:rsid w:val="00486C0D"/>
    <w:rsid w:val="00486D72"/>
    <w:rsid w:val="00486E3F"/>
    <w:rsid w:val="0048715E"/>
    <w:rsid w:val="0048757F"/>
    <w:rsid w:val="00487A76"/>
    <w:rsid w:val="00487B44"/>
    <w:rsid w:val="00487C35"/>
    <w:rsid w:val="004904BF"/>
    <w:rsid w:val="00490B11"/>
    <w:rsid w:val="00490D13"/>
    <w:rsid w:val="00490DDD"/>
    <w:rsid w:val="00490FB2"/>
    <w:rsid w:val="00490FDF"/>
    <w:rsid w:val="00491539"/>
    <w:rsid w:val="004917DD"/>
    <w:rsid w:val="00491AE8"/>
    <w:rsid w:val="004922BD"/>
    <w:rsid w:val="00492308"/>
    <w:rsid w:val="00492E55"/>
    <w:rsid w:val="00492F15"/>
    <w:rsid w:val="00493153"/>
    <w:rsid w:val="0049350E"/>
    <w:rsid w:val="004936E5"/>
    <w:rsid w:val="00493BEC"/>
    <w:rsid w:val="00493D4A"/>
    <w:rsid w:val="00493E75"/>
    <w:rsid w:val="004942A4"/>
    <w:rsid w:val="004944C2"/>
    <w:rsid w:val="004949EF"/>
    <w:rsid w:val="00494EB2"/>
    <w:rsid w:val="0049534B"/>
    <w:rsid w:val="00495647"/>
    <w:rsid w:val="004957CE"/>
    <w:rsid w:val="00495876"/>
    <w:rsid w:val="004958C9"/>
    <w:rsid w:val="004959B2"/>
    <w:rsid w:val="00495DD8"/>
    <w:rsid w:val="00495EC4"/>
    <w:rsid w:val="0049689A"/>
    <w:rsid w:val="00497282"/>
    <w:rsid w:val="004974C3"/>
    <w:rsid w:val="00497944"/>
    <w:rsid w:val="00497F24"/>
    <w:rsid w:val="004A03EB"/>
    <w:rsid w:val="004A085D"/>
    <w:rsid w:val="004A0AF4"/>
    <w:rsid w:val="004A0FFC"/>
    <w:rsid w:val="004A109A"/>
    <w:rsid w:val="004A126C"/>
    <w:rsid w:val="004A1679"/>
    <w:rsid w:val="004A1A4E"/>
    <w:rsid w:val="004A1D55"/>
    <w:rsid w:val="004A1D81"/>
    <w:rsid w:val="004A1E89"/>
    <w:rsid w:val="004A2429"/>
    <w:rsid w:val="004A3018"/>
    <w:rsid w:val="004A34A2"/>
    <w:rsid w:val="004A3507"/>
    <w:rsid w:val="004A400D"/>
    <w:rsid w:val="004A469C"/>
    <w:rsid w:val="004A47BC"/>
    <w:rsid w:val="004A489F"/>
    <w:rsid w:val="004A4A18"/>
    <w:rsid w:val="004A4A37"/>
    <w:rsid w:val="004A4A85"/>
    <w:rsid w:val="004A4C97"/>
    <w:rsid w:val="004A4D2B"/>
    <w:rsid w:val="004A4E3E"/>
    <w:rsid w:val="004A56C3"/>
    <w:rsid w:val="004A5A4F"/>
    <w:rsid w:val="004A5C23"/>
    <w:rsid w:val="004A68C7"/>
    <w:rsid w:val="004A6995"/>
    <w:rsid w:val="004A69B1"/>
    <w:rsid w:val="004A7126"/>
    <w:rsid w:val="004A7569"/>
    <w:rsid w:val="004B0096"/>
    <w:rsid w:val="004B06E4"/>
    <w:rsid w:val="004B0EF5"/>
    <w:rsid w:val="004B1503"/>
    <w:rsid w:val="004B183E"/>
    <w:rsid w:val="004B1B03"/>
    <w:rsid w:val="004B1D15"/>
    <w:rsid w:val="004B1EFE"/>
    <w:rsid w:val="004B21FF"/>
    <w:rsid w:val="004B2482"/>
    <w:rsid w:val="004B2506"/>
    <w:rsid w:val="004B2559"/>
    <w:rsid w:val="004B2BAA"/>
    <w:rsid w:val="004B2DA6"/>
    <w:rsid w:val="004B3002"/>
    <w:rsid w:val="004B3587"/>
    <w:rsid w:val="004B385C"/>
    <w:rsid w:val="004B3BAD"/>
    <w:rsid w:val="004B48CB"/>
    <w:rsid w:val="004B48D8"/>
    <w:rsid w:val="004B5010"/>
    <w:rsid w:val="004B50D0"/>
    <w:rsid w:val="004B5201"/>
    <w:rsid w:val="004B5382"/>
    <w:rsid w:val="004B5606"/>
    <w:rsid w:val="004B5BFA"/>
    <w:rsid w:val="004B5D9C"/>
    <w:rsid w:val="004B5F8A"/>
    <w:rsid w:val="004B618D"/>
    <w:rsid w:val="004B6398"/>
    <w:rsid w:val="004B644E"/>
    <w:rsid w:val="004B6605"/>
    <w:rsid w:val="004B68D5"/>
    <w:rsid w:val="004B6A2B"/>
    <w:rsid w:val="004B6CF6"/>
    <w:rsid w:val="004B74EC"/>
    <w:rsid w:val="004B7AAC"/>
    <w:rsid w:val="004B7CE5"/>
    <w:rsid w:val="004C0180"/>
    <w:rsid w:val="004C01C9"/>
    <w:rsid w:val="004C0328"/>
    <w:rsid w:val="004C0433"/>
    <w:rsid w:val="004C0709"/>
    <w:rsid w:val="004C07D2"/>
    <w:rsid w:val="004C0FE6"/>
    <w:rsid w:val="004C1923"/>
    <w:rsid w:val="004C1BF8"/>
    <w:rsid w:val="004C2187"/>
    <w:rsid w:val="004C268A"/>
    <w:rsid w:val="004C2887"/>
    <w:rsid w:val="004C3178"/>
    <w:rsid w:val="004C3530"/>
    <w:rsid w:val="004C3A61"/>
    <w:rsid w:val="004C3BD1"/>
    <w:rsid w:val="004C3E5C"/>
    <w:rsid w:val="004C4208"/>
    <w:rsid w:val="004C4A9F"/>
    <w:rsid w:val="004C4F5C"/>
    <w:rsid w:val="004C579F"/>
    <w:rsid w:val="004C5A11"/>
    <w:rsid w:val="004C5B4A"/>
    <w:rsid w:val="004C6027"/>
    <w:rsid w:val="004C61FE"/>
    <w:rsid w:val="004C6761"/>
    <w:rsid w:val="004C6855"/>
    <w:rsid w:val="004C69C1"/>
    <w:rsid w:val="004C6AFE"/>
    <w:rsid w:val="004C6F3E"/>
    <w:rsid w:val="004C7523"/>
    <w:rsid w:val="004C76C6"/>
    <w:rsid w:val="004C7C2A"/>
    <w:rsid w:val="004D1462"/>
    <w:rsid w:val="004D14F0"/>
    <w:rsid w:val="004D19A0"/>
    <w:rsid w:val="004D1ECC"/>
    <w:rsid w:val="004D21D5"/>
    <w:rsid w:val="004D2852"/>
    <w:rsid w:val="004D32EC"/>
    <w:rsid w:val="004D3644"/>
    <w:rsid w:val="004D3888"/>
    <w:rsid w:val="004D3D3D"/>
    <w:rsid w:val="004D421A"/>
    <w:rsid w:val="004D4B10"/>
    <w:rsid w:val="004D5AF6"/>
    <w:rsid w:val="004D638D"/>
    <w:rsid w:val="004D66B3"/>
    <w:rsid w:val="004D670A"/>
    <w:rsid w:val="004D6768"/>
    <w:rsid w:val="004D6CFF"/>
    <w:rsid w:val="004D7519"/>
    <w:rsid w:val="004D75A8"/>
    <w:rsid w:val="004D7945"/>
    <w:rsid w:val="004D7947"/>
    <w:rsid w:val="004E04C7"/>
    <w:rsid w:val="004E05D8"/>
    <w:rsid w:val="004E1292"/>
    <w:rsid w:val="004E15BD"/>
    <w:rsid w:val="004E1C3C"/>
    <w:rsid w:val="004E2752"/>
    <w:rsid w:val="004E35DD"/>
    <w:rsid w:val="004E3946"/>
    <w:rsid w:val="004E43B5"/>
    <w:rsid w:val="004E4725"/>
    <w:rsid w:val="004E49EF"/>
    <w:rsid w:val="004E4E83"/>
    <w:rsid w:val="004E559D"/>
    <w:rsid w:val="004E5A97"/>
    <w:rsid w:val="004E5FED"/>
    <w:rsid w:val="004E65AE"/>
    <w:rsid w:val="004E7C3F"/>
    <w:rsid w:val="004E7F17"/>
    <w:rsid w:val="004E7F3C"/>
    <w:rsid w:val="004F008D"/>
    <w:rsid w:val="004F05F3"/>
    <w:rsid w:val="004F0D3B"/>
    <w:rsid w:val="004F101B"/>
    <w:rsid w:val="004F11D9"/>
    <w:rsid w:val="004F1373"/>
    <w:rsid w:val="004F1477"/>
    <w:rsid w:val="004F1498"/>
    <w:rsid w:val="004F14CE"/>
    <w:rsid w:val="004F150B"/>
    <w:rsid w:val="004F1C9A"/>
    <w:rsid w:val="004F24CA"/>
    <w:rsid w:val="004F375C"/>
    <w:rsid w:val="004F4017"/>
    <w:rsid w:val="004F4611"/>
    <w:rsid w:val="004F46E8"/>
    <w:rsid w:val="004F48BB"/>
    <w:rsid w:val="004F48F4"/>
    <w:rsid w:val="004F4A18"/>
    <w:rsid w:val="004F4A89"/>
    <w:rsid w:val="004F4AE4"/>
    <w:rsid w:val="004F4DCE"/>
    <w:rsid w:val="004F55F4"/>
    <w:rsid w:val="004F5916"/>
    <w:rsid w:val="004F610C"/>
    <w:rsid w:val="004F6268"/>
    <w:rsid w:val="004F62DC"/>
    <w:rsid w:val="004F6448"/>
    <w:rsid w:val="004F6A74"/>
    <w:rsid w:val="004F6D17"/>
    <w:rsid w:val="004F73BA"/>
    <w:rsid w:val="004F7DAD"/>
    <w:rsid w:val="00500961"/>
    <w:rsid w:val="00501834"/>
    <w:rsid w:val="00502152"/>
    <w:rsid w:val="00502397"/>
    <w:rsid w:val="00502422"/>
    <w:rsid w:val="005024AF"/>
    <w:rsid w:val="005027D2"/>
    <w:rsid w:val="00502BAE"/>
    <w:rsid w:val="00502C9E"/>
    <w:rsid w:val="00503119"/>
    <w:rsid w:val="005034B7"/>
    <w:rsid w:val="00503E7B"/>
    <w:rsid w:val="00503FFA"/>
    <w:rsid w:val="005041EC"/>
    <w:rsid w:val="00504968"/>
    <w:rsid w:val="00504F9B"/>
    <w:rsid w:val="00504FDA"/>
    <w:rsid w:val="005050BE"/>
    <w:rsid w:val="005052B7"/>
    <w:rsid w:val="00505617"/>
    <w:rsid w:val="00506903"/>
    <w:rsid w:val="00506CF2"/>
    <w:rsid w:val="00506F88"/>
    <w:rsid w:val="005077FE"/>
    <w:rsid w:val="0050796C"/>
    <w:rsid w:val="005079A7"/>
    <w:rsid w:val="00507B57"/>
    <w:rsid w:val="00507DCB"/>
    <w:rsid w:val="00507E9C"/>
    <w:rsid w:val="00510090"/>
    <w:rsid w:val="00510517"/>
    <w:rsid w:val="00510868"/>
    <w:rsid w:val="0051087E"/>
    <w:rsid w:val="005108AC"/>
    <w:rsid w:val="0051090C"/>
    <w:rsid w:val="00510BF7"/>
    <w:rsid w:val="00510C19"/>
    <w:rsid w:val="00511176"/>
    <w:rsid w:val="0051127E"/>
    <w:rsid w:val="005120A6"/>
    <w:rsid w:val="00512FFE"/>
    <w:rsid w:val="005137FD"/>
    <w:rsid w:val="005138FB"/>
    <w:rsid w:val="00513B11"/>
    <w:rsid w:val="005143A6"/>
    <w:rsid w:val="00514D08"/>
    <w:rsid w:val="00514EFF"/>
    <w:rsid w:val="005157E7"/>
    <w:rsid w:val="00515BA9"/>
    <w:rsid w:val="00515C24"/>
    <w:rsid w:val="00515D02"/>
    <w:rsid w:val="005160FE"/>
    <w:rsid w:val="0051668C"/>
    <w:rsid w:val="0051704E"/>
    <w:rsid w:val="00517475"/>
    <w:rsid w:val="00517DB6"/>
    <w:rsid w:val="00517E90"/>
    <w:rsid w:val="0052002A"/>
    <w:rsid w:val="0052039C"/>
    <w:rsid w:val="00520A69"/>
    <w:rsid w:val="00520D34"/>
    <w:rsid w:val="00520EFA"/>
    <w:rsid w:val="00521259"/>
    <w:rsid w:val="005223EF"/>
    <w:rsid w:val="00522B2A"/>
    <w:rsid w:val="00522E30"/>
    <w:rsid w:val="005234FB"/>
    <w:rsid w:val="0052350D"/>
    <w:rsid w:val="00523679"/>
    <w:rsid w:val="0052377C"/>
    <w:rsid w:val="00523820"/>
    <w:rsid w:val="0052390E"/>
    <w:rsid w:val="00523966"/>
    <w:rsid w:val="00524410"/>
    <w:rsid w:val="005244C8"/>
    <w:rsid w:val="00524BAD"/>
    <w:rsid w:val="00524EA9"/>
    <w:rsid w:val="00525086"/>
    <w:rsid w:val="00525256"/>
    <w:rsid w:val="005252EC"/>
    <w:rsid w:val="00525978"/>
    <w:rsid w:val="00525BA3"/>
    <w:rsid w:val="00525E38"/>
    <w:rsid w:val="00525EF3"/>
    <w:rsid w:val="00526218"/>
    <w:rsid w:val="005264ED"/>
    <w:rsid w:val="005265CA"/>
    <w:rsid w:val="005269CD"/>
    <w:rsid w:val="00526AA6"/>
    <w:rsid w:val="00526C34"/>
    <w:rsid w:val="00526C70"/>
    <w:rsid w:val="005272C1"/>
    <w:rsid w:val="005273F0"/>
    <w:rsid w:val="00527771"/>
    <w:rsid w:val="0052784D"/>
    <w:rsid w:val="00527BD8"/>
    <w:rsid w:val="0053039F"/>
    <w:rsid w:val="00530517"/>
    <w:rsid w:val="00530B3D"/>
    <w:rsid w:val="00530BCA"/>
    <w:rsid w:val="00530FD5"/>
    <w:rsid w:val="00530FE9"/>
    <w:rsid w:val="00531103"/>
    <w:rsid w:val="0053151F"/>
    <w:rsid w:val="005316AA"/>
    <w:rsid w:val="00531815"/>
    <w:rsid w:val="00531D4C"/>
    <w:rsid w:val="00531EB1"/>
    <w:rsid w:val="00531F94"/>
    <w:rsid w:val="005322DB"/>
    <w:rsid w:val="0053285A"/>
    <w:rsid w:val="00533415"/>
    <w:rsid w:val="0053376F"/>
    <w:rsid w:val="005339F0"/>
    <w:rsid w:val="00533D51"/>
    <w:rsid w:val="00533EE4"/>
    <w:rsid w:val="00534235"/>
    <w:rsid w:val="00534926"/>
    <w:rsid w:val="0053498F"/>
    <w:rsid w:val="00534DB9"/>
    <w:rsid w:val="005350D1"/>
    <w:rsid w:val="0053553E"/>
    <w:rsid w:val="00535666"/>
    <w:rsid w:val="00535C59"/>
    <w:rsid w:val="005367AC"/>
    <w:rsid w:val="0053726E"/>
    <w:rsid w:val="00537480"/>
    <w:rsid w:val="0053751A"/>
    <w:rsid w:val="0053762E"/>
    <w:rsid w:val="00537FA5"/>
    <w:rsid w:val="005404CF"/>
    <w:rsid w:val="005409DA"/>
    <w:rsid w:val="00540CF7"/>
    <w:rsid w:val="00540F72"/>
    <w:rsid w:val="00541167"/>
    <w:rsid w:val="00541283"/>
    <w:rsid w:val="00541680"/>
    <w:rsid w:val="0054185C"/>
    <w:rsid w:val="00541A64"/>
    <w:rsid w:val="00541A9D"/>
    <w:rsid w:val="00542DFB"/>
    <w:rsid w:val="0054334D"/>
    <w:rsid w:val="00543AA7"/>
    <w:rsid w:val="00543CCC"/>
    <w:rsid w:val="00543E0C"/>
    <w:rsid w:val="00543FA8"/>
    <w:rsid w:val="0054410A"/>
    <w:rsid w:val="00544527"/>
    <w:rsid w:val="005447A9"/>
    <w:rsid w:val="00545367"/>
    <w:rsid w:val="005459D6"/>
    <w:rsid w:val="00545A23"/>
    <w:rsid w:val="00545BF2"/>
    <w:rsid w:val="0054637E"/>
    <w:rsid w:val="0054651E"/>
    <w:rsid w:val="005468F5"/>
    <w:rsid w:val="0054693D"/>
    <w:rsid w:val="00546B1A"/>
    <w:rsid w:val="00546D7D"/>
    <w:rsid w:val="00546EBD"/>
    <w:rsid w:val="0054747F"/>
    <w:rsid w:val="0054791D"/>
    <w:rsid w:val="00547A01"/>
    <w:rsid w:val="00550146"/>
    <w:rsid w:val="005504F1"/>
    <w:rsid w:val="005505C4"/>
    <w:rsid w:val="00550A69"/>
    <w:rsid w:val="005510A8"/>
    <w:rsid w:val="005511E7"/>
    <w:rsid w:val="005514C2"/>
    <w:rsid w:val="00551505"/>
    <w:rsid w:val="005520C6"/>
    <w:rsid w:val="005520FD"/>
    <w:rsid w:val="0055227A"/>
    <w:rsid w:val="00552385"/>
    <w:rsid w:val="0055247F"/>
    <w:rsid w:val="005524BA"/>
    <w:rsid w:val="00552873"/>
    <w:rsid w:val="00552996"/>
    <w:rsid w:val="00552E0A"/>
    <w:rsid w:val="005533C2"/>
    <w:rsid w:val="00553875"/>
    <w:rsid w:val="005538D0"/>
    <w:rsid w:val="00553F34"/>
    <w:rsid w:val="00553F74"/>
    <w:rsid w:val="00554187"/>
    <w:rsid w:val="005545A9"/>
    <w:rsid w:val="00554896"/>
    <w:rsid w:val="00554C6F"/>
    <w:rsid w:val="00554F17"/>
    <w:rsid w:val="00554F28"/>
    <w:rsid w:val="00554F34"/>
    <w:rsid w:val="00554FF5"/>
    <w:rsid w:val="00555524"/>
    <w:rsid w:val="00555BD2"/>
    <w:rsid w:val="00555D7A"/>
    <w:rsid w:val="0055618D"/>
    <w:rsid w:val="0055620C"/>
    <w:rsid w:val="00556365"/>
    <w:rsid w:val="005567A8"/>
    <w:rsid w:val="00556D23"/>
    <w:rsid w:val="005572AE"/>
    <w:rsid w:val="00557316"/>
    <w:rsid w:val="00557AE6"/>
    <w:rsid w:val="0056000D"/>
    <w:rsid w:val="00560EA0"/>
    <w:rsid w:val="00561636"/>
    <w:rsid w:val="005618E4"/>
    <w:rsid w:val="00562ACC"/>
    <w:rsid w:val="00562D9B"/>
    <w:rsid w:val="00562F78"/>
    <w:rsid w:val="00563116"/>
    <w:rsid w:val="00563751"/>
    <w:rsid w:val="00563A57"/>
    <w:rsid w:val="00563C50"/>
    <w:rsid w:val="00563F3B"/>
    <w:rsid w:val="005646F9"/>
    <w:rsid w:val="005658B2"/>
    <w:rsid w:val="005662C1"/>
    <w:rsid w:val="005665C0"/>
    <w:rsid w:val="00566C98"/>
    <w:rsid w:val="00566CEE"/>
    <w:rsid w:val="0056713D"/>
    <w:rsid w:val="0056732C"/>
    <w:rsid w:val="00567344"/>
    <w:rsid w:val="00567488"/>
    <w:rsid w:val="00567C3E"/>
    <w:rsid w:val="00567D41"/>
    <w:rsid w:val="00567E8E"/>
    <w:rsid w:val="005707A5"/>
    <w:rsid w:val="005708A9"/>
    <w:rsid w:val="00571A9F"/>
    <w:rsid w:val="00571B17"/>
    <w:rsid w:val="00571E81"/>
    <w:rsid w:val="005721F4"/>
    <w:rsid w:val="00572564"/>
    <w:rsid w:val="005737EE"/>
    <w:rsid w:val="00573854"/>
    <w:rsid w:val="00573916"/>
    <w:rsid w:val="00573AE7"/>
    <w:rsid w:val="00573F35"/>
    <w:rsid w:val="00574A1E"/>
    <w:rsid w:val="00575257"/>
    <w:rsid w:val="00575336"/>
    <w:rsid w:val="005759BF"/>
    <w:rsid w:val="00576144"/>
    <w:rsid w:val="005763E3"/>
    <w:rsid w:val="00576760"/>
    <w:rsid w:val="005772CF"/>
    <w:rsid w:val="00577F5E"/>
    <w:rsid w:val="005801D8"/>
    <w:rsid w:val="0058047F"/>
    <w:rsid w:val="00580774"/>
    <w:rsid w:val="005808FB"/>
    <w:rsid w:val="00580AD8"/>
    <w:rsid w:val="00581200"/>
    <w:rsid w:val="0058156D"/>
    <w:rsid w:val="00581F13"/>
    <w:rsid w:val="00581F21"/>
    <w:rsid w:val="00582168"/>
    <w:rsid w:val="005823D0"/>
    <w:rsid w:val="00582866"/>
    <w:rsid w:val="00582C69"/>
    <w:rsid w:val="00583147"/>
    <w:rsid w:val="00583424"/>
    <w:rsid w:val="00583F14"/>
    <w:rsid w:val="00584A9D"/>
    <w:rsid w:val="00585521"/>
    <w:rsid w:val="00585639"/>
    <w:rsid w:val="005856DB"/>
    <w:rsid w:val="00585D45"/>
    <w:rsid w:val="00586D22"/>
    <w:rsid w:val="005870C7"/>
    <w:rsid w:val="005876DC"/>
    <w:rsid w:val="005878F3"/>
    <w:rsid w:val="00587908"/>
    <w:rsid w:val="00587B23"/>
    <w:rsid w:val="00587EEB"/>
    <w:rsid w:val="0059008D"/>
    <w:rsid w:val="00590467"/>
    <w:rsid w:val="005906E6"/>
    <w:rsid w:val="0059081E"/>
    <w:rsid w:val="00590DEB"/>
    <w:rsid w:val="00590F90"/>
    <w:rsid w:val="005911C0"/>
    <w:rsid w:val="00591243"/>
    <w:rsid w:val="00591262"/>
    <w:rsid w:val="005916A1"/>
    <w:rsid w:val="00591802"/>
    <w:rsid w:val="00591E70"/>
    <w:rsid w:val="005922BE"/>
    <w:rsid w:val="00592CE4"/>
    <w:rsid w:val="00592EC8"/>
    <w:rsid w:val="005936BC"/>
    <w:rsid w:val="00593A2E"/>
    <w:rsid w:val="0059407B"/>
    <w:rsid w:val="00594096"/>
    <w:rsid w:val="00594555"/>
    <w:rsid w:val="005952A1"/>
    <w:rsid w:val="00595817"/>
    <w:rsid w:val="00595CAB"/>
    <w:rsid w:val="00595D78"/>
    <w:rsid w:val="0059688A"/>
    <w:rsid w:val="00596A61"/>
    <w:rsid w:val="005971E6"/>
    <w:rsid w:val="00597234"/>
    <w:rsid w:val="00597AE9"/>
    <w:rsid w:val="00597E73"/>
    <w:rsid w:val="005A003A"/>
    <w:rsid w:val="005A01C4"/>
    <w:rsid w:val="005A0458"/>
    <w:rsid w:val="005A0675"/>
    <w:rsid w:val="005A0EDB"/>
    <w:rsid w:val="005A16C0"/>
    <w:rsid w:val="005A1C0A"/>
    <w:rsid w:val="005A1D70"/>
    <w:rsid w:val="005A2113"/>
    <w:rsid w:val="005A218F"/>
    <w:rsid w:val="005A2472"/>
    <w:rsid w:val="005A24B3"/>
    <w:rsid w:val="005A29DF"/>
    <w:rsid w:val="005A3415"/>
    <w:rsid w:val="005A36AB"/>
    <w:rsid w:val="005A4726"/>
    <w:rsid w:val="005A47AD"/>
    <w:rsid w:val="005A48DC"/>
    <w:rsid w:val="005A4C30"/>
    <w:rsid w:val="005A4DCA"/>
    <w:rsid w:val="005A4DE5"/>
    <w:rsid w:val="005A5774"/>
    <w:rsid w:val="005A58E8"/>
    <w:rsid w:val="005A59AC"/>
    <w:rsid w:val="005A5ADB"/>
    <w:rsid w:val="005A5C8C"/>
    <w:rsid w:val="005A632A"/>
    <w:rsid w:val="005A7230"/>
    <w:rsid w:val="005A7241"/>
    <w:rsid w:val="005A7500"/>
    <w:rsid w:val="005B0353"/>
    <w:rsid w:val="005B06F5"/>
    <w:rsid w:val="005B0B24"/>
    <w:rsid w:val="005B0F93"/>
    <w:rsid w:val="005B1400"/>
    <w:rsid w:val="005B1A91"/>
    <w:rsid w:val="005B1DC8"/>
    <w:rsid w:val="005B2633"/>
    <w:rsid w:val="005B2693"/>
    <w:rsid w:val="005B2840"/>
    <w:rsid w:val="005B2BCC"/>
    <w:rsid w:val="005B38A2"/>
    <w:rsid w:val="005B3A7F"/>
    <w:rsid w:val="005B3DE0"/>
    <w:rsid w:val="005B3F99"/>
    <w:rsid w:val="005B4C66"/>
    <w:rsid w:val="005B51C0"/>
    <w:rsid w:val="005B5796"/>
    <w:rsid w:val="005B57E7"/>
    <w:rsid w:val="005B5B29"/>
    <w:rsid w:val="005B61E9"/>
    <w:rsid w:val="005B6266"/>
    <w:rsid w:val="005B6674"/>
    <w:rsid w:val="005B68C3"/>
    <w:rsid w:val="005B6BD6"/>
    <w:rsid w:val="005B6C77"/>
    <w:rsid w:val="005B6DEE"/>
    <w:rsid w:val="005B783A"/>
    <w:rsid w:val="005B7D78"/>
    <w:rsid w:val="005B7E3B"/>
    <w:rsid w:val="005C0023"/>
    <w:rsid w:val="005C0229"/>
    <w:rsid w:val="005C02F6"/>
    <w:rsid w:val="005C11BC"/>
    <w:rsid w:val="005C1732"/>
    <w:rsid w:val="005C1A22"/>
    <w:rsid w:val="005C1F66"/>
    <w:rsid w:val="005C1FD4"/>
    <w:rsid w:val="005C24FC"/>
    <w:rsid w:val="005C2656"/>
    <w:rsid w:val="005C2FD1"/>
    <w:rsid w:val="005C30A1"/>
    <w:rsid w:val="005C30B6"/>
    <w:rsid w:val="005C3DF2"/>
    <w:rsid w:val="005C3EAB"/>
    <w:rsid w:val="005C474B"/>
    <w:rsid w:val="005C529E"/>
    <w:rsid w:val="005C54CC"/>
    <w:rsid w:val="005C5782"/>
    <w:rsid w:val="005C5B29"/>
    <w:rsid w:val="005C6888"/>
    <w:rsid w:val="005C69AA"/>
    <w:rsid w:val="005C6BA7"/>
    <w:rsid w:val="005C6C4D"/>
    <w:rsid w:val="005C6DDA"/>
    <w:rsid w:val="005C706B"/>
    <w:rsid w:val="005C70D4"/>
    <w:rsid w:val="005C744E"/>
    <w:rsid w:val="005C7691"/>
    <w:rsid w:val="005C7C07"/>
    <w:rsid w:val="005C7D55"/>
    <w:rsid w:val="005D0365"/>
    <w:rsid w:val="005D0C2B"/>
    <w:rsid w:val="005D0D4E"/>
    <w:rsid w:val="005D0D59"/>
    <w:rsid w:val="005D0D63"/>
    <w:rsid w:val="005D0DDC"/>
    <w:rsid w:val="005D0F81"/>
    <w:rsid w:val="005D1D68"/>
    <w:rsid w:val="005D289F"/>
    <w:rsid w:val="005D3007"/>
    <w:rsid w:val="005D35A3"/>
    <w:rsid w:val="005D3621"/>
    <w:rsid w:val="005D3A81"/>
    <w:rsid w:val="005D4016"/>
    <w:rsid w:val="005D4D80"/>
    <w:rsid w:val="005D5511"/>
    <w:rsid w:val="005D587A"/>
    <w:rsid w:val="005D5938"/>
    <w:rsid w:val="005D5BB8"/>
    <w:rsid w:val="005D5CE7"/>
    <w:rsid w:val="005D6003"/>
    <w:rsid w:val="005D6495"/>
    <w:rsid w:val="005D72D9"/>
    <w:rsid w:val="005D7DEB"/>
    <w:rsid w:val="005D7FD2"/>
    <w:rsid w:val="005E069E"/>
    <w:rsid w:val="005E0B8E"/>
    <w:rsid w:val="005E157D"/>
    <w:rsid w:val="005E1994"/>
    <w:rsid w:val="005E1C95"/>
    <w:rsid w:val="005E2886"/>
    <w:rsid w:val="005E288E"/>
    <w:rsid w:val="005E2A85"/>
    <w:rsid w:val="005E35FF"/>
    <w:rsid w:val="005E456F"/>
    <w:rsid w:val="005E47DF"/>
    <w:rsid w:val="005E52B7"/>
    <w:rsid w:val="005E5303"/>
    <w:rsid w:val="005E5FE9"/>
    <w:rsid w:val="005E62DF"/>
    <w:rsid w:val="005E6F9C"/>
    <w:rsid w:val="005E70BB"/>
    <w:rsid w:val="005E718D"/>
    <w:rsid w:val="005E7466"/>
    <w:rsid w:val="005F0422"/>
    <w:rsid w:val="005F0C56"/>
    <w:rsid w:val="005F0FCA"/>
    <w:rsid w:val="005F11AF"/>
    <w:rsid w:val="005F1209"/>
    <w:rsid w:val="005F1414"/>
    <w:rsid w:val="005F1518"/>
    <w:rsid w:val="005F2368"/>
    <w:rsid w:val="005F2DC2"/>
    <w:rsid w:val="005F3172"/>
    <w:rsid w:val="005F39D7"/>
    <w:rsid w:val="005F3B7B"/>
    <w:rsid w:val="005F3BE6"/>
    <w:rsid w:val="005F3EAA"/>
    <w:rsid w:val="005F4586"/>
    <w:rsid w:val="005F47BC"/>
    <w:rsid w:val="005F47DE"/>
    <w:rsid w:val="005F4846"/>
    <w:rsid w:val="005F4927"/>
    <w:rsid w:val="005F4BD4"/>
    <w:rsid w:val="005F4EEB"/>
    <w:rsid w:val="005F4FA3"/>
    <w:rsid w:val="005F52BD"/>
    <w:rsid w:val="005F52CE"/>
    <w:rsid w:val="005F5310"/>
    <w:rsid w:val="005F5421"/>
    <w:rsid w:val="005F5A49"/>
    <w:rsid w:val="005F5D88"/>
    <w:rsid w:val="005F5F9E"/>
    <w:rsid w:val="005F707B"/>
    <w:rsid w:val="005F71C9"/>
    <w:rsid w:val="005F746A"/>
    <w:rsid w:val="005F77CC"/>
    <w:rsid w:val="005F7AF0"/>
    <w:rsid w:val="0060023C"/>
    <w:rsid w:val="00600304"/>
    <w:rsid w:val="0060081F"/>
    <w:rsid w:val="00600831"/>
    <w:rsid w:val="00600D02"/>
    <w:rsid w:val="006016AE"/>
    <w:rsid w:val="00601B22"/>
    <w:rsid w:val="00602287"/>
    <w:rsid w:val="00602606"/>
    <w:rsid w:val="006026DD"/>
    <w:rsid w:val="006027E1"/>
    <w:rsid w:val="00602CF3"/>
    <w:rsid w:val="00602D9E"/>
    <w:rsid w:val="00602DE4"/>
    <w:rsid w:val="00603694"/>
    <w:rsid w:val="00603F00"/>
    <w:rsid w:val="006041C8"/>
    <w:rsid w:val="006045D5"/>
    <w:rsid w:val="006046B8"/>
    <w:rsid w:val="00604E1C"/>
    <w:rsid w:val="00604FF6"/>
    <w:rsid w:val="006051FD"/>
    <w:rsid w:val="0060563E"/>
    <w:rsid w:val="00605D17"/>
    <w:rsid w:val="00605FC2"/>
    <w:rsid w:val="006065A5"/>
    <w:rsid w:val="0060661E"/>
    <w:rsid w:val="00606E2B"/>
    <w:rsid w:val="00606F70"/>
    <w:rsid w:val="006076FB"/>
    <w:rsid w:val="006078EF"/>
    <w:rsid w:val="00610DB3"/>
    <w:rsid w:val="00611500"/>
    <w:rsid w:val="00611665"/>
    <w:rsid w:val="006117A6"/>
    <w:rsid w:val="00612647"/>
    <w:rsid w:val="006128E2"/>
    <w:rsid w:val="00613139"/>
    <w:rsid w:val="006134B4"/>
    <w:rsid w:val="00614069"/>
    <w:rsid w:val="00614870"/>
    <w:rsid w:val="00614B35"/>
    <w:rsid w:val="00614D9A"/>
    <w:rsid w:val="00614F79"/>
    <w:rsid w:val="006159F9"/>
    <w:rsid w:val="00617105"/>
    <w:rsid w:val="00617396"/>
    <w:rsid w:val="00620B95"/>
    <w:rsid w:val="00620E81"/>
    <w:rsid w:val="006215BC"/>
    <w:rsid w:val="00621C49"/>
    <w:rsid w:val="0062250D"/>
    <w:rsid w:val="0062255A"/>
    <w:rsid w:val="006225B8"/>
    <w:rsid w:val="00622B78"/>
    <w:rsid w:val="0062312A"/>
    <w:rsid w:val="006231AE"/>
    <w:rsid w:val="00623367"/>
    <w:rsid w:val="006234EB"/>
    <w:rsid w:val="00623580"/>
    <w:rsid w:val="00623775"/>
    <w:rsid w:val="0062385D"/>
    <w:rsid w:val="00623869"/>
    <w:rsid w:val="00623B54"/>
    <w:rsid w:val="00623EC5"/>
    <w:rsid w:val="00623FB2"/>
    <w:rsid w:val="00624C7D"/>
    <w:rsid w:val="00625278"/>
    <w:rsid w:val="0062534C"/>
    <w:rsid w:val="006253C0"/>
    <w:rsid w:val="0062543A"/>
    <w:rsid w:val="00625527"/>
    <w:rsid w:val="00625C8E"/>
    <w:rsid w:val="00626270"/>
    <w:rsid w:val="00627043"/>
    <w:rsid w:val="00627460"/>
    <w:rsid w:val="00630195"/>
    <w:rsid w:val="0063040F"/>
    <w:rsid w:val="00630673"/>
    <w:rsid w:val="00631F92"/>
    <w:rsid w:val="00632113"/>
    <w:rsid w:val="00632214"/>
    <w:rsid w:val="006324E8"/>
    <w:rsid w:val="00632703"/>
    <w:rsid w:val="0063279D"/>
    <w:rsid w:val="00632BAA"/>
    <w:rsid w:val="00632C68"/>
    <w:rsid w:val="006331C2"/>
    <w:rsid w:val="00633310"/>
    <w:rsid w:val="006335EF"/>
    <w:rsid w:val="006337F2"/>
    <w:rsid w:val="00633B44"/>
    <w:rsid w:val="00633CDA"/>
    <w:rsid w:val="00633EF0"/>
    <w:rsid w:val="00633F1B"/>
    <w:rsid w:val="00634F30"/>
    <w:rsid w:val="00635A70"/>
    <w:rsid w:val="00635B0C"/>
    <w:rsid w:val="00636A23"/>
    <w:rsid w:val="006373B1"/>
    <w:rsid w:val="006378F6"/>
    <w:rsid w:val="00637C21"/>
    <w:rsid w:val="00637E7C"/>
    <w:rsid w:val="006401C0"/>
    <w:rsid w:val="006401CB"/>
    <w:rsid w:val="00640308"/>
    <w:rsid w:val="0064043D"/>
    <w:rsid w:val="00640B5E"/>
    <w:rsid w:val="00641361"/>
    <w:rsid w:val="0064158C"/>
    <w:rsid w:val="006415E4"/>
    <w:rsid w:val="00641D13"/>
    <w:rsid w:val="00642685"/>
    <w:rsid w:val="006427B8"/>
    <w:rsid w:val="00642955"/>
    <w:rsid w:val="00642BB1"/>
    <w:rsid w:val="00643032"/>
    <w:rsid w:val="00643610"/>
    <w:rsid w:val="00643BCE"/>
    <w:rsid w:val="00643BF8"/>
    <w:rsid w:val="00644029"/>
    <w:rsid w:val="006449C0"/>
    <w:rsid w:val="00644A39"/>
    <w:rsid w:val="00644DE3"/>
    <w:rsid w:val="00645126"/>
    <w:rsid w:val="00645132"/>
    <w:rsid w:val="00645298"/>
    <w:rsid w:val="006459CE"/>
    <w:rsid w:val="00645B9B"/>
    <w:rsid w:val="00645C12"/>
    <w:rsid w:val="00645E33"/>
    <w:rsid w:val="0064604B"/>
    <w:rsid w:val="00646380"/>
    <w:rsid w:val="00646766"/>
    <w:rsid w:val="00646833"/>
    <w:rsid w:val="00646B71"/>
    <w:rsid w:val="0064775E"/>
    <w:rsid w:val="006477E6"/>
    <w:rsid w:val="0064798C"/>
    <w:rsid w:val="00650538"/>
    <w:rsid w:val="00650D2E"/>
    <w:rsid w:val="00650DBF"/>
    <w:rsid w:val="00650EF1"/>
    <w:rsid w:val="00651810"/>
    <w:rsid w:val="00651CD6"/>
    <w:rsid w:val="00651E16"/>
    <w:rsid w:val="00651F21"/>
    <w:rsid w:val="00652332"/>
    <w:rsid w:val="006529BA"/>
    <w:rsid w:val="00652EFF"/>
    <w:rsid w:val="006531D0"/>
    <w:rsid w:val="0065336E"/>
    <w:rsid w:val="0065340D"/>
    <w:rsid w:val="00653930"/>
    <w:rsid w:val="00653ADA"/>
    <w:rsid w:val="00653BC4"/>
    <w:rsid w:val="00653CD8"/>
    <w:rsid w:val="00653D7D"/>
    <w:rsid w:val="00654696"/>
    <w:rsid w:val="0065482D"/>
    <w:rsid w:val="00654D9A"/>
    <w:rsid w:val="00654DD7"/>
    <w:rsid w:val="00654ED5"/>
    <w:rsid w:val="006550F6"/>
    <w:rsid w:val="00655D5D"/>
    <w:rsid w:val="00655E1E"/>
    <w:rsid w:val="0065644E"/>
    <w:rsid w:val="0065646B"/>
    <w:rsid w:val="0065648A"/>
    <w:rsid w:val="006565D1"/>
    <w:rsid w:val="00657379"/>
    <w:rsid w:val="00657656"/>
    <w:rsid w:val="0065789E"/>
    <w:rsid w:val="0065799F"/>
    <w:rsid w:val="00660764"/>
    <w:rsid w:val="00660B11"/>
    <w:rsid w:val="00660D6F"/>
    <w:rsid w:val="00660E26"/>
    <w:rsid w:val="0066107D"/>
    <w:rsid w:val="006611CD"/>
    <w:rsid w:val="00661C33"/>
    <w:rsid w:val="00661D0A"/>
    <w:rsid w:val="00661DE2"/>
    <w:rsid w:val="00661E4B"/>
    <w:rsid w:val="006626F5"/>
    <w:rsid w:val="0066279C"/>
    <w:rsid w:val="00662E7B"/>
    <w:rsid w:val="00662EE8"/>
    <w:rsid w:val="006635D2"/>
    <w:rsid w:val="0066383E"/>
    <w:rsid w:val="00664531"/>
    <w:rsid w:val="00664597"/>
    <w:rsid w:val="00664B87"/>
    <w:rsid w:val="00664BDA"/>
    <w:rsid w:val="0066546D"/>
    <w:rsid w:val="00665572"/>
    <w:rsid w:val="006661BD"/>
    <w:rsid w:val="00666CEF"/>
    <w:rsid w:val="006671B2"/>
    <w:rsid w:val="006671C4"/>
    <w:rsid w:val="00670484"/>
    <w:rsid w:val="0067060A"/>
    <w:rsid w:val="00670BC2"/>
    <w:rsid w:val="00670E8C"/>
    <w:rsid w:val="006712BC"/>
    <w:rsid w:val="006712D2"/>
    <w:rsid w:val="00671802"/>
    <w:rsid w:val="00671E9D"/>
    <w:rsid w:val="006722CB"/>
    <w:rsid w:val="00672345"/>
    <w:rsid w:val="00672498"/>
    <w:rsid w:val="00672984"/>
    <w:rsid w:val="00672A31"/>
    <w:rsid w:val="00672A4D"/>
    <w:rsid w:val="006730F8"/>
    <w:rsid w:val="0067319D"/>
    <w:rsid w:val="006734C6"/>
    <w:rsid w:val="0067351E"/>
    <w:rsid w:val="00673549"/>
    <w:rsid w:val="00673A64"/>
    <w:rsid w:val="006745C3"/>
    <w:rsid w:val="00674637"/>
    <w:rsid w:val="00674A5B"/>
    <w:rsid w:val="00674BD3"/>
    <w:rsid w:val="00674CD6"/>
    <w:rsid w:val="006751A7"/>
    <w:rsid w:val="0067596E"/>
    <w:rsid w:val="00675B71"/>
    <w:rsid w:val="00675CD3"/>
    <w:rsid w:val="0067600B"/>
    <w:rsid w:val="0067618C"/>
    <w:rsid w:val="0067680C"/>
    <w:rsid w:val="00676AA5"/>
    <w:rsid w:val="00676DC9"/>
    <w:rsid w:val="00676DE7"/>
    <w:rsid w:val="006777CB"/>
    <w:rsid w:val="00677CB0"/>
    <w:rsid w:val="006800BC"/>
    <w:rsid w:val="0068021C"/>
    <w:rsid w:val="0068099C"/>
    <w:rsid w:val="00680AC5"/>
    <w:rsid w:val="00680AEC"/>
    <w:rsid w:val="00681059"/>
    <w:rsid w:val="00681946"/>
    <w:rsid w:val="00681CB1"/>
    <w:rsid w:val="00681D6B"/>
    <w:rsid w:val="006825DD"/>
    <w:rsid w:val="00682F4C"/>
    <w:rsid w:val="00682FB2"/>
    <w:rsid w:val="006832DE"/>
    <w:rsid w:val="006834A3"/>
    <w:rsid w:val="0068388A"/>
    <w:rsid w:val="00683BF1"/>
    <w:rsid w:val="00683C47"/>
    <w:rsid w:val="00683F8D"/>
    <w:rsid w:val="0068405B"/>
    <w:rsid w:val="00684532"/>
    <w:rsid w:val="00684905"/>
    <w:rsid w:val="006849F6"/>
    <w:rsid w:val="00684BEA"/>
    <w:rsid w:val="00684F3A"/>
    <w:rsid w:val="006853C3"/>
    <w:rsid w:val="0068541C"/>
    <w:rsid w:val="00685585"/>
    <w:rsid w:val="00685875"/>
    <w:rsid w:val="00685936"/>
    <w:rsid w:val="00685C63"/>
    <w:rsid w:val="00685FF7"/>
    <w:rsid w:val="00686780"/>
    <w:rsid w:val="00686BE0"/>
    <w:rsid w:val="00687661"/>
    <w:rsid w:val="00687680"/>
    <w:rsid w:val="00687B08"/>
    <w:rsid w:val="00687C85"/>
    <w:rsid w:val="00687CA1"/>
    <w:rsid w:val="00687DCB"/>
    <w:rsid w:val="00690333"/>
    <w:rsid w:val="006903A7"/>
    <w:rsid w:val="00690943"/>
    <w:rsid w:val="00690960"/>
    <w:rsid w:val="006909DD"/>
    <w:rsid w:val="00690F16"/>
    <w:rsid w:val="006910B2"/>
    <w:rsid w:val="00691163"/>
    <w:rsid w:val="0069116B"/>
    <w:rsid w:val="00691343"/>
    <w:rsid w:val="00691365"/>
    <w:rsid w:val="00691577"/>
    <w:rsid w:val="00691A51"/>
    <w:rsid w:val="006921E1"/>
    <w:rsid w:val="00692E92"/>
    <w:rsid w:val="006938B1"/>
    <w:rsid w:val="006938DE"/>
    <w:rsid w:val="006940C3"/>
    <w:rsid w:val="0069489E"/>
    <w:rsid w:val="00694A61"/>
    <w:rsid w:val="00695370"/>
    <w:rsid w:val="00695618"/>
    <w:rsid w:val="00695735"/>
    <w:rsid w:val="00696661"/>
    <w:rsid w:val="00697406"/>
    <w:rsid w:val="006975C6"/>
    <w:rsid w:val="00697E7F"/>
    <w:rsid w:val="006A0500"/>
    <w:rsid w:val="006A1991"/>
    <w:rsid w:val="006A19F3"/>
    <w:rsid w:val="006A1A12"/>
    <w:rsid w:val="006A1BCF"/>
    <w:rsid w:val="006A2020"/>
    <w:rsid w:val="006A21E5"/>
    <w:rsid w:val="006A23FD"/>
    <w:rsid w:val="006A246A"/>
    <w:rsid w:val="006A2D77"/>
    <w:rsid w:val="006A322E"/>
    <w:rsid w:val="006A3552"/>
    <w:rsid w:val="006A3ABD"/>
    <w:rsid w:val="006A4307"/>
    <w:rsid w:val="006A4333"/>
    <w:rsid w:val="006A4388"/>
    <w:rsid w:val="006A4701"/>
    <w:rsid w:val="006A4A45"/>
    <w:rsid w:val="006A5A78"/>
    <w:rsid w:val="006A6101"/>
    <w:rsid w:val="006A649B"/>
    <w:rsid w:val="006A6D2B"/>
    <w:rsid w:val="006A6FC4"/>
    <w:rsid w:val="006A704A"/>
    <w:rsid w:val="006A7127"/>
    <w:rsid w:val="006A7142"/>
    <w:rsid w:val="006A73B7"/>
    <w:rsid w:val="006A7465"/>
    <w:rsid w:val="006A7586"/>
    <w:rsid w:val="006A796B"/>
    <w:rsid w:val="006B02C7"/>
    <w:rsid w:val="006B062C"/>
    <w:rsid w:val="006B090A"/>
    <w:rsid w:val="006B0D4C"/>
    <w:rsid w:val="006B2539"/>
    <w:rsid w:val="006B2B32"/>
    <w:rsid w:val="006B360E"/>
    <w:rsid w:val="006B373C"/>
    <w:rsid w:val="006B378A"/>
    <w:rsid w:val="006B381A"/>
    <w:rsid w:val="006B3F50"/>
    <w:rsid w:val="006B4265"/>
    <w:rsid w:val="006B46CA"/>
    <w:rsid w:val="006B4CB8"/>
    <w:rsid w:val="006B531C"/>
    <w:rsid w:val="006B5662"/>
    <w:rsid w:val="006B593D"/>
    <w:rsid w:val="006B5BB0"/>
    <w:rsid w:val="006B6172"/>
    <w:rsid w:val="006B61B4"/>
    <w:rsid w:val="006B63A0"/>
    <w:rsid w:val="006B6526"/>
    <w:rsid w:val="006B66A0"/>
    <w:rsid w:val="006B6773"/>
    <w:rsid w:val="006B67D1"/>
    <w:rsid w:val="006B71D7"/>
    <w:rsid w:val="006B7659"/>
    <w:rsid w:val="006B765B"/>
    <w:rsid w:val="006B7BE1"/>
    <w:rsid w:val="006B7D86"/>
    <w:rsid w:val="006B7FBC"/>
    <w:rsid w:val="006C0101"/>
    <w:rsid w:val="006C0721"/>
    <w:rsid w:val="006C0B26"/>
    <w:rsid w:val="006C15AE"/>
    <w:rsid w:val="006C1A56"/>
    <w:rsid w:val="006C1D2B"/>
    <w:rsid w:val="006C1EAB"/>
    <w:rsid w:val="006C2492"/>
    <w:rsid w:val="006C282A"/>
    <w:rsid w:val="006C28E0"/>
    <w:rsid w:val="006C327B"/>
    <w:rsid w:val="006C355F"/>
    <w:rsid w:val="006C3576"/>
    <w:rsid w:val="006C3657"/>
    <w:rsid w:val="006C38AB"/>
    <w:rsid w:val="006C39EE"/>
    <w:rsid w:val="006C3E43"/>
    <w:rsid w:val="006C40A5"/>
    <w:rsid w:val="006C44C0"/>
    <w:rsid w:val="006C4A78"/>
    <w:rsid w:val="006C4C7F"/>
    <w:rsid w:val="006C51F5"/>
    <w:rsid w:val="006C560A"/>
    <w:rsid w:val="006C5E80"/>
    <w:rsid w:val="006C5F58"/>
    <w:rsid w:val="006C638E"/>
    <w:rsid w:val="006C6464"/>
    <w:rsid w:val="006C66EB"/>
    <w:rsid w:val="006C698F"/>
    <w:rsid w:val="006C7236"/>
    <w:rsid w:val="006C72AE"/>
    <w:rsid w:val="006C77A1"/>
    <w:rsid w:val="006D03FF"/>
    <w:rsid w:val="006D0BB1"/>
    <w:rsid w:val="006D0D4C"/>
    <w:rsid w:val="006D0DC7"/>
    <w:rsid w:val="006D1351"/>
    <w:rsid w:val="006D1358"/>
    <w:rsid w:val="006D173C"/>
    <w:rsid w:val="006D1803"/>
    <w:rsid w:val="006D256A"/>
    <w:rsid w:val="006D2E55"/>
    <w:rsid w:val="006D3201"/>
    <w:rsid w:val="006D3268"/>
    <w:rsid w:val="006D339F"/>
    <w:rsid w:val="006D340E"/>
    <w:rsid w:val="006D36E3"/>
    <w:rsid w:val="006D3DF7"/>
    <w:rsid w:val="006D426D"/>
    <w:rsid w:val="006D43A2"/>
    <w:rsid w:val="006D4ABD"/>
    <w:rsid w:val="006D4FAC"/>
    <w:rsid w:val="006D522B"/>
    <w:rsid w:val="006D5264"/>
    <w:rsid w:val="006D5455"/>
    <w:rsid w:val="006D5918"/>
    <w:rsid w:val="006D5C77"/>
    <w:rsid w:val="006D6188"/>
    <w:rsid w:val="006D69B3"/>
    <w:rsid w:val="006D6C2B"/>
    <w:rsid w:val="006D6EAC"/>
    <w:rsid w:val="006D72B5"/>
    <w:rsid w:val="006D764D"/>
    <w:rsid w:val="006D78E3"/>
    <w:rsid w:val="006D7EA5"/>
    <w:rsid w:val="006E03B5"/>
    <w:rsid w:val="006E0E50"/>
    <w:rsid w:val="006E16AF"/>
    <w:rsid w:val="006E1892"/>
    <w:rsid w:val="006E19A5"/>
    <w:rsid w:val="006E1AAA"/>
    <w:rsid w:val="006E1C30"/>
    <w:rsid w:val="006E1FB2"/>
    <w:rsid w:val="006E216C"/>
    <w:rsid w:val="006E23A4"/>
    <w:rsid w:val="006E24CD"/>
    <w:rsid w:val="006E26F0"/>
    <w:rsid w:val="006E29CC"/>
    <w:rsid w:val="006E29EA"/>
    <w:rsid w:val="006E30FC"/>
    <w:rsid w:val="006E32A6"/>
    <w:rsid w:val="006E383A"/>
    <w:rsid w:val="006E407C"/>
    <w:rsid w:val="006E40D3"/>
    <w:rsid w:val="006E469D"/>
    <w:rsid w:val="006E47A2"/>
    <w:rsid w:val="006E4842"/>
    <w:rsid w:val="006E4868"/>
    <w:rsid w:val="006E51C2"/>
    <w:rsid w:val="006E5615"/>
    <w:rsid w:val="006E576B"/>
    <w:rsid w:val="006E5AAE"/>
    <w:rsid w:val="006E5B91"/>
    <w:rsid w:val="006E5B94"/>
    <w:rsid w:val="006E5E87"/>
    <w:rsid w:val="006E5F3A"/>
    <w:rsid w:val="006E6205"/>
    <w:rsid w:val="006E64D4"/>
    <w:rsid w:val="006E64DE"/>
    <w:rsid w:val="006E6775"/>
    <w:rsid w:val="006E69B5"/>
    <w:rsid w:val="006E6DED"/>
    <w:rsid w:val="006E7F0C"/>
    <w:rsid w:val="006F003C"/>
    <w:rsid w:val="006F00C9"/>
    <w:rsid w:val="006F04B2"/>
    <w:rsid w:val="006F0905"/>
    <w:rsid w:val="006F0B9D"/>
    <w:rsid w:val="006F0CF6"/>
    <w:rsid w:val="006F0ED6"/>
    <w:rsid w:val="006F12DA"/>
    <w:rsid w:val="006F15E9"/>
    <w:rsid w:val="006F16CE"/>
    <w:rsid w:val="006F1B6B"/>
    <w:rsid w:val="006F1D9C"/>
    <w:rsid w:val="006F2016"/>
    <w:rsid w:val="006F28CE"/>
    <w:rsid w:val="006F2AC1"/>
    <w:rsid w:val="006F2C5C"/>
    <w:rsid w:val="006F2C94"/>
    <w:rsid w:val="006F3788"/>
    <w:rsid w:val="006F3D03"/>
    <w:rsid w:val="006F4E82"/>
    <w:rsid w:val="006F599D"/>
    <w:rsid w:val="006F5E65"/>
    <w:rsid w:val="006F62C6"/>
    <w:rsid w:val="006F6477"/>
    <w:rsid w:val="006F761C"/>
    <w:rsid w:val="006F77BF"/>
    <w:rsid w:val="007005FD"/>
    <w:rsid w:val="00700F98"/>
    <w:rsid w:val="00700FEA"/>
    <w:rsid w:val="00701565"/>
    <w:rsid w:val="0070159C"/>
    <w:rsid w:val="007017E7"/>
    <w:rsid w:val="00702635"/>
    <w:rsid w:val="00702680"/>
    <w:rsid w:val="00702DD0"/>
    <w:rsid w:val="00702EAE"/>
    <w:rsid w:val="00702F10"/>
    <w:rsid w:val="007033F6"/>
    <w:rsid w:val="007034E2"/>
    <w:rsid w:val="0070390A"/>
    <w:rsid w:val="00703BE5"/>
    <w:rsid w:val="0070410F"/>
    <w:rsid w:val="00704201"/>
    <w:rsid w:val="00704D95"/>
    <w:rsid w:val="007051A4"/>
    <w:rsid w:val="0070588E"/>
    <w:rsid w:val="00705971"/>
    <w:rsid w:val="00705C26"/>
    <w:rsid w:val="00705CB2"/>
    <w:rsid w:val="00705E47"/>
    <w:rsid w:val="00706143"/>
    <w:rsid w:val="00706779"/>
    <w:rsid w:val="007067C3"/>
    <w:rsid w:val="00706A6C"/>
    <w:rsid w:val="00706D9B"/>
    <w:rsid w:val="00706DE2"/>
    <w:rsid w:val="007075A6"/>
    <w:rsid w:val="00707789"/>
    <w:rsid w:val="00707C37"/>
    <w:rsid w:val="00710098"/>
    <w:rsid w:val="00710A14"/>
    <w:rsid w:val="00710ADE"/>
    <w:rsid w:val="00710B29"/>
    <w:rsid w:val="00710B61"/>
    <w:rsid w:val="00710C24"/>
    <w:rsid w:val="00710DBD"/>
    <w:rsid w:val="00710E33"/>
    <w:rsid w:val="00710F1A"/>
    <w:rsid w:val="007113BA"/>
    <w:rsid w:val="00711C8E"/>
    <w:rsid w:val="00712FB0"/>
    <w:rsid w:val="0071301B"/>
    <w:rsid w:val="00713022"/>
    <w:rsid w:val="0071330E"/>
    <w:rsid w:val="007134CC"/>
    <w:rsid w:val="00713C9D"/>
    <w:rsid w:val="00713DF9"/>
    <w:rsid w:val="007140BA"/>
    <w:rsid w:val="0071437D"/>
    <w:rsid w:val="0071495F"/>
    <w:rsid w:val="007149AB"/>
    <w:rsid w:val="00714B14"/>
    <w:rsid w:val="00715191"/>
    <w:rsid w:val="0071526D"/>
    <w:rsid w:val="0071540E"/>
    <w:rsid w:val="0071560F"/>
    <w:rsid w:val="007159CB"/>
    <w:rsid w:val="0071607B"/>
    <w:rsid w:val="00716960"/>
    <w:rsid w:val="0071714E"/>
    <w:rsid w:val="0071728C"/>
    <w:rsid w:val="0071734A"/>
    <w:rsid w:val="007173E5"/>
    <w:rsid w:val="00717673"/>
    <w:rsid w:val="00717876"/>
    <w:rsid w:val="00717E96"/>
    <w:rsid w:val="00717F91"/>
    <w:rsid w:val="00720E11"/>
    <w:rsid w:val="00720E5C"/>
    <w:rsid w:val="007218D7"/>
    <w:rsid w:val="00721A51"/>
    <w:rsid w:val="007222CF"/>
    <w:rsid w:val="00722515"/>
    <w:rsid w:val="00722B65"/>
    <w:rsid w:val="00723548"/>
    <w:rsid w:val="007235AB"/>
    <w:rsid w:val="00723890"/>
    <w:rsid w:val="007239E3"/>
    <w:rsid w:val="00723A8B"/>
    <w:rsid w:val="00723F85"/>
    <w:rsid w:val="007245F6"/>
    <w:rsid w:val="0072473C"/>
    <w:rsid w:val="00724B2B"/>
    <w:rsid w:val="00725235"/>
    <w:rsid w:val="00725D56"/>
    <w:rsid w:val="00725DA6"/>
    <w:rsid w:val="007264A9"/>
    <w:rsid w:val="00726A8B"/>
    <w:rsid w:val="00726BE0"/>
    <w:rsid w:val="00726C66"/>
    <w:rsid w:val="00726E5A"/>
    <w:rsid w:val="00727238"/>
    <w:rsid w:val="0072779A"/>
    <w:rsid w:val="007277FF"/>
    <w:rsid w:val="007303C4"/>
    <w:rsid w:val="00730582"/>
    <w:rsid w:val="00730A85"/>
    <w:rsid w:val="00730AD9"/>
    <w:rsid w:val="00730B67"/>
    <w:rsid w:val="00730F4F"/>
    <w:rsid w:val="007311B1"/>
    <w:rsid w:val="007312F2"/>
    <w:rsid w:val="00731400"/>
    <w:rsid w:val="007317F0"/>
    <w:rsid w:val="00731870"/>
    <w:rsid w:val="00732058"/>
    <w:rsid w:val="007321C4"/>
    <w:rsid w:val="00732244"/>
    <w:rsid w:val="00732816"/>
    <w:rsid w:val="00732BC9"/>
    <w:rsid w:val="00733249"/>
    <w:rsid w:val="00733497"/>
    <w:rsid w:val="00734A3C"/>
    <w:rsid w:val="00735BB2"/>
    <w:rsid w:val="00735D61"/>
    <w:rsid w:val="00735FFA"/>
    <w:rsid w:val="00736266"/>
    <w:rsid w:val="00736A32"/>
    <w:rsid w:val="00736CA2"/>
    <w:rsid w:val="00737229"/>
    <w:rsid w:val="0073723D"/>
    <w:rsid w:val="0073723F"/>
    <w:rsid w:val="007373D2"/>
    <w:rsid w:val="00737C0A"/>
    <w:rsid w:val="00740097"/>
    <w:rsid w:val="00740C3E"/>
    <w:rsid w:val="00741131"/>
    <w:rsid w:val="0074114B"/>
    <w:rsid w:val="007411FE"/>
    <w:rsid w:val="00741C0F"/>
    <w:rsid w:val="00742446"/>
    <w:rsid w:val="007427A7"/>
    <w:rsid w:val="00742847"/>
    <w:rsid w:val="00742A51"/>
    <w:rsid w:val="0074317D"/>
    <w:rsid w:val="00743657"/>
    <w:rsid w:val="007436E7"/>
    <w:rsid w:val="00743FF5"/>
    <w:rsid w:val="007444E3"/>
    <w:rsid w:val="00744EC8"/>
    <w:rsid w:val="007450B2"/>
    <w:rsid w:val="007453D2"/>
    <w:rsid w:val="007457C3"/>
    <w:rsid w:val="00745DDE"/>
    <w:rsid w:val="00745FC1"/>
    <w:rsid w:val="00746437"/>
    <w:rsid w:val="007465E0"/>
    <w:rsid w:val="0074686D"/>
    <w:rsid w:val="00746BB3"/>
    <w:rsid w:val="00746DB4"/>
    <w:rsid w:val="00746EAB"/>
    <w:rsid w:val="007470DE"/>
    <w:rsid w:val="007473CF"/>
    <w:rsid w:val="0074751F"/>
    <w:rsid w:val="00747E18"/>
    <w:rsid w:val="007500C0"/>
    <w:rsid w:val="0075019B"/>
    <w:rsid w:val="00750A9B"/>
    <w:rsid w:val="00751946"/>
    <w:rsid w:val="00751E79"/>
    <w:rsid w:val="007523CB"/>
    <w:rsid w:val="007525BD"/>
    <w:rsid w:val="007528CB"/>
    <w:rsid w:val="00753048"/>
    <w:rsid w:val="007530FD"/>
    <w:rsid w:val="00753424"/>
    <w:rsid w:val="007535C9"/>
    <w:rsid w:val="007539F8"/>
    <w:rsid w:val="00753AF3"/>
    <w:rsid w:val="00754151"/>
    <w:rsid w:val="0075453B"/>
    <w:rsid w:val="00754555"/>
    <w:rsid w:val="007545A9"/>
    <w:rsid w:val="007548B7"/>
    <w:rsid w:val="00755D8F"/>
    <w:rsid w:val="007560B1"/>
    <w:rsid w:val="00756A94"/>
    <w:rsid w:val="00760E6B"/>
    <w:rsid w:val="00761041"/>
    <w:rsid w:val="007610BF"/>
    <w:rsid w:val="0076186D"/>
    <w:rsid w:val="00761AC1"/>
    <w:rsid w:val="00761AD4"/>
    <w:rsid w:val="00761CCC"/>
    <w:rsid w:val="00761D1F"/>
    <w:rsid w:val="00761E77"/>
    <w:rsid w:val="00761ED3"/>
    <w:rsid w:val="007625EE"/>
    <w:rsid w:val="00762E53"/>
    <w:rsid w:val="0076317F"/>
    <w:rsid w:val="007637CD"/>
    <w:rsid w:val="00763969"/>
    <w:rsid w:val="007642BD"/>
    <w:rsid w:val="0076494B"/>
    <w:rsid w:val="00764F46"/>
    <w:rsid w:val="00765388"/>
    <w:rsid w:val="007656E5"/>
    <w:rsid w:val="0076667A"/>
    <w:rsid w:val="007667A4"/>
    <w:rsid w:val="0076707E"/>
    <w:rsid w:val="007670BA"/>
    <w:rsid w:val="00767632"/>
    <w:rsid w:val="0076776A"/>
    <w:rsid w:val="00767BB1"/>
    <w:rsid w:val="00767E74"/>
    <w:rsid w:val="00770814"/>
    <w:rsid w:val="00770C13"/>
    <w:rsid w:val="00770D37"/>
    <w:rsid w:val="00770DC3"/>
    <w:rsid w:val="00770DEB"/>
    <w:rsid w:val="0077159C"/>
    <w:rsid w:val="00771DA9"/>
    <w:rsid w:val="00772221"/>
    <w:rsid w:val="00772DFB"/>
    <w:rsid w:val="00773B24"/>
    <w:rsid w:val="00773D86"/>
    <w:rsid w:val="007742CD"/>
    <w:rsid w:val="007743D0"/>
    <w:rsid w:val="007743F2"/>
    <w:rsid w:val="007744EF"/>
    <w:rsid w:val="007745F9"/>
    <w:rsid w:val="00774763"/>
    <w:rsid w:val="00774F9A"/>
    <w:rsid w:val="0077523D"/>
    <w:rsid w:val="0077544A"/>
    <w:rsid w:val="007754A8"/>
    <w:rsid w:val="00775814"/>
    <w:rsid w:val="00775F3E"/>
    <w:rsid w:val="00775F92"/>
    <w:rsid w:val="007766F1"/>
    <w:rsid w:val="00776B99"/>
    <w:rsid w:val="00777219"/>
    <w:rsid w:val="00777630"/>
    <w:rsid w:val="00777D1B"/>
    <w:rsid w:val="0078037B"/>
    <w:rsid w:val="00780E5E"/>
    <w:rsid w:val="0078111A"/>
    <w:rsid w:val="007812C8"/>
    <w:rsid w:val="00781C67"/>
    <w:rsid w:val="00781E60"/>
    <w:rsid w:val="00782195"/>
    <w:rsid w:val="0078283A"/>
    <w:rsid w:val="00782918"/>
    <w:rsid w:val="00782963"/>
    <w:rsid w:val="0078352C"/>
    <w:rsid w:val="00783C15"/>
    <w:rsid w:val="007840AD"/>
    <w:rsid w:val="00784378"/>
    <w:rsid w:val="00784610"/>
    <w:rsid w:val="00784826"/>
    <w:rsid w:val="00784B3C"/>
    <w:rsid w:val="0078546F"/>
    <w:rsid w:val="007855CC"/>
    <w:rsid w:val="00785F19"/>
    <w:rsid w:val="00786010"/>
    <w:rsid w:val="0078621C"/>
    <w:rsid w:val="00786AC8"/>
    <w:rsid w:val="007874AC"/>
    <w:rsid w:val="00787503"/>
    <w:rsid w:val="00787593"/>
    <w:rsid w:val="0078760D"/>
    <w:rsid w:val="00787C69"/>
    <w:rsid w:val="007907A2"/>
    <w:rsid w:val="007907C7"/>
    <w:rsid w:val="00790CAA"/>
    <w:rsid w:val="00791242"/>
    <w:rsid w:val="00791A71"/>
    <w:rsid w:val="00791BA6"/>
    <w:rsid w:val="00791D74"/>
    <w:rsid w:val="00792EF1"/>
    <w:rsid w:val="00793372"/>
    <w:rsid w:val="007935E9"/>
    <w:rsid w:val="00793664"/>
    <w:rsid w:val="0079385A"/>
    <w:rsid w:val="00793B61"/>
    <w:rsid w:val="00793C2C"/>
    <w:rsid w:val="00793C44"/>
    <w:rsid w:val="0079429D"/>
    <w:rsid w:val="007943C9"/>
    <w:rsid w:val="00794930"/>
    <w:rsid w:val="00794D35"/>
    <w:rsid w:val="00794EFB"/>
    <w:rsid w:val="00795143"/>
    <w:rsid w:val="00795751"/>
    <w:rsid w:val="00795B50"/>
    <w:rsid w:val="00795EE0"/>
    <w:rsid w:val="00795FD2"/>
    <w:rsid w:val="007960C5"/>
    <w:rsid w:val="00796352"/>
    <w:rsid w:val="00796415"/>
    <w:rsid w:val="00796E80"/>
    <w:rsid w:val="00796EBD"/>
    <w:rsid w:val="00797B56"/>
    <w:rsid w:val="00797E1C"/>
    <w:rsid w:val="00797F54"/>
    <w:rsid w:val="007A04DD"/>
    <w:rsid w:val="007A0793"/>
    <w:rsid w:val="007A0E7A"/>
    <w:rsid w:val="007A18F3"/>
    <w:rsid w:val="007A1B9F"/>
    <w:rsid w:val="007A22C3"/>
    <w:rsid w:val="007A2778"/>
    <w:rsid w:val="007A31C1"/>
    <w:rsid w:val="007A3D3F"/>
    <w:rsid w:val="007A4219"/>
    <w:rsid w:val="007A421D"/>
    <w:rsid w:val="007A43EE"/>
    <w:rsid w:val="007A45E8"/>
    <w:rsid w:val="007A463F"/>
    <w:rsid w:val="007A4B11"/>
    <w:rsid w:val="007A4C7C"/>
    <w:rsid w:val="007A5091"/>
    <w:rsid w:val="007A612A"/>
    <w:rsid w:val="007A6B09"/>
    <w:rsid w:val="007A6E04"/>
    <w:rsid w:val="007A7060"/>
    <w:rsid w:val="007A70B1"/>
    <w:rsid w:val="007A70CB"/>
    <w:rsid w:val="007A7464"/>
    <w:rsid w:val="007A7B73"/>
    <w:rsid w:val="007A7BD2"/>
    <w:rsid w:val="007A7FAA"/>
    <w:rsid w:val="007B0853"/>
    <w:rsid w:val="007B0C18"/>
    <w:rsid w:val="007B0CDC"/>
    <w:rsid w:val="007B1BE3"/>
    <w:rsid w:val="007B1C70"/>
    <w:rsid w:val="007B21BA"/>
    <w:rsid w:val="007B2615"/>
    <w:rsid w:val="007B2777"/>
    <w:rsid w:val="007B2883"/>
    <w:rsid w:val="007B2BF1"/>
    <w:rsid w:val="007B2E06"/>
    <w:rsid w:val="007B397C"/>
    <w:rsid w:val="007B3B7B"/>
    <w:rsid w:val="007B4101"/>
    <w:rsid w:val="007B4334"/>
    <w:rsid w:val="007B46C0"/>
    <w:rsid w:val="007B4ADC"/>
    <w:rsid w:val="007B4FFA"/>
    <w:rsid w:val="007B52DE"/>
    <w:rsid w:val="007B5872"/>
    <w:rsid w:val="007B5BBD"/>
    <w:rsid w:val="007B5BFC"/>
    <w:rsid w:val="007B60DE"/>
    <w:rsid w:val="007B6170"/>
    <w:rsid w:val="007B6217"/>
    <w:rsid w:val="007B6489"/>
    <w:rsid w:val="007B6618"/>
    <w:rsid w:val="007B6818"/>
    <w:rsid w:val="007B6CF8"/>
    <w:rsid w:val="007B6DE5"/>
    <w:rsid w:val="007B6F8F"/>
    <w:rsid w:val="007B7170"/>
    <w:rsid w:val="007B7F49"/>
    <w:rsid w:val="007C041E"/>
    <w:rsid w:val="007C0884"/>
    <w:rsid w:val="007C09B3"/>
    <w:rsid w:val="007C0A6D"/>
    <w:rsid w:val="007C0D8F"/>
    <w:rsid w:val="007C1824"/>
    <w:rsid w:val="007C1B41"/>
    <w:rsid w:val="007C1F11"/>
    <w:rsid w:val="007C2131"/>
    <w:rsid w:val="007C28E9"/>
    <w:rsid w:val="007C2B05"/>
    <w:rsid w:val="007C2D97"/>
    <w:rsid w:val="007C4053"/>
    <w:rsid w:val="007C44CD"/>
    <w:rsid w:val="007C4D91"/>
    <w:rsid w:val="007C4F50"/>
    <w:rsid w:val="007C4FEC"/>
    <w:rsid w:val="007C534D"/>
    <w:rsid w:val="007C5448"/>
    <w:rsid w:val="007C54E4"/>
    <w:rsid w:val="007C5740"/>
    <w:rsid w:val="007C58DB"/>
    <w:rsid w:val="007C5C36"/>
    <w:rsid w:val="007C5E30"/>
    <w:rsid w:val="007C5F85"/>
    <w:rsid w:val="007C6BAE"/>
    <w:rsid w:val="007C71A9"/>
    <w:rsid w:val="007C757B"/>
    <w:rsid w:val="007D020A"/>
    <w:rsid w:val="007D030E"/>
    <w:rsid w:val="007D0883"/>
    <w:rsid w:val="007D0B14"/>
    <w:rsid w:val="007D0C8C"/>
    <w:rsid w:val="007D13D9"/>
    <w:rsid w:val="007D1795"/>
    <w:rsid w:val="007D1ACC"/>
    <w:rsid w:val="007D1ACD"/>
    <w:rsid w:val="007D1EED"/>
    <w:rsid w:val="007D2237"/>
    <w:rsid w:val="007D247A"/>
    <w:rsid w:val="007D31ED"/>
    <w:rsid w:val="007D32D4"/>
    <w:rsid w:val="007D3386"/>
    <w:rsid w:val="007D39D7"/>
    <w:rsid w:val="007D3FB3"/>
    <w:rsid w:val="007D4252"/>
    <w:rsid w:val="007D4297"/>
    <w:rsid w:val="007D4897"/>
    <w:rsid w:val="007D4A28"/>
    <w:rsid w:val="007D4F7B"/>
    <w:rsid w:val="007D5332"/>
    <w:rsid w:val="007D55EC"/>
    <w:rsid w:val="007D5916"/>
    <w:rsid w:val="007D5B0E"/>
    <w:rsid w:val="007D6128"/>
    <w:rsid w:val="007D6230"/>
    <w:rsid w:val="007D6D69"/>
    <w:rsid w:val="007D6F59"/>
    <w:rsid w:val="007D7844"/>
    <w:rsid w:val="007D7BDF"/>
    <w:rsid w:val="007D7F41"/>
    <w:rsid w:val="007E0079"/>
    <w:rsid w:val="007E0496"/>
    <w:rsid w:val="007E076B"/>
    <w:rsid w:val="007E0D73"/>
    <w:rsid w:val="007E0E11"/>
    <w:rsid w:val="007E0EEC"/>
    <w:rsid w:val="007E181F"/>
    <w:rsid w:val="007E1E59"/>
    <w:rsid w:val="007E1F54"/>
    <w:rsid w:val="007E20C0"/>
    <w:rsid w:val="007E230E"/>
    <w:rsid w:val="007E2439"/>
    <w:rsid w:val="007E320C"/>
    <w:rsid w:val="007E3399"/>
    <w:rsid w:val="007E3586"/>
    <w:rsid w:val="007E3700"/>
    <w:rsid w:val="007E3742"/>
    <w:rsid w:val="007E3FF2"/>
    <w:rsid w:val="007E45CB"/>
    <w:rsid w:val="007E45FC"/>
    <w:rsid w:val="007E47C3"/>
    <w:rsid w:val="007E4825"/>
    <w:rsid w:val="007E5395"/>
    <w:rsid w:val="007E57E5"/>
    <w:rsid w:val="007E5821"/>
    <w:rsid w:val="007E5B84"/>
    <w:rsid w:val="007E5C3D"/>
    <w:rsid w:val="007E6188"/>
    <w:rsid w:val="007E61C3"/>
    <w:rsid w:val="007E70BE"/>
    <w:rsid w:val="007E74D1"/>
    <w:rsid w:val="007F0308"/>
    <w:rsid w:val="007F03E4"/>
    <w:rsid w:val="007F0983"/>
    <w:rsid w:val="007F0B8A"/>
    <w:rsid w:val="007F0DEA"/>
    <w:rsid w:val="007F0FD8"/>
    <w:rsid w:val="007F133A"/>
    <w:rsid w:val="007F17C6"/>
    <w:rsid w:val="007F18CE"/>
    <w:rsid w:val="007F1E73"/>
    <w:rsid w:val="007F234E"/>
    <w:rsid w:val="007F274A"/>
    <w:rsid w:val="007F2867"/>
    <w:rsid w:val="007F295F"/>
    <w:rsid w:val="007F2B8F"/>
    <w:rsid w:val="007F2BB3"/>
    <w:rsid w:val="007F2D68"/>
    <w:rsid w:val="007F2DC9"/>
    <w:rsid w:val="007F3B87"/>
    <w:rsid w:val="007F3BDE"/>
    <w:rsid w:val="007F3DCB"/>
    <w:rsid w:val="007F47FC"/>
    <w:rsid w:val="007F4A76"/>
    <w:rsid w:val="007F4C40"/>
    <w:rsid w:val="007F4D5F"/>
    <w:rsid w:val="007F50DD"/>
    <w:rsid w:val="007F53DB"/>
    <w:rsid w:val="007F56EA"/>
    <w:rsid w:val="007F593C"/>
    <w:rsid w:val="007F5CB9"/>
    <w:rsid w:val="007F607B"/>
    <w:rsid w:val="007F62FF"/>
    <w:rsid w:val="007F6338"/>
    <w:rsid w:val="007F65A6"/>
    <w:rsid w:val="007F6B20"/>
    <w:rsid w:val="007F70DC"/>
    <w:rsid w:val="007F7298"/>
    <w:rsid w:val="007F764D"/>
    <w:rsid w:val="007F7A94"/>
    <w:rsid w:val="007F7AF7"/>
    <w:rsid w:val="007F7EDE"/>
    <w:rsid w:val="008003F1"/>
    <w:rsid w:val="008008CD"/>
    <w:rsid w:val="008009EA"/>
    <w:rsid w:val="00800B25"/>
    <w:rsid w:val="00800BA9"/>
    <w:rsid w:val="00800EB4"/>
    <w:rsid w:val="0080203E"/>
    <w:rsid w:val="00802878"/>
    <w:rsid w:val="0080305C"/>
    <w:rsid w:val="008031F6"/>
    <w:rsid w:val="0080327C"/>
    <w:rsid w:val="008036C7"/>
    <w:rsid w:val="00804D24"/>
    <w:rsid w:val="00804E89"/>
    <w:rsid w:val="008057D3"/>
    <w:rsid w:val="00805A92"/>
    <w:rsid w:val="00805B86"/>
    <w:rsid w:val="00805B91"/>
    <w:rsid w:val="00805D63"/>
    <w:rsid w:val="008064EC"/>
    <w:rsid w:val="008067F5"/>
    <w:rsid w:val="00807070"/>
    <w:rsid w:val="00807242"/>
    <w:rsid w:val="0080745C"/>
    <w:rsid w:val="00807608"/>
    <w:rsid w:val="00807E29"/>
    <w:rsid w:val="00807F6D"/>
    <w:rsid w:val="00810EF5"/>
    <w:rsid w:val="00811895"/>
    <w:rsid w:val="00811939"/>
    <w:rsid w:val="00811BBB"/>
    <w:rsid w:val="00811EA7"/>
    <w:rsid w:val="0081215C"/>
    <w:rsid w:val="00812234"/>
    <w:rsid w:val="008123DF"/>
    <w:rsid w:val="008138AE"/>
    <w:rsid w:val="00813CB1"/>
    <w:rsid w:val="00813D4B"/>
    <w:rsid w:val="0081403F"/>
    <w:rsid w:val="00815334"/>
    <w:rsid w:val="00815BB6"/>
    <w:rsid w:val="00816091"/>
    <w:rsid w:val="0081649F"/>
    <w:rsid w:val="00816C98"/>
    <w:rsid w:val="008174CA"/>
    <w:rsid w:val="00817812"/>
    <w:rsid w:val="00820144"/>
    <w:rsid w:val="008207B2"/>
    <w:rsid w:val="008208A7"/>
    <w:rsid w:val="00820931"/>
    <w:rsid w:val="00820D0B"/>
    <w:rsid w:val="00820D5C"/>
    <w:rsid w:val="008214C4"/>
    <w:rsid w:val="00821A0E"/>
    <w:rsid w:val="00821AE7"/>
    <w:rsid w:val="0082254D"/>
    <w:rsid w:val="0082282F"/>
    <w:rsid w:val="00822A7A"/>
    <w:rsid w:val="00822D7D"/>
    <w:rsid w:val="00822E9F"/>
    <w:rsid w:val="0082310D"/>
    <w:rsid w:val="00823FF5"/>
    <w:rsid w:val="00824394"/>
    <w:rsid w:val="008249A9"/>
    <w:rsid w:val="00824A5C"/>
    <w:rsid w:val="00825466"/>
    <w:rsid w:val="008255B7"/>
    <w:rsid w:val="00825663"/>
    <w:rsid w:val="008256E3"/>
    <w:rsid w:val="0082589B"/>
    <w:rsid w:val="00825E7C"/>
    <w:rsid w:val="0082672C"/>
    <w:rsid w:val="00826C16"/>
    <w:rsid w:val="00827034"/>
    <w:rsid w:val="0082736E"/>
    <w:rsid w:val="008279B0"/>
    <w:rsid w:val="00827A82"/>
    <w:rsid w:val="00827EF8"/>
    <w:rsid w:val="00830288"/>
    <w:rsid w:val="008305C1"/>
    <w:rsid w:val="00830E13"/>
    <w:rsid w:val="008315ED"/>
    <w:rsid w:val="008317AE"/>
    <w:rsid w:val="0083180E"/>
    <w:rsid w:val="008327ED"/>
    <w:rsid w:val="00832BA7"/>
    <w:rsid w:val="00832C86"/>
    <w:rsid w:val="00832EE3"/>
    <w:rsid w:val="008337E1"/>
    <w:rsid w:val="00833835"/>
    <w:rsid w:val="00833D14"/>
    <w:rsid w:val="0083455E"/>
    <w:rsid w:val="0083505D"/>
    <w:rsid w:val="0083599D"/>
    <w:rsid w:val="00835AAA"/>
    <w:rsid w:val="008362B2"/>
    <w:rsid w:val="00836435"/>
    <w:rsid w:val="00836AC4"/>
    <w:rsid w:val="00836C3C"/>
    <w:rsid w:val="00836ECE"/>
    <w:rsid w:val="00837272"/>
    <w:rsid w:val="00837363"/>
    <w:rsid w:val="008374C6"/>
    <w:rsid w:val="00837758"/>
    <w:rsid w:val="0083776D"/>
    <w:rsid w:val="008378B0"/>
    <w:rsid w:val="00837A61"/>
    <w:rsid w:val="00837A9E"/>
    <w:rsid w:val="00837F34"/>
    <w:rsid w:val="008400C9"/>
    <w:rsid w:val="0084027E"/>
    <w:rsid w:val="0084038C"/>
    <w:rsid w:val="00840485"/>
    <w:rsid w:val="008406D3"/>
    <w:rsid w:val="00840786"/>
    <w:rsid w:val="00840D3C"/>
    <w:rsid w:val="00840DAE"/>
    <w:rsid w:val="0084126F"/>
    <w:rsid w:val="0084166A"/>
    <w:rsid w:val="00841828"/>
    <w:rsid w:val="00841AA9"/>
    <w:rsid w:val="00841AEC"/>
    <w:rsid w:val="0084220F"/>
    <w:rsid w:val="00842900"/>
    <w:rsid w:val="00842A0E"/>
    <w:rsid w:val="00842C21"/>
    <w:rsid w:val="00843F53"/>
    <w:rsid w:val="00844359"/>
    <w:rsid w:val="0084493D"/>
    <w:rsid w:val="00845D76"/>
    <w:rsid w:val="00845DB5"/>
    <w:rsid w:val="00845F90"/>
    <w:rsid w:val="0084670D"/>
    <w:rsid w:val="00846C75"/>
    <w:rsid w:val="0084742D"/>
    <w:rsid w:val="00847B33"/>
    <w:rsid w:val="00847C2D"/>
    <w:rsid w:val="00847FEF"/>
    <w:rsid w:val="008502D6"/>
    <w:rsid w:val="00850C74"/>
    <w:rsid w:val="00850F96"/>
    <w:rsid w:val="0085113B"/>
    <w:rsid w:val="0085117B"/>
    <w:rsid w:val="0085163B"/>
    <w:rsid w:val="0085199D"/>
    <w:rsid w:val="00851B52"/>
    <w:rsid w:val="00851C57"/>
    <w:rsid w:val="00852267"/>
    <w:rsid w:val="008524BE"/>
    <w:rsid w:val="00852F49"/>
    <w:rsid w:val="00853343"/>
    <w:rsid w:val="0085345F"/>
    <w:rsid w:val="008536F2"/>
    <w:rsid w:val="0085475A"/>
    <w:rsid w:val="00855097"/>
    <w:rsid w:val="00855302"/>
    <w:rsid w:val="008553A0"/>
    <w:rsid w:val="00855672"/>
    <w:rsid w:val="00855888"/>
    <w:rsid w:val="00855939"/>
    <w:rsid w:val="0085685D"/>
    <w:rsid w:val="00856BD7"/>
    <w:rsid w:val="00856F95"/>
    <w:rsid w:val="00857144"/>
    <w:rsid w:val="00857A08"/>
    <w:rsid w:val="00860044"/>
    <w:rsid w:val="008601EB"/>
    <w:rsid w:val="00860402"/>
    <w:rsid w:val="008607B4"/>
    <w:rsid w:val="008608EB"/>
    <w:rsid w:val="00860A45"/>
    <w:rsid w:val="00860E84"/>
    <w:rsid w:val="00860EE2"/>
    <w:rsid w:val="00860F6E"/>
    <w:rsid w:val="008616A1"/>
    <w:rsid w:val="008621D6"/>
    <w:rsid w:val="0086222C"/>
    <w:rsid w:val="00862342"/>
    <w:rsid w:val="00862A71"/>
    <w:rsid w:val="00862BF9"/>
    <w:rsid w:val="00862CF7"/>
    <w:rsid w:val="00862DF3"/>
    <w:rsid w:val="00863224"/>
    <w:rsid w:val="0086358E"/>
    <w:rsid w:val="008636A9"/>
    <w:rsid w:val="00863824"/>
    <w:rsid w:val="00863C43"/>
    <w:rsid w:val="00863E80"/>
    <w:rsid w:val="00863EDB"/>
    <w:rsid w:val="0086430A"/>
    <w:rsid w:val="00864345"/>
    <w:rsid w:val="008645C4"/>
    <w:rsid w:val="00864C14"/>
    <w:rsid w:val="00864DA0"/>
    <w:rsid w:val="00864E5E"/>
    <w:rsid w:val="00865162"/>
    <w:rsid w:val="008652E0"/>
    <w:rsid w:val="008656DF"/>
    <w:rsid w:val="00866063"/>
    <w:rsid w:val="008661B5"/>
    <w:rsid w:val="0086662F"/>
    <w:rsid w:val="008672C3"/>
    <w:rsid w:val="00867FAE"/>
    <w:rsid w:val="008700E5"/>
    <w:rsid w:val="00870429"/>
    <w:rsid w:val="0087077D"/>
    <w:rsid w:val="00870E8B"/>
    <w:rsid w:val="00870ED8"/>
    <w:rsid w:val="00871850"/>
    <w:rsid w:val="00871A4E"/>
    <w:rsid w:val="00871DA8"/>
    <w:rsid w:val="008722A0"/>
    <w:rsid w:val="008727E2"/>
    <w:rsid w:val="0087305C"/>
    <w:rsid w:val="008730C9"/>
    <w:rsid w:val="00873104"/>
    <w:rsid w:val="00873509"/>
    <w:rsid w:val="00873636"/>
    <w:rsid w:val="00874022"/>
    <w:rsid w:val="00874488"/>
    <w:rsid w:val="0087556A"/>
    <w:rsid w:val="00875601"/>
    <w:rsid w:val="00875C1A"/>
    <w:rsid w:val="00875C7B"/>
    <w:rsid w:val="00876100"/>
    <w:rsid w:val="0087639D"/>
    <w:rsid w:val="0087642C"/>
    <w:rsid w:val="008765AA"/>
    <w:rsid w:val="008767E8"/>
    <w:rsid w:val="00876808"/>
    <w:rsid w:val="0087742F"/>
    <w:rsid w:val="00877798"/>
    <w:rsid w:val="00877B58"/>
    <w:rsid w:val="00877D99"/>
    <w:rsid w:val="00877F42"/>
    <w:rsid w:val="00880129"/>
    <w:rsid w:val="008807C5"/>
    <w:rsid w:val="00880D89"/>
    <w:rsid w:val="008813D4"/>
    <w:rsid w:val="00881492"/>
    <w:rsid w:val="00882314"/>
    <w:rsid w:val="00882873"/>
    <w:rsid w:val="0088333E"/>
    <w:rsid w:val="00883350"/>
    <w:rsid w:val="008834A3"/>
    <w:rsid w:val="008834BB"/>
    <w:rsid w:val="00883778"/>
    <w:rsid w:val="00883B40"/>
    <w:rsid w:val="00883F4F"/>
    <w:rsid w:val="00883FF2"/>
    <w:rsid w:val="0088434C"/>
    <w:rsid w:val="00884641"/>
    <w:rsid w:val="00885067"/>
    <w:rsid w:val="008851F1"/>
    <w:rsid w:val="008853E0"/>
    <w:rsid w:val="0088597B"/>
    <w:rsid w:val="00885E6A"/>
    <w:rsid w:val="00886322"/>
    <w:rsid w:val="00886723"/>
    <w:rsid w:val="00886749"/>
    <w:rsid w:val="00886AD4"/>
    <w:rsid w:val="00886F09"/>
    <w:rsid w:val="00887168"/>
    <w:rsid w:val="008874EB"/>
    <w:rsid w:val="00887537"/>
    <w:rsid w:val="00887B2C"/>
    <w:rsid w:val="00887B53"/>
    <w:rsid w:val="00890669"/>
    <w:rsid w:val="008909DA"/>
    <w:rsid w:val="00890AB8"/>
    <w:rsid w:val="00891980"/>
    <w:rsid w:val="00891AA0"/>
    <w:rsid w:val="008923A1"/>
    <w:rsid w:val="00892727"/>
    <w:rsid w:val="00892857"/>
    <w:rsid w:val="00892E7B"/>
    <w:rsid w:val="00892E84"/>
    <w:rsid w:val="00893164"/>
    <w:rsid w:val="008935C3"/>
    <w:rsid w:val="008937FA"/>
    <w:rsid w:val="00893E02"/>
    <w:rsid w:val="00894743"/>
    <w:rsid w:val="00894C42"/>
    <w:rsid w:val="00894DDA"/>
    <w:rsid w:val="00895104"/>
    <w:rsid w:val="00895932"/>
    <w:rsid w:val="00895E84"/>
    <w:rsid w:val="00895F78"/>
    <w:rsid w:val="008962C6"/>
    <w:rsid w:val="00896B76"/>
    <w:rsid w:val="00896EB2"/>
    <w:rsid w:val="00897362"/>
    <w:rsid w:val="008973BF"/>
    <w:rsid w:val="008974A4"/>
    <w:rsid w:val="008974FC"/>
    <w:rsid w:val="00897CF2"/>
    <w:rsid w:val="00897DA0"/>
    <w:rsid w:val="008A0F0F"/>
    <w:rsid w:val="008A1180"/>
    <w:rsid w:val="008A119E"/>
    <w:rsid w:val="008A158E"/>
    <w:rsid w:val="008A15EC"/>
    <w:rsid w:val="008A161E"/>
    <w:rsid w:val="008A1A21"/>
    <w:rsid w:val="008A2118"/>
    <w:rsid w:val="008A2413"/>
    <w:rsid w:val="008A292E"/>
    <w:rsid w:val="008A2B57"/>
    <w:rsid w:val="008A2DF0"/>
    <w:rsid w:val="008A312D"/>
    <w:rsid w:val="008A41DA"/>
    <w:rsid w:val="008A444E"/>
    <w:rsid w:val="008A45EC"/>
    <w:rsid w:val="008A482D"/>
    <w:rsid w:val="008A4973"/>
    <w:rsid w:val="008A4F06"/>
    <w:rsid w:val="008A5168"/>
    <w:rsid w:val="008A588D"/>
    <w:rsid w:val="008A5A09"/>
    <w:rsid w:val="008A5AEA"/>
    <w:rsid w:val="008A5B69"/>
    <w:rsid w:val="008A64D7"/>
    <w:rsid w:val="008A6B65"/>
    <w:rsid w:val="008A73BD"/>
    <w:rsid w:val="008A7B04"/>
    <w:rsid w:val="008A7BA8"/>
    <w:rsid w:val="008B0086"/>
    <w:rsid w:val="008B00DF"/>
    <w:rsid w:val="008B027F"/>
    <w:rsid w:val="008B04D0"/>
    <w:rsid w:val="008B05F4"/>
    <w:rsid w:val="008B079B"/>
    <w:rsid w:val="008B0E51"/>
    <w:rsid w:val="008B0FCF"/>
    <w:rsid w:val="008B13F8"/>
    <w:rsid w:val="008B1D12"/>
    <w:rsid w:val="008B1EA5"/>
    <w:rsid w:val="008B1F8C"/>
    <w:rsid w:val="008B284A"/>
    <w:rsid w:val="008B287E"/>
    <w:rsid w:val="008B29FC"/>
    <w:rsid w:val="008B36D0"/>
    <w:rsid w:val="008B37A0"/>
    <w:rsid w:val="008B3940"/>
    <w:rsid w:val="008B4026"/>
    <w:rsid w:val="008B4133"/>
    <w:rsid w:val="008B45D9"/>
    <w:rsid w:val="008B4987"/>
    <w:rsid w:val="008B4B0F"/>
    <w:rsid w:val="008B4BD2"/>
    <w:rsid w:val="008B4E5A"/>
    <w:rsid w:val="008B53A0"/>
    <w:rsid w:val="008B5841"/>
    <w:rsid w:val="008B5DAB"/>
    <w:rsid w:val="008B79CC"/>
    <w:rsid w:val="008B7CDB"/>
    <w:rsid w:val="008B7EFE"/>
    <w:rsid w:val="008C0A63"/>
    <w:rsid w:val="008C0A96"/>
    <w:rsid w:val="008C1B5A"/>
    <w:rsid w:val="008C2125"/>
    <w:rsid w:val="008C2335"/>
    <w:rsid w:val="008C2371"/>
    <w:rsid w:val="008C3042"/>
    <w:rsid w:val="008C3137"/>
    <w:rsid w:val="008C32CD"/>
    <w:rsid w:val="008C34D9"/>
    <w:rsid w:val="008C427B"/>
    <w:rsid w:val="008C42A2"/>
    <w:rsid w:val="008C4832"/>
    <w:rsid w:val="008C4B99"/>
    <w:rsid w:val="008C4D9B"/>
    <w:rsid w:val="008C5232"/>
    <w:rsid w:val="008C5437"/>
    <w:rsid w:val="008C5A15"/>
    <w:rsid w:val="008C6164"/>
    <w:rsid w:val="008C69A6"/>
    <w:rsid w:val="008C6CB7"/>
    <w:rsid w:val="008C7159"/>
    <w:rsid w:val="008C7923"/>
    <w:rsid w:val="008D0BA2"/>
    <w:rsid w:val="008D0E80"/>
    <w:rsid w:val="008D0F72"/>
    <w:rsid w:val="008D1A55"/>
    <w:rsid w:val="008D1A70"/>
    <w:rsid w:val="008D20A1"/>
    <w:rsid w:val="008D27F6"/>
    <w:rsid w:val="008D2B1D"/>
    <w:rsid w:val="008D2BF3"/>
    <w:rsid w:val="008D31B7"/>
    <w:rsid w:val="008D3599"/>
    <w:rsid w:val="008D420E"/>
    <w:rsid w:val="008D421F"/>
    <w:rsid w:val="008D430A"/>
    <w:rsid w:val="008D4579"/>
    <w:rsid w:val="008D47EB"/>
    <w:rsid w:val="008D49CF"/>
    <w:rsid w:val="008D4D34"/>
    <w:rsid w:val="008D4D76"/>
    <w:rsid w:val="008D5339"/>
    <w:rsid w:val="008D5B44"/>
    <w:rsid w:val="008D5E36"/>
    <w:rsid w:val="008D5EDF"/>
    <w:rsid w:val="008D5FA7"/>
    <w:rsid w:val="008D631F"/>
    <w:rsid w:val="008D6DE0"/>
    <w:rsid w:val="008D6E67"/>
    <w:rsid w:val="008D7068"/>
    <w:rsid w:val="008D7179"/>
    <w:rsid w:val="008D7534"/>
    <w:rsid w:val="008D7699"/>
    <w:rsid w:val="008E01C9"/>
    <w:rsid w:val="008E039E"/>
    <w:rsid w:val="008E0879"/>
    <w:rsid w:val="008E090C"/>
    <w:rsid w:val="008E0A05"/>
    <w:rsid w:val="008E1130"/>
    <w:rsid w:val="008E181F"/>
    <w:rsid w:val="008E1B14"/>
    <w:rsid w:val="008E1DE6"/>
    <w:rsid w:val="008E1F5A"/>
    <w:rsid w:val="008E2862"/>
    <w:rsid w:val="008E2AE1"/>
    <w:rsid w:val="008E3786"/>
    <w:rsid w:val="008E3848"/>
    <w:rsid w:val="008E3B2A"/>
    <w:rsid w:val="008E4014"/>
    <w:rsid w:val="008E4381"/>
    <w:rsid w:val="008E467E"/>
    <w:rsid w:val="008E4BEF"/>
    <w:rsid w:val="008E4ECC"/>
    <w:rsid w:val="008E54DF"/>
    <w:rsid w:val="008E5A06"/>
    <w:rsid w:val="008E5B8C"/>
    <w:rsid w:val="008E5E95"/>
    <w:rsid w:val="008E5EB6"/>
    <w:rsid w:val="008E607F"/>
    <w:rsid w:val="008E60D6"/>
    <w:rsid w:val="008E62EC"/>
    <w:rsid w:val="008E644F"/>
    <w:rsid w:val="008E6584"/>
    <w:rsid w:val="008E663E"/>
    <w:rsid w:val="008E670F"/>
    <w:rsid w:val="008E6852"/>
    <w:rsid w:val="008E7358"/>
    <w:rsid w:val="008E7914"/>
    <w:rsid w:val="008F0044"/>
    <w:rsid w:val="008F01A6"/>
    <w:rsid w:val="008F01BE"/>
    <w:rsid w:val="008F01D0"/>
    <w:rsid w:val="008F0321"/>
    <w:rsid w:val="008F055B"/>
    <w:rsid w:val="008F05AC"/>
    <w:rsid w:val="008F0754"/>
    <w:rsid w:val="008F0A4E"/>
    <w:rsid w:val="008F0BA0"/>
    <w:rsid w:val="008F1160"/>
    <w:rsid w:val="008F1179"/>
    <w:rsid w:val="008F1185"/>
    <w:rsid w:val="008F1CBB"/>
    <w:rsid w:val="008F2232"/>
    <w:rsid w:val="008F2642"/>
    <w:rsid w:val="008F2945"/>
    <w:rsid w:val="008F2A8E"/>
    <w:rsid w:val="008F2D44"/>
    <w:rsid w:val="008F2D9C"/>
    <w:rsid w:val="008F2E6F"/>
    <w:rsid w:val="008F2E87"/>
    <w:rsid w:val="008F2FD1"/>
    <w:rsid w:val="008F338D"/>
    <w:rsid w:val="008F34EE"/>
    <w:rsid w:val="008F3B7F"/>
    <w:rsid w:val="008F445E"/>
    <w:rsid w:val="008F4672"/>
    <w:rsid w:val="008F4874"/>
    <w:rsid w:val="008F598A"/>
    <w:rsid w:val="008F5FCF"/>
    <w:rsid w:val="008F611B"/>
    <w:rsid w:val="008F622C"/>
    <w:rsid w:val="008F6FCB"/>
    <w:rsid w:val="008F72D8"/>
    <w:rsid w:val="008F74DB"/>
    <w:rsid w:val="008F7839"/>
    <w:rsid w:val="009003B5"/>
    <w:rsid w:val="009006A5"/>
    <w:rsid w:val="00900748"/>
    <w:rsid w:val="00900A5C"/>
    <w:rsid w:val="00900BC7"/>
    <w:rsid w:val="009013C1"/>
    <w:rsid w:val="009019D4"/>
    <w:rsid w:val="009034B5"/>
    <w:rsid w:val="00903F6A"/>
    <w:rsid w:val="00904151"/>
    <w:rsid w:val="00904157"/>
    <w:rsid w:val="009043E3"/>
    <w:rsid w:val="00904995"/>
    <w:rsid w:val="00905034"/>
    <w:rsid w:val="0090578F"/>
    <w:rsid w:val="0090595D"/>
    <w:rsid w:val="00905988"/>
    <w:rsid w:val="00905CC0"/>
    <w:rsid w:val="00906086"/>
    <w:rsid w:val="00906336"/>
    <w:rsid w:val="009067B8"/>
    <w:rsid w:val="009067D0"/>
    <w:rsid w:val="009067EA"/>
    <w:rsid w:val="00906C4D"/>
    <w:rsid w:val="0090788E"/>
    <w:rsid w:val="009079F2"/>
    <w:rsid w:val="00910839"/>
    <w:rsid w:val="00910B31"/>
    <w:rsid w:val="00910DFA"/>
    <w:rsid w:val="00910E15"/>
    <w:rsid w:val="00910F7D"/>
    <w:rsid w:val="00911168"/>
    <w:rsid w:val="00911534"/>
    <w:rsid w:val="00911A24"/>
    <w:rsid w:val="00911AA5"/>
    <w:rsid w:val="009122AB"/>
    <w:rsid w:val="00912931"/>
    <w:rsid w:val="0091298D"/>
    <w:rsid w:val="00912AF6"/>
    <w:rsid w:val="00912B10"/>
    <w:rsid w:val="00912D64"/>
    <w:rsid w:val="00912F9B"/>
    <w:rsid w:val="009142E7"/>
    <w:rsid w:val="00914787"/>
    <w:rsid w:val="00914898"/>
    <w:rsid w:val="00914926"/>
    <w:rsid w:val="00914D7D"/>
    <w:rsid w:val="0091500C"/>
    <w:rsid w:val="009156BB"/>
    <w:rsid w:val="009157EB"/>
    <w:rsid w:val="00915937"/>
    <w:rsid w:val="00916619"/>
    <w:rsid w:val="009166AA"/>
    <w:rsid w:val="0091682E"/>
    <w:rsid w:val="00916A3D"/>
    <w:rsid w:val="00916C4D"/>
    <w:rsid w:val="00916E63"/>
    <w:rsid w:val="00917A01"/>
    <w:rsid w:val="00917E46"/>
    <w:rsid w:val="00917F1F"/>
    <w:rsid w:val="009200CE"/>
    <w:rsid w:val="009202E9"/>
    <w:rsid w:val="009202F0"/>
    <w:rsid w:val="00921228"/>
    <w:rsid w:val="009214C6"/>
    <w:rsid w:val="00921B76"/>
    <w:rsid w:val="009229AD"/>
    <w:rsid w:val="00922A30"/>
    <w:rsid w:val="00922A5B"/>
    <w:rsid w:val="009231C2"/>
    <w:rsid w:val="00923DC3"/>
    <w:rsid w:val="00923E51"/>
    <w:rsid w:val="00923FED"/>
    <w:rsid w:val="009243BB"/>
    <w:rsid w:val="0092483C"/>
    <w:rsid w:val="00924BA5"/>
    <w:rsid w:val="009253CA"/>
    <w:rsid w:val="00925935"/>
    <w:rsid w:val="009262F8"/>
    <w:rsid w:val="009264A7"/>
    <w:rsid w:val="0092655A"/>
    <w:rsid w:val="0092671F"/>
    <w:rsid w:val="00926905"/>
    <w:rsid w:val="00926C6F"/>
    <w:rsid w:val="00927084"/>
    <w:rsid w:val="00927113"/>
    <w:rsid w:val="00930207"/>
    <w:rsid w:val="009307FA"/>
    <w:rsid w:val="00930831"/>
    <w:rsid w:val="00930AC3"/>
    <w:rsid w:val="00931426"/>
    <w:rsid w:val="0093175B"/>
    <w:rsid w:val="009317F4"/>
    <w:rsid w:val="00931A5F"/>
    <w:rsid w:val="00931D43"/>
    <w:rsid w:val="0093218E"/>
    <w:rsid w:val="0093298D"/>
    <w:rsid w:val="00932C1D"/>
    <w:rsid w:val="00932C20"/>
    <w:rsid w:val="00932E2A"/>
    <w:rsid w:val="00932F8C"/>
    <w:rsid w:val="00932FC2"/>
    <w:rsid w:val="00933122"/>
    <w:rsid w:val="009335AC"/>
    <w:rsid w:val="00933873"/>
    <w:rsid w:val="009343D6"/>
    <w:rsid w:val="00934C51"/>
    <w:rsid w:val="00934F35"/>
    <w:rsid w:val="009359F2"/>
    <w:rsid w:val="0093655A"/>
    <w:rsid w:val="009365EC"/>
    <w:rsid w:val="009367A3"/>
    <w:rsid w:val="009368B5"/>
    <w:rsid w:val="00936947"/>
    <w:rsid w:val="009371FA"/>
    <w:rsid w:val="009372E9"/>
    <w:rsid w:val="009379A5"/>
    <w:rsid w:val="00937ECE"/>
    <w:rsid w:val="00937EEF"/>
    <w:rsid w:val="009400F3"/>
    <w:rsid w:val="00940451"/>
    <w:rsid w:val="0094066B"/>
    <w:rsid w:val="00940F78"/>
    <w:rsid w:val="0094129A"/>
    <w:rsid w:val="00941555"/>
    <w:rsid w:val="00941717"/>
    <w:rsid w:val="00941884"/>
    <w:rsid w:val="00941B97"/>
    <w:rsid w:val="00941BC1"/>
    <w:rsid w:val="00941DCA"/>
    <w:rsid w:val="0094253D"/>
    <w:rsid w:val="00943598"/>
    <w:rsid w:val="00943BD8"/>
    <w:rsid w:val="00944106"/>
    <w:rsid w:val="0094415E"/>
    <w:rsid w:val="00944275"/>
    <w:rsid w:val="00944B40"/>
    <w:rsid w:val="00944CA3"/>
    <w:rsid w:val="0094557D"/>
    <w:rsid w:val="00945996"/>
    <w:rsid w:val="00945A8F"/>
    <w:rsid w:val="00945D2F"/>
    <w:rsid w:val="00946925"/>
    <w:rsid w:val="00946B07"/>
    <w:rsid w:val="00946FDA"/>
    <w:rsid w:val="00947411"/>
    <w:rsid w:val="00947C38"/>
    <w:rsid w:val="009505CC"/>
    <w:rsid w:val="009505D3"/>
    <w:rsid w:val="00950699"/>
    <w:rsid w:val="00950D68"/>
    <w:rsid w:val="00950F27"/>
    <w:rsid w:val="00950FD2"/>
    <w:rsid w:val="0095115B"/>
    <w:rsid w:val="00951B70"/>
    <w:rsid w:val="00952218"/>
    <w:rsid w:val="00952258"/>
    <w:rsid w:val="0095225B"/>
    <w:rsid w:val="009522E2"/>
    <w:rsid w:val="00952556"/>
    <w:rsid w:val="00952B38"/>
    <w:rsid w:val="00952BE4"/>
    <w:rsid w:val="009531A7"/>
    <w:rsid w:val="0095349F"/>
    <w:rsid w:val="009536FD"/>
    <w:rsid w:val="009539D4"/>
    <w:rsid w:val="00953CD2"/>
    <w:rsid w:val="00953F8F"/>
    <w:rsid w:val="00954066"/>
    <w:rsid w:val="00954198"/>
    <w:rsid w:val="009542E1"/>
    <w:rsid w:val="0095432A"/>
    <w:rsid w:val="00954484"/>
    <w:rsid w:val="009544FD"/>
    <w:rsid w:val="009547BC"/>
    <w:rsid w:val="0095556F"/>
    <w:rsid w:val="009556BB"/>
    <w:rsid w:val="00955C24"/>
    <w:rsid w:val="00955E01"/>
    <w:rsid w:val="00955E32"/>
    <w:rsid w:val="00955EF6"/>
    <w:rsid w:val="009561EB"/>
    <w:rsid w:val="00956645"/>
    <w:rsid w:val="009567E6"/>
    <w:rsid w:val="0095681E"/>
    <w:rsid w:val="00956AC8"/>
    <w:rsid w:val="00956C7A"/>
    <w:rsid w:val="009572F2"/>
    <w:rsid w:val="0095751A"/>
    <w:rsid w:val="009575A1"/>
    <w:rsid w:val="00957F22"/>
    <w:rsid w:val="00960367"/>
    <w:rsid w:val="00960578"/>
    <w:rsid w:val="0096090A"/>
    <w:rsid w:val="00960BC5"/>
    <w:rsid w:val="009615AF"/>
    <w:rsid w:val="00961F96"/>
    <w:rsid w:val="00962B60"/>
    <w:rsid w:val="00962C27"/>
    <w:rsid w:val="00962C9F"/>
    <w:rsid w:val="009634A2"/>
    <w:rsid w:val="009638C1"/>
    <w:rsid w:val="00963DBE"/>
    <w:rsid w:val="00963DDF"/>
    <w:rsid w:val="00964191"/>
    <w:rsid w:val="009642E8"/>
    <w:rsid w:val="00964446"/>
    <w:rsid w:val="009647A3"/>
    <w:rsid w:val="00964C38"/>
    <w:rsid w:val="009661AD"/>
    <w:rsid w:val="009667C8"/>
    <w:rsid w:val="00966BF7"/>
    <w:rsid w:val="00966CDF"/>
    <w:rsid w:val="0096763E"/>
    <w:rsid w:val="00967710"/>
    <w:rsid w:val="00967860"/>
    <w:rsid w:val="00970240"/>
    <w:rsid w:val="009702A5"/>
    <w:rsid w:val="009706FC"/>
    <w:rsid w:val="00970999"/>
    <w:rsid w:val="00970F2A"/>
    <w:rsid w:val="00970F71"/>
    <w:rsid w:val="00971221"/>
    <w:rsid w:val="0097125D"/>
    <w:rsid w:val="00971817"/>
    <w:rsid w:val="00971A80"/>
    <w:rsid w:val="00971C8A"/>
    <w:rsid w:val="00972537"/>
    <w:rsid w:val="009727BA"/>
    <w:rsid w:val="00972F3D"/>
    <w:rsid w:val="00973542"/>
    <w:rsid w:val="00973756"/>
    <w:rsid w:val="009746EF"/>
    <w:rsid w:val="00974CAA"/>
    <w:rsid w:val="00974FFB"/>
    <w:rsid w:val="00975404"/>
    <w:rsid w:val="00975964"/>
    <w:rsid w:val="00975FBD"/>
    <w:rsid w:val="0097624D"/>
    <w:rsid w:val="00976B25"/>
    <w:rsid w:val="00976D2C"/>
    <w:rsid w:val="00977817"/>
    <w:rsid w:val="00977968"/>
    <w:rsid w:val="00980079"/>
    <w:rsid w:val="0098037E"/>
    <w:rsid w:val="00980616"/>
    <w:rsid w:val="0098178D"/>
    <w:rsid w:val="009819E3"/>
    <w:rsid w:val="009826DA"/>
    <w:rsid w:val="00982A7A"/>
    <w:rsid w:val="00983393"/>
    <w:rsid w:val="00983545"/>
    <w:rsid w:val="00984493"/>
    <w:rsid w:val="00984779"/>
    <w:rsid w:val="00984D5A"/>
    <w:rsid w:val="00984D95"/>
    <w:rsid w:val="00985CCF"/>
    <w:rsid w:val="0098616B"/>
    <w:rsid w:val="0098638F"/>
    <w:rsid w:val="00986574"/>
    <w:rsid w:val="00986A13"/>
    <w:rsid w:val="00986FAD"/>
    <w:rsid w:val="0098718A"/>
    <w:rsid w:val="0098740F"/>
    <w:rsid w:val="009874F4"/>
    <w:rsid w:val="00987797"/>
    <w:rsid w:val="00987A38"/>
    <w:rsid w:val="00987E94"/>
    <w:rsid w:val="00990243"/>
    <w:rsid w:val="00990245"/>
    <w:rsid w:val="00990700"/>
    <w:rsid w:val="00990901"/>
    <w:rsid w:val="00990F0C"/>
    <w:rsid w:val="00990FE2"/>
    <w:rsid w:val="00991BE7"/>
    <w:rsid w:val="00992267"/>
    <w:rsid w:val="00993137"/>
    <w:rsid w:val="0099354D"/>
    <w:rsid w:val="00993753"/>
    <w:rsid w:val="00993A68"/>
    <w:rsid w:val="00993BBB"/>
    <w:rsid w:val="00993DFA"/>
    <w:rsid w:val="009941B1"/>
    <w:rsid w:val="00994200"/>
    <w:rsid w:val="00994FF2"/>
    <w:rsid w:val="00995370"/>
    <w:rsid w:val="00995B3A"/>
    <w:rsid w:val="00995D35"/>
    <w:rsid w:val="009965EB"/>
    <w:rsid w:val="009966C9"/>
    <w:rsid w:val="00996938"/>
    <w:rsid w:val="00996971"/>
    <w:rsid w:val="0099699C"/>
    <w:rsid w:val="00996FB2"/>
    <w:rsid w:val="009971D4"/>
    <w:rsid w:val="00997224"/>
    <w:rsid w:val="00997832"/>
    <w:rsid w:val="009A000C"/>
    <w:rsid w:val="009A0623"/>
    <w:rsid w:val="009A085D"/>
    <w:rsid w:val="009A0BFC"/>
    <w:rsid w:val="009A13B2"/>
    <w:rsid w:val="009A1423"/>
    <w:rsid w:val="009A14B6"/>
    <w:rsid w:val="009A18D0"/>
    <w:rsid w:val="009A1B31"/>
    <w:rsid w:val="009A2025"/>
    <w:rsid w:val="009A2059"/>
    <w:rsid w:val="009A258D"/>
    <w:rsid w:val="009A282C"/>
    <w:rsid w:val="009A2878"/>
    <w:rsid w:val="009A289F"/>
    <w:rsid w:val="009A2BF6"/>
    <w:rsid w:val="009A2F83"/>
    <w:rsid w:val="009A3165"/>
    <w:rsid w:val="009A3966"/>
    <w:rsid w:val="009A3BED"/>
    <w:rsid w:val="009A454F"/>
    <w:rsid w:val="009A4DA9"/>
    <w:rsid w:val="009A54AE"/>
    <w:rsid w:val="009A57EF"/>
    <w:rsid w:val="009A5911"/>
    <w:rsid w:val="009A5D37"/>
    <w:rsid w:val="009A5E72"/>
    <w:rsid w:val="009A63B0"/>
    <w:rsid w:val="009A66F2"/>
    <w:rsid w:val="009A67C7"/>
    <w:rsid w:val="009A69FD"/>
    <w:rsid w:val="009A6EF5"/>
    <w:rsid w:val="009A73E4"/>
    <w:rsid w:val="009A7409"/>
    <w:rsid w:val="009A7554"/>
    <w:rsid w:val="009A75A8"/>
    <w:rsid w:val="009A775C"/>
    <w:rsid w:val="009B0895"/>
    <w:rsid w:val="009B0AC5"/>
    <w:rsid w:val="009B11D1"/>
    <w:rsid w:val="009B1357"/>
    <w:rsid w:val="009B1513"/>
    <w:rsid w:val="009B1805"/>
    <w:rsid w:val="009B1A0A"/>
    <w:rsid w:val="009B2072"/>
    <w:rsid w:val="009B253B"/>
    <w:rsid w:val="009B2699"/>
    <w:rsid w:val="009B2784"/>
    <w:rsid w:val="009B299D"/>
    <w:rsid w:val="009B3190"/>
    <w:rsid w:val="009B3FEF"/>
    <w:rsid w:val="009B4415"/>
    <w:rsid w:val="009B46BA"/>
    <w:rsid w:val="009B4A56"/>
    <w:rsid w:val="009B4AF2"/>
    <w:rsid w:val="009B4D78"/>
    <w:rsid w:val="009B4DB5"/>
    <w:rsid w:val="009B6155"/>
    <w:rsid w:val="009B6548"/>
    <w:rsid w:val="009B6E40"/>
    <w:rsid w:val="009B6E73"/>
    <w:rsid w:val="009B6E7F"/>
    <w:rsid w:val="009B6ECA"/>
    <w:rsid w:val="009B73A5"/>
    <w:rsid w:val="009B7E7B"/>
    <w:rsid w:val="009C01DD"/>
    <w:rsid w:val="009C0228"/>
    <w:rsid w:val="009C022A"/>
    <w:rsid w:val="009C09E0"/>
    <w:rsid w:val="009C0B09"/>
    <w:rsid w:val="009C0B8C"/>
    <w:rsid w:val="009C16C7"/>
    <w:rsid w:val="009C1937"/>
    <w:rsid w:val="009C1A7D"/>
    <w:rsid w:val="009C1A8A"/>
    <w:rsid w:val="009C1BA6"/>
    <w:rsid w:val="009C1E95"/>
    <w:rsid w:val="009C21A3"/>
    <w:rsid w:val="009C24DC"/>
    <w:rsid w:val="009C25CF"/>
    <w:rsid w:val="009C25D0"/>
    <w:rsid w:val="009C29B1"/>
    <w:rsid w:val="009C3334"/>
    <w:rsid w:val="009C3683"/>
    <w:rsid w:val="009C3AF4"/>
    <w:rsid w:val="009C429D"/>
    <w:rsid w:val="009C4EDB"/>
    <w:rsid w:val="009C5534"/>
    <w:rsid w:val="009C60B4"/>
    <w:rsid w:val="009C62E3"/>
    <w:rsid w:val="009C6533"/>
    <w:rsid w:val="009C6728"/>
    <w:rsid w:val="009C6729"/>
    <w:rsid w:val="009C6A13"/>
    <w:rsid w:val="009C6F01"/>
    <w:rsid w:val="009C7777"/>
    <w:rsid w:val="009C785E"/>
    <w:rsid w:val="009C7A58"/>
    <w:rsid w:val="009C7FD9"/>
    <w:rsid w:val="009D06A9"/>
    <w:rsid w:val="009D09AB"/>
    <w:rsid w:val="009D09D7"/>
    <w:rsid w:val="009D0A2B"/>
    <w:rsid w:val="009D0CD6"/>
    <w:rsid w:val="009D101D"/>
    <w:rsid w:val="009D1177"/>
    <w:rsid w:val="009D1183"/>
    <w:rsid w:val="009D1C27"/>
    <w:rsid w:val="009D1E56"/>
    <w:rsid w:val="009D2159"/>
    <w:rsid w:val="009D23D5"/>
    <w:rsid w:val="009D24E1"/>
    <w:rsid w:val="009D2578"/>
    <w:rsid w:val="009D291F"/>
    <w:rsid w:val="009D2B5E"/>
    <w:rsid w:val="009D2DF6"/>
    <w:rsid w:val="009D2F7A"/>
    <w:rsid w:val="009D330F"/>
    <w:rsid w:val="009D3DA6"/>
    <w:rsid w:val="009D3E16"/>
    <w:rsid w:val="009D4328"/>
    <w:rsid w:val="009D4694"/>
    <w:rsid w:val="009D4D10"/>
    <w:rsid w:val="009D4D9D"/>
    <w:rsid w:val="009D512A"/>
    <w:rsid w:val="009D52F0"/>
    <w:rsid w:val="009D56EC"/>
    <w:rsid w:val="009D5775"/>
    <w:rsid w:val="009D58AA"/>
    <w:rsid w:val="009D5EA6"/>
    <w:rsid w:val="009D62B2"/>
    <w:rsid w:val="009D67AC"/>
    <w:rsid w:val="009D686B"/>
    <w:rsid w:val="009D695F"/>
    <w:rsid w:val="009D69CA"/>
    <w:rsid w:val="009D709B"/>
    <w:rsid w:val="009D716D"/>
    <w:rsid w:val="009D7582"/>
    <w:rsid w:val="009D7706"/>
    <w:rsid w:val="009D778C"/>
    <w:rsid w:val="009D7B38"/>
    <w:rsid w:val="009E019A"/>
    <w:rsid w:val="009E0456"/>
    <w:rsid w:val="009E0859"/>
    <w:rsid w:val="009E1442"/>
    <w:rsid w:val="009E181D"/>
    <w:rsid w:val="009E19A1"/>
    <w:rsid w:val="009E1C07"/>
    <w:rsid w:val="009E26D3"/>
    <w:rsid w:val="009E37EE"/>
    <w:rsid w:val="009E3963"/>
    <w:rsid w:val="009E39E8"/>
    <w:rsid w:val="009E3CA1"/>
    <w:rsid w:val="009E4374"/>
    <w:rsid w:val="009E494D"/>
    <w:rsid w:val="009E4EB2"/>
    <w:rsid w:val="009E5109"/>
    <w:rsid w:val="009E5621"/>
    <w:rsid w:val="009E5997"/>
    <w:rsid w:val="009E6B69"/>
    <w:rsid w:val="009E737D"/>
    <w:rsid w:val="009E7BF5"/>
    <w:rsid w:val="009F02B6"/>
    <w:rsid w:val="009F06AB"/>
    <w:rsid w:val="009F0D71"/>
    <w:rsid w:val="009F15BB"/>
    <w:rsid w:val="009F1C82"/>
    <w:rsid w:val="009F2A91"/>
    <w:rsid w:val="009F2B1F"/>
    <w:rsid w:val="009F2CBC"/>
    <w:rsid w:val="009F3259"/>
    <w:rsid w:val="009F3947"/>
    <w:rsid w:val="009F3F7E"/>
    <w:rsid w:val="009F4054"/>
    <w:rsid w:val="009F46E3"/>
    <w:rsid w:val="009F577D"/>
    <w:rsid w:val="009F6226"/>
    <w:rsid w:val="009F6552"/>
    <w:rsid w:val="009F65BF"/>
    <w:rsid w:val="009F67EF"/>
    <w:rsid w:val="009F6AFC"/>
    <w:rsid w:val="009F6D72"/>
    <w:rsid w:val="009F6E5B"/>
    <w:rsid w:val="009F720C"/>
    <w:rsid w:val="009F72B4"/>
    <w:rsid w:val="009F76AB"/>
    <w:rsid w:val="009F783B"/>
    <w:rsid w:val="009F787A"/>
    <w:rsid w:val="009F7B1A"/>
    <w:rsid w:val="00A00272"/>
    <w:rsid w:val="00A002D0"/>
    <w:rsid w:val="00A00855"/>
    <w:rsid w:val="00A0134F"/>
    <w:rsid w:val="00A01D6A"/>
    <w:rsid w:val="00A026DD"/>
    <w:rsid w:val="00A027FE"/>
    <w:rsid w:val="00A0362C"/>
    <w:rsid w:val="00A03696"/>
    <w:rsid w:val="00A03988"/>
    <w:rsid w:val="00A04913"/>
    <w:rsid w:val="00A049A4"/>
    <w:rsid w:val="00A05449"/>
    <w:rsid w:val="00A0556C"/>
    <w:rsid w:val="00A05851"/>
    <w:rsid w:val="00A0588B"/>
    <w:rsid w:val="00A05AC9"/>
    <w:rsid w:val="00A06295"/>
    <w:rsid w:val="00A06490"/>
    <w:rsid w:val="00A068AD"/>
    <w:rsid w:val="00A06A56"/>
    <w:rsid w:val="00A06E5F"/>
    <w:rsid w:val="00A07629"/>
    <w:rsid w:val="00A07BC4"/>
    <w:rsid w:val="00A07C04"/>
    <w:rsid w:val="00A1006B"/>
    <w:rsid w:val="00A1032D"/>
    <w:rsid w:val="00A109E6"/>
    <w:rsid w:val="00A10D26"/>
    <w:rsid w:val="00A10EE2"/>
    <w:rsid w:val="00A10F93"/>
    <w:rsid w:val="00A10F94"/>
    <w:rsid w:val="00A112E8"/>
    <w:rsid w:val="00A112F8"/>
    <w:rsid w:val="00A11326"/>
    <w:rsid w:val="00A114F5"/>
    <w:rsid w:val="00A1152E"/>
    <w:rsid w:val="00A1159F"/>
    <w:rsid w:val="00A11755"/>
    <w:rsid w:val="00A118B4"/>
    <w:rsid w:val="00A11989"/>
    <w:rsid w:val="00A11E49"/>
    <w:rsid w:val="00A11EB3"/>
    <w:rsid w:val="00A1260F"/>
    <w:rsid w:val="00A12878"/>
    <w:rsid w:val="00A12C66"/>
    <w:rsid w:val="00A133CE"/>
    <w:rsid w:val="00A1350B"/>
    <w:rsid w:val="00A135A4"/>
    <w:rsid w:val="00A13A32"/>
    <w:rsid w:val="00A13D23"/>
    <w:rsid w:val="00A14782"/>
    <w:rsid w:val="00A14C54"/>
    <w:rsid w:val="00A14D61"/>
    <w:rsid w:val="00A14EE8"/>
    <w:rsid w:val="00A1503B"/>
    <w:rsid w:val="00A15628"/>
    <w:rsid w:val="00A15ADD"/>
    <w:rsid w:val="00A15AFA"/>
    <w:rsid w:val="00A15E13"/>
    <w:rsid w:val="00A15F9A"/>
    <w:rsid w:val="00A15FF0"/>
    <w:rsid w:val="00A1680F"/>
    <w:rsid w:val="00A168B9"/>
    <w:rsid w:val="00A17F0A"/>
    <w:rsid w:val="00A17F4C"/>
    <w:rsid w:val="00A20143"/>
    <w:rsid w:val="00A20495"/>
    <w:rsid w:val="00A21369"/>
    <w:rsid w:val="00A21429"/>
    <w:rsid w:val="00A21FDD"/>
    <w:rsid w:val="00A22456"/>
    <w:rsid w:val="00A2282E"/>
    <w:rsid w:val="00A2299D"/>
    <w:rsid w:val="00A22DC0"/>
    <w:rsid w:val="00A23157"/>
    <w:rsid w:val="00A23637"/>
    <w:rsid w:val="00A23DE5"/>
    <w:rsid w:val="00A23E05"/>
    <w:rsid w:val="00A23F37"/>
    <w:rsid w:val="00A242F0"/>
    <w:rsid w:val="00A248E9"/>
    <w:rsid w:val="00A24A41"/>
    <w:rsid w:val="00A24DFC"/>
    <w:rsid w:val="00A258BC"/>
    <w:rsid w:val="00A25F01"/>
    <w:rsid w:val="00A26108"/>
    <w:rsid w:val="00A261EF"/>
    <w:rsid w:val="00A26684"/>
    <w:rsid w:val="00A267B6"/>
    <w:rsid w:val="00A2761E"/>
    <w:rsid w:val="00A276FB"/>
    <w:rsid w:val="00A27AC4"/>
    <w:rsid w:val="00A30279"/>
    <w:rsid w:val="00A3045D"/>
    <w:rsid w:val="00A308DB"/>
    <w:rsid w:val="00A30DAB"/>
    <w:rsid w:val="00A3117D"/>
    <w:rsid w:val="00A311CE"/>
    <w:rsid w:val="00A312FE"/>
    <w:rsid w:val="00A31812"/>
    <w:rsid w:val="00A31A35"/>
    <w:rsid w:val="00A31C22"/>
    <w:rsid w:val="00A31C36"/>
    <w:rsid w:val="00A3240F"/>
    <w:rsid w:val="00A32551"/>
    <w:rsid w:val="00A32975"/>
    <w:rsid w:val="00A32ADE"/>
    <w:rsid w:val="00A330AA"/>
    <w:rsid w:val="00A3345D"/>
    <w:rsid w:val="00A33478"/>
    <w:rsid w:val="00A3363D"/>
    <w:rsid w:val="00A33785"/>
    <w:rsid w:val="00A33C49"/>
    <w:rsid w:val="00A34284"/>
    <w:rsid w:val="00A34604"/>
    <w:rsid w:val="00A34759"/>
    <w:rsid w:val="00A359D5"/>
    <w:rsid w:val="00A35D4D"/>
    <w:rsid w:val="00A35DC0"/>
    <w:rsid w:val="00A360E9"/>
    <w:rsid w:val="00A364E8"/>
    <w:rsid w:val="00A367E8"/>
    <w:rsid w:val="00A369D3"/>
    <w:rsid w:val="00A374CF"/>
    <w:rsid w:val="00A374E5"/>
    <w:rsid w:val="00A376D6"/>
    <w:rsid w:val="00A3770D"/>
    <w:rsid w:val="00A37D0F"/>
    <w:rsid w:val="00A37E66"/>
    <w:rsid w:val="00A4008E"/>
    <w:rsid w:val="00A407E0"/>
    <w:rsid w:val="00A408D8"/>
    <w:rsid w:val="00A40FA4"/>
    <w:rsid w:val="00A41583"/>
    <w:rsid w:val="00A41590"/>
    <w:rsid w:val="00A41B30"/>
    <w:rsid w:val="00A41C9C"/>
    <w:rsid w:val="00A41D23"/>
    <w:rsid w:val="00A41DD2"/>
    <w:rsid w:val="00A41EAA"/>
    <w:rsid w:val="00A421E3"/>
    <w:rsid w:val="00A42401"/>
    <w:rsid w:val="00A42DEB"/>
    <w:rsid w:val="00A42E31"/>
    <w:rsid w:val="00A42E9E"/>
    <w:rsid w:val="00A4306C"/>
    <w:rsid w:val="00A430FB"/>
    <w:rsid w:val="00A43C17"/>
    <w:rsid w:val="00A43D1A"/>
    <w:rsid w:val="00A440DC"/>
    <w:rsid w:val="00A441D0"/>
    <w:rsid w:val="00A444C5"/>
    <w:rsid w:val="00A44B19"/>
    <w:rsid w:val="00A45573"/>
    <w:rsid w:val="00A45734"/>
    <w:rsid w:val="00A4576C"/>
    <w:rsid w:val="00A45B66"/>
    <w:rsid w:val="00A462CC"/>
    <w:rsid w:val="00A4639D"/>
    <w:rsid w:val="00A46AC5"/>
    <w:rsid w:val="00A47F7E"/>
    <w:rsid w:val="00A5012A"/>
    <w:rsid w:val="00A50B9D"/>
    <w:rsid w:val="00A50C03"/>
    <w:rsid w:val="00A51106"/>
    <w:rsid w:val="00A51E41"/>
    <w:rsid w:val="00A51E64"/>
    <w:rsid w:val="00A51F26"/>
    <w:rsid w:val="00A527A9"/>
    <w:rsid w:val="00A528B9"/>
    <w:rsid w:val="00A53098"/>
    <w:rsid w:val="00A531C8"/>
    <w:rsid w:val="00A53459"/>
    <w:rsid w:val="00A5351C"/>
    <w:rsid w:val="00A537DE"/>
    <w:rsid w:val="00A53B03"/>
    <w:rsid w:val="00A53D16"/>
    <w:rsid w:val="00A547F9"/>
    <w:rsid w:val="00A54987"/>
    <w:rsid w:val="00A54B68"/>
    <w:rsid w:val="00A54E9B"/>
    <w:rsid w:val="00A55575"/>
    <w:rsid w:val="00A55E12"/>
    <w:rsid w:val="00A5610E"/>
    <w:rsid w:val="00A56269"/>
    <w:rsid w:val="00A5641B"/>
    <w:rsid w:val="00A5642F"/>
    <w:rsid w:val="00A5663A"/>
    <w:rsid w:val="00A566D4"/>
    <w:rsid w:val="00A56D15"/>
    <w:rsid w:val="00A56EAE"/>
    <w:rsid w:val="00A570D3"/>
    <w:rsid w:val="00A5710F"/>
    <w:rsid w:val="00A57333"/>
    <w:rsid w:val="00A573E1"/>
    <w:rsid w:val="00A5792A"/>
    <w:rsid w:val="00A57A2E"/>
    <w:rsid w:val="00A57AFC"/>
    <w:rsid w:val="00A57C1B"/>
    <w:rsid w:val="00A57D69"/>
    <w:rsid w:val="00A6014C"/>
    <w:rsid w:val="00A605AB"/>
    <w:rsid w:val="00A60682"/>
    <w:rsid w:val="00A608B1"/>
    <w:rsid w:val="00A60AF4"/>
    <w:rsid w:val="00A60E85"/>
    <w:rsid w:val="00A6102F"/>
    <w:rsid w:val="00A6130B"/>
    <w:rsid w:val="00A61561"/>
    <w:rsid w:val="00A61A19"/>
    <w:rsid w:val="00A61BE3"/>
    <w:rsid w:val="00A61E0C"/>
    <w:rsid w:val="00A61F8A"/>
    <w:rsid w:val="00A6252A"/>
    <w:rsid w:val="00A633E6"/>
    <w:rsid w:val="00A6382F"/>
    <w:rsid w:val="00A63872"/>
    <w:rsid w:val="00A63C27"/>
    <w:rsid w:val="00A63FFB"/>
    <w:rsid w:val="00A6456B"/>
    <w:rsid w:val="00A64A84"/>
    <w:rsid w:val="00A64C72"/>
    <w:rsid w:val="00A64D53"/>
    <w:rsid w:val="00A64DE1"/>
    <w:rsid w:val="00A64EDF"/>
    <w:rsid w:val="00A65965"/>
    <w:rsid w:val="00A65CCC"/>
    <w:rsid w:val="00A66306"/>
    <w:rsid w:val="00A66956"/>
    <w:rsid w:val="00A66BBD"/>
    <w:rsid w:val="00A66C80"/>
    <w:rsid w:val="00A672AB"/>
    <w:rsid w:val="00A67450"/>
    <w:rsid w:val="00A6780A"/>
    <w:rsid w:val="00A7013C"/>
    <w:rsid w:val="00A70520"/>
    <w:rsid w:val="00A705D4"/>
    <w:rsid w:val="00A71735"/>
    <w:rsid w:val="00A718E8"/>
    <w:rsid w:val="00A7197D"/>
    <w:rsid w:val="00A72723"/>
    <w:rsid w:val="00A72F54"/>
    <w:rsid w:val="00A732C2"/>
    <w:rsid w:val="00A73322"/>
    <w:rsid w:val="00A73A16"/>
    <w:rsid w:val="00A73AA2"/>
    <w:rsid w:val="00A740FE"/>
    <w:rsid w:val="00A745F8"/>
    <w:rsid w:val="00A746BF"/>
    <w:rsid w:val="00A74F52"/>
    <w:rsid w:val="00A7547F"/>
    <w:rsid w:val="00A75E45"/>
    <w:rsid w:val="00A75EFD"/>
    <w:rsid w:val="00A762FE"/>
    <w:rsid w:val="00A76A4F"/>
    <w:rsid w:val="00A76DA1"/>
    <w:rsid w:val="00A76ECA"/>
    <w:rsid w:val="00A779CF"/>
    <w:rsid w:val="00A77A06"/>
    <w:rsid w:val="00A77A3D"/>
    <w:rsid w:val="00A77FD5"/>
    <w:rsid w:val="00A809E9"/>
    <w:rsid w:val="00A80F07"/>
    <w:rsid w:val="00A8152C"/>
    <w:rsid w:val="00A816E6"/>
    <w:rsid w:val="00A81E24"/>
    <w:rsid w:val="00A81F6F"/>
    <w:rsid w:val="00A820EE"/>
    <w:rsid w:val="00A821C5"/>
    <w:rsid w:val="00A8220A"/>
    <w:rsid w:val="00A82347"/>
    <w:rsid w:val="00A826C1"/>
    <w:rsid w:val="00A8296C"/>
    <w:rsid w:val="00A829C7"/>
    <w:rsid w:val="00A82B4E"/>
    <w:rsid w:val="00A82F72"/>
    <w:rsid w:val="00A831A0"/>
    <w:rsid w:val="00A8379C"/>
    <w:rsid w:val="00A839AB"/>
    <w:rsid w:val="00A83F67"/>
    <w:rsid w:val="00A83F9A"/>
    <w:rsid w:val="00A847DE"/>
    <w:rsid w:val="00A84FC9"/>
    <w:rsid w:val="00A84FDB"/>
    <w:rsid w:val="00A85723"/>
    <w:rsid w:val="00A857EB"/>
    <w:rsid w:val="00A858D2"/>
    <w:rsid w:val="00A85B4B"/>
    <w:rsid w:val="00A85D50"/>
    <w:rsid w:val="00A85FA3"/>
    <w:rsid w:val="00A86CB7"/>
    <w:rsid w:val="00A86DF6"/>
    <w:rsid w:val="00A871C2"/>
    <w:rsid w:val="00A87A86"/>
    <w:rsid w:val="00A87DC2"/>
    <w:rsid w:val="00A87ECA"/>
    <w:rsid w:val="00A90E72"/>
    <w:rsid w:val="00A9103A"/>
    <w:rsid w:val="00A91A74"/>
    <w:rsid w:val="00A91E65"/>
    <w:rsid w:val="00A921EB"/>
    <w:rsid w:val="00A927B3"/>
    <w:rsid w:val="00A92B01"/>
    <w:rsid w:val="00A930DF"/>
    <w:rsid w:val="00A93241"/>
    <w:rsid w:val="00A93C36"/>
    <w:rsid w:val="00A93E4B"/>
    <w:rsid w:val="00A946AB"/>
    <w:rsid w:val="00A9472E"/>
    <w:rsid w:val="00A9490D"/>
    <w:rsid w:val="00A94B08"/>
    <w:rsid w:val="00A94C39"/>
    <w:rsid w:val="00A94FAF"/>
    <w:rsid w:val="00A95157"/>
    <w:rsid w:val="00A958B0"/>
    <w:rsid w:val="00A96191"/>
    <w:rsid w:val="00A96686"/>
    <w:rsid w:val="00A967BC"/>
    <w:rsid w:val="00A967CA"/>
    <w:rsid w:val="00A9681E"/>
    <w:rsid w:val="00A969B3"/>
    <w:rsid w:val="00A969BA"/>
    <w:rsid w:val="00A97399"/>
    <w:rsid w:val="00A97410"/>
    <w:rsid w:val="00A9777C"/>
    <w:rsid w:val="00A9790B"/>
    <w:rsid w:val="00A97BB9"/>
    <w:rsid w:val="00A97CF2"/>
    <w:rsid w:val="00AA00B7"/>
    <w:rsid w:val="00AA0666"/>
    <w:rsid w:val="00AA072F"/>
    <w:rsid w:val="00AA0A5E"/>
    <w:rsid w:val="00AA0C55"/>
    <w:rsid w:val="00AA1172"/>
    <w:rsid w:val="00AA1A43"/>
    <w:rsid w:val="00AA1C2E"/>
    <w:rsid w:val="00AA2014"/>
    <w:rsid w:val="00AA2345"/>
    <w:rsid w:val="00AA28A2"/>
    <w:rsid w:val="00AA353E"/>
    <w:rsid w:val="00AA3AAE"/>
    <w:rsid w:val="00AA42B1"/>
    <w:rsid w:val="00AA459A"/>
    <w:rsid w:val="00AA5452"/>
    <w:rsid w:val="00AA5B3C"/>
    <w:rsid w:val="00AA5F73"/>
    <w:rsid w:val="00AA612D"/>
    <w:rsid w:val="00AA630F"/>
    <w:rsid w:val="00AA643C"/>
    <w:rsid w:val="00AA6510"/>
    <w:rsid w:val="00AA6851"/>
    <w:rsid w:val="00AA6C94"/>
    <w:rsid w:val="00AA7061"/>
    <w:rsid w:val="00AA720F"/>
    <w:rsid w:val="00AA7384"/>
    <w:rsid w:val="00AA78CE"/>
    <w:rsid w:val="00AA7D3D"/>
    <w:rsid w:val="00AB018A"/>
    <w:rsid w:val="00AB0722"/>
    <w:rsid w:val="00AB0A99"/>
    <w:rsid w:val="00AB106C"/>
    <w:rsid w:val="00AB185E"/>
    <w:rsid w:val="00AB1F7D"/>
    <w:rsid w:val="00AB2426"/>
    <w:rsid w:val="00AB2901"/>
    <w:rsid w:val="00AB2930"/>
    <w:rsid w:val="00AB2E26"/>
    <w:rsid w:val="00AB3035"/>
    <w:rsid w:val="00AB31CD"/>
    <w:rsid w:val="00AB34F5"/>
    <w:rsid w:val="00AB3933"/>
    <w:rsid w:val="00AB442C"/>
    <w:rsid w:val="00AB4445"/>
    <w:rsid w:val="00AB4958"/>
    <w:rsid w:val="00AB49E7"/>
    <w:rsid w:val="00AB52E4"/>
    <w:rsid w:val="00AB555F"/>
    <w:rsid w:val="00AB61E7"/>
    <w:rsid w:val="00AB653D"/>
    <w:rsid w:val="00AB6607"/>
    <w:rsid w:val="00AB6BBF"/>
    <w:rsid w:val="00AB757C"/>
    <w:rsid w:val="00AB774B"/>
    <w:rsid w:val="00AB7979"/>
    <w:rsid w:val="00AC018C"/>
    <w:rsid w:val="00AC01A2"/>
    <w:rsid w:val="00AC081E"/>
    <w:rsid w:val="00AC1050"/>
    <w:rsid w:val="00AC13A5"/>
    <w:rsid w:val="00AC2872"/>
    <w:rsid w:val="00AC2F2F"/>
    <w:rsid w:val="00AC2FDF"/>
    <w:rsid w:val="00AC3204"/>
    <w:rsid w:val="00AC33E5"/>
    <w:rsid w:val="00AC3442"/>
    <w:rsid w:val="00AC3494"/>
    <w:rsid w:val="00AC362E"/>
    <w:rsid w:val="00AC3A7A"/>
    <w:rsid w:val="00AC3E5A"/>
    <w:rsid w:val="00AC3F93"/>
    <w:rsid w:val="00AC40E5"/>
    <w:rsid w:val="00AC41F6"/>
    <w:rsid w:val="00AC42ED"/>
    <w:rsid w:val="00AC4886"/>
    <w:rsid w:val="00AC52CB"/>
    <w:rsid w:val="00AC5646"/>
    <w:rsid w:val="00AC56B1"/>
    <w:rsid w:val="00AC5A48"/>
    <w:rsid w:val="00AC6061"/>
    <w:rsid w:val="00AC6425"/>
    <w:rsid w:val="00AC6B1C"/>
    <w:rsid w:val="00AC6BA5"/>
    <w:rsid w:val="00AC6D55"/>
    <w:rsid w:val="00AC74E8"/>
    <w:rsid w:val="00AC75B6"/>
    <w:rsid w:val="00AC7F86"/>
    <w:rsid w:val="00AD0084"/>
    <w:rsid w:val="00AD0089"/>
    <w:rsid w:val="00AD03B8"/>
    <w:rsid w:val="00AD06BF"/>
    <w:rsid w:val="00AD07BB"/>
    <w:rsid w:val="00AD1A5A"/>
    <w:rsid w:val="00AD1ABC"/>
    <w:rsid w:val="00AD2037"/>
    <w:rsid w:val="00AD22FB"/>
    <w:rsid w:val="00AD314F"/>
    <w:rsid w:val="00AD360B"/>
    <w:rsid w:val="00AD3817"/>
    <w:rsid w:val="00AD3F04"/>
    <w:rsid w:val="00AD480C"/>
    <w:rsid w:val="00AD48CB"/>
    <w:rsid w:val="00AD4D15"/>
    <w:rsid w:val="00AD4ED8"/>
    <w:rsid w:val="00AD5CF3"/>
    <w:rsid w:val="00AD6036"/>
    <w:rsid w:val="00AD62BB"/>
    <w:rsid w:val="00AD634C"/>
    <w:rsid w:val="00AD691C"/>
    <w:rsid w:val="00AD6941"/>
    <w:rsid w:val="00AD6AAC"/>
    <w:rsid w:val="00AD73E0"/>
    <w:rsid w:val="00AD7480"/>
    <w:rsid w:val="00AD7F88"/>
    <w:rsid w:val="00AE006C"/>
    <w:rsid w:val="00AE0392"/>
    <w:rsid w:val="00AE047B"/>
    <w:rsid w:val="00AE06B3"/>
    <w:rsid w:val="00AE072D"/>
    <w:rsid w:val="00AE08FC"/>
    <w:rsid w:val="00AE0F5C"/>
    <w:rsid w:val="00AE163C"/>
    <w:rsid w:val="00AE18B3"/>
    <w:rsid w:val="00AE195F"/>
    <w:rsid w:val="00AE1C04"/>
    <w:rsid w:val="00AE1E79"/>
    <w:rsid w:val="00AE2154"/>
    <w:rsid w:val="00AE24F3"/>
    <w:rsid w:val="00AE28F7"/>
    <w:rsid w:val="00AE2ECE"/>
    <w:rsid w:val="00AE3284"/>
    <w:rsid w:val="00AE3EEB"/>
    <w:rsid w:val="00AE4124"/>
    <w:rsid w:val="00AE4149"/>
    <w:rsid w:val="00AE47D8"/>
    <w:rsid w:val="00AE585C"/>
    <w:rsid w:val="00AE5EBA"/>
    <w:rsid w:val="00AE61E5"/>
    <w:rsid w:val="00AE6219"/>
    <w:rsid w:val="00AE6F97"/>
    <w:rsid w:val="00AE6FC8"/>
    <w:rsid w:val="00AE7763"/>
    <w:rsid w:val="00AE7A00"/>
    <w:rsid w:val="00AE7DD9"/>
    <w:rsid w:val="00AF00E7"/>
    <w:rsid w:val="00AF0A60"/>
    <w:rsid w:val="00AF1241"/>
    <w:rsid w:val="00AF1774"/>
    <w:rsid w:val="00AF3A18"/>
    <w:rsid w:val="00AF3AEF"/>
    <w:rsid w:val="00AF3C3C"/>
    <w:rsid w:val="00AF4188"/>
    <w:rsid w:val="00AF5682"/>
    <w:rsid w:val="00AF5E4E"/>
    <w:rsid w:val="00AF5E64"/>
    <w:rsid w:val="00AF6051"/>
    <w:rsid w:val="00AF60E0"/>
    <w:rsid w:val="00AF623E"/>
    <w:rsid w:val="00AF6408"/>
    <w:rsid w:val="00AF6760"/>
    <w:rsid w:val="00AF6CB8"/>
    <w:rsid w:val="00AF6E26"/>
    <w:rsid w:val="00AF7222"/>
    <w:rsid w:val="00AF722B"/>
    <w:rsid w:val="00AF72A0"/>
    <w:rsid w:val="00AF7576"/>
    <w:rsid w:val="00AF7A13"/>
    <w:rsid w:val="00B0045A"/>
    <w:rsid w:val="00B00C2A"/>
    <w:rsid w:val="00B0148F"/>
    <w:rsid w:val="00B01B84"/>
    <w:rsid w:val="00B0264F"/>
    <w:rsid w:val="00B02C78"/>
    <w:rsid w:val="00B02EA4"/>
    <w:rsid w:val="00B040CF"/>
    <w:rsid w:val="00B04358"/>
    <w:rsid w:val="00B04381"/>
    <w:rsid w:val="00B0467A"/>
    <w:rsid w:val="00B0512C"/>
    <w:rsid w:val="00B051B0"/>
    <w:rsid w:val="00B059A2"/>
    <w:rsid w:val="00B05A6F"/>
    <w:rsid w:val="00B05E31"/>
    <w:rsid w:val="00B062D7"/>
    <w:rsid w:val="00B0648E"/>
    <w:rsid w:val="00B065AB"/>
    <w:rsid w:val="00B06688"/>
    <w:rsid w:val="00B06BE2"/>
    <w:rsid w:val="00B07383"/>
    <w:rsid w:val="00B079DD"/>
    <w:rsid w:val="00B079E8"/>
    <w:rsid w:val="00B07F12"/>
    <w:rsid w:val="00B07F23"/>
    <w:rsid w:val="00B106F5"/>
    <w:rsid w:val="00B10C74"/>
    <w:rsid w:val="00B10D9F"/>
    <w:rsid w:val="00B11024"/>
    <w:rsid w:val="00B1140C"/>
    <w:rsid w:val="00B116CC"/>
    <w:rsid w:val="00B1177D"/>
    <w:rsid w:val="00B11C50"/>
    <w:rsid w:val="00B1221E"/>
    <w:rsid w:val="00B12343"/>
    <w:rsid w:val="00B12651"/>
    <w:rsid w:val="00B12BDA"/>
    <w:rsid w:val="00B13440"/>
    <w:rsid w:val="00B134E2"/>
    <w:rsid w:val="00B13C55"/>
    <w:rsid w:val="00B13FC5"/>
    <w:rsid w:val="00B14B2C"/>
    <w:rsid w:val="00B14DDA"/>
    <w:rsid w:val="00B15B8F"/>
    <w:rsid w:val="00B15C59"/>
    <w:rsid w:val="00B1658F"/>
    <w:rsid w:val="00B16617"/>
    <w:rsid w:val="00B1759B"/>
    <w:rsid w:val="00B17744"/>
    <w:rsid w:val="00B17BDA"/>
    <w:rsid w:val="00B17BDE"/>
    <w:rsid w:val="00B20341"/>
    <w:rsid w:val="00B21942"/>
    <w:rsid w:val="00B21EE5"/>
    <w:rsid w:val="00B21F8C"/>
    <w:rsid w:val="00B21FF7"/>
    <w:rsid w:val="00B224A4"/>
    <w:rsid w:val="00B22522"/>
    <w:rsid w:val="00B235D3"/>
    <w:rsid w:val="00B23831"/>
    <w:rsid w:val="00B23F62"/>
    <w:rsid w:val="00B24092"/>
    <w:rsid w:val="00B2411E"/>
    <w:rsid w:val="00B245DD"/>
    <w:rsid w:val="00B250B3"/>
    <w:rsid w:val="00B252F1"/>
    <w:rsid w:val="00B25A0C"/>
    <w:rsid w:val="00B263A6"/>
    <w:rsid w:val="00B266FC"/>
    <w:rsid w:val="00B26832"/>
    <w:rsid w:val="00B27684"/>
    <w:rsid w:val="00B277BE"/>
    <w:rsid w:val="00B27C51"/>
    <w:rsid w:val="00B27F67"/>
    <w:rsid w:val="00B3022B"/>
    <w:rsid w:val="00B30527"/>
    <w:rsid w:val="00B30643"/>
    <w:rsid w:val="00B30BE1"/>
    <w:rsid w:val="00B30C85"/>
    <w:rsid w:val="00B30DFA"/>
    <w:rsid w:val="00B3130C"/>
    <w:rsid w:val="00B31366"/>
    <w:rsid w:val="00B31EAE"/>
    <w:rsid w:val="00B32A48"/>
    <w:rsid w:val="00B32C66"/>
    <w:rsid w:val="00B32CF0"/>
    <w:rsid w:val="00B331EB"/>
    <w:rsid w:val="00B33449"/>
    <w:rsid w:val="00B33550"/>
    <w:rsid w:val="00B33CC4"/>
    <w:rsid w:val="00B33ECA"/>
    <w:rsid w:val="00B33FE3"/>
    <w:rsid w:val="00B341DC"/>
    <w:rsid w:val="00B34291"/>
    <w:rsid w:val="00B34E69"/>
    <w:rsid w:val="00B358B1"/>
    <w:rsid w:val="00B359E7"/>
    <w:rsid w:val="00B35B2E"/>
    <w:rsid w:val="00B35C6E"/>
    <w:rsid w:val="00B36021"/>
    <w:rsid w:val="00B36203"/>
    <w:rsid w:val="00B362C4"/>
    <w:rsid w:val="00B3659C"/>
    <w:rsid w:val="00B36626"/>
    <w:rsid w:val="00B36C85"/>
    <w:rsid w:val="00B36F6C"/>
    <w:rsid w:val="00B37014"/>
    <w:rsid w:val="00B3704B"/>
    <w:rsid w:val="00B370A8"/>
    <w:rsid w:val="00B3730D"/>
    <w:rsid w:val="00B3777C"/>
    <w:rsid w:val="00B37D0B"/>
    <w:rsid w:val="00B37DA6"/>
    <w:rsid w:val="00B37DDA"/>
    <w:rsid w:val="00B37EA8"/>
    <w:rsid w:val="00B40094"/>
    <w:rsid w:val="00B400D2"/>
    <w:rsid w:val="00B40498"/>
    <w:rsid w:val="00B4062C"/>
    <w:rsid w:val="00B40C6B"/>
    <w:rsid w:val="00B40D65"/>
    <w:rsid w:val="00B410CE"/>
    <w:rsid w:val="00B41184"/>
    <w:rsid w:val="00B4127C"/>
    <w:rsid w:val="00B41664"/>
    <w:rsid w:val="00B416DF"/>
    <w:rsid w:val="00B41F81"/>
    <w:rsid w:val="00B423F3"/>
    <w:rsid w:val="00B425E5"/>
    <w:rsid w:val="00B4271E"/>
    <w:rsid w:val="00B42EE3"/>
    <w:rsid w:val="00B4312B"/>
    <w:rsid w:val="00B44106"/>
    <w:rsid w:val="00B44382"/>
    <w:rsid w:val="00B44D4D"/>
    <w:rsid w:val="00B44F31"/>
    <w:rsid w:val="00B4528A"/>
    <w:rsid w:val="00B45815"/>
    <w:rsid w:val="00B459EB"/>
    <w:rsid w:val="00B45B28"/>
    <w:rsid w:val="00B461FE"/>
    <w:rsid w:val="00B46826"/>
    <w:rsid w:val="00B46FD4"/>
    <w:rsid w:val="00B4756F"/>
    <w:rsid w:val="00B476D2"/>
    <w:rsid w:val="00B500F0"/>
    <w:rsid w:val="00B50B2E"/>
    <w:rsid w:val="00B50D46"/>
    <w:rsid w:val="00B50DD2"/>
    <w:rsid w:val="00B50FCF"/>
    <w:rsid w:val="00B51278"/>
    <w:rsid w:val="00B51BBE"/>
    <w:rsid w:val="00B51F1D"/>
    <w:rsid w:val="00B522AD"/>
    <w:rsid w:val="00B522EC"/>
    <w:rsid w:val="00B5264B"/>
    <w:rsid w:val="00B52900"/>
    <w:rsid w:val="00B5296C"/>
    <w:rsid w:val="00B529D2"/>
    <w:rsid w:val="00B52BA6"/>
    <w:rsid w:val="00B534AB"/>
    <w:rsid w:val="00B53A61"/>
    <w:rsid w:val="00B53B5F"/>
    <w:rsid w:val="00B540F4"/>
    <w:rsid w:val="00B54A4A"/>
    <w:rsid w:val="00B54C54"/>
    <w:rsid w:val="00B5512A"/>
    <w:rsid w:val="00B553AD"/>
    <w:rsid w:val="00B55449"/>
    <w:rsid w:val="00B55BC3"/>
    <w:rsid w:val="00B56193"/>
    <w:rsid w:val="00B56991"/>
    <w:rsid w:val="00B56C6E"/>
    <w:rsid w:val="00B56C71"/>
    <w:rsid w:val="00B57368"/>
    <w:rsid w:val="00B5774A"/>
    <w:rsid w:val="00B57C8E"/>
    <w:rsid w:val="00B607C1"/>
    <w:rsid w:val="00B60C3B"/>
    <w:rsid w:val="00B60D56"/>
    <w:rsid w:val="00B60F68"/>
    <w:rsid w:val="00B61856"/>
    <w:rsid w:val="00B61897"/>
    <w:rsid w:val="00B6242D"/>
    <w:rsid w:val="00B62593"/>
    <w:rsid w:val="00B63B1B"/>
    <w:rsid w:val="00B63BEF"/>
    <w:rsid w:val="00B63F7D"/>
    <w:rsid w:val="00B6443E"/>
    <w:rsid w:val="00B64BE6"/>
    <w:rsid w:val="00B64C54"/>
    <w:rsid w:val="00B64DE3"/>
    <w:rsid w:val="00B655E7"/>
    <w:rsid w:val="00B658A8"/>
    <w:rsid w:val="00B65FD2"/>
    <w:rsid w:val="00B6601E"/>
    <w:rsid w:val="00B66383"/>
    <w:rsid w:val="00B665AC"/>
    <w:rsid w:val="00B665C9"/>
    <w:rsid w:val="00B667F4"/>
    <w:rsid w:val="00B6694C"/>
    <w:rsid w:val="00B66F43"/>
    <w:rsid w:val="00B66FCF"/>
    <w:rsid w:val="00B670C3"/>
    <w:rsid w:val="00B67187"/>
    <w:rsid w:val="00B675BF"/>
    <w:rsid w:val="00B679EE"/>
    <w:rsid w:val="00B67C12"/>
    <w:rsid w:val="00B67D5A"/>
    <w:rsid w:val="00B7017E"/>
    <w:rsid w:val="00B702CC"/>
    <w:rsid w:val="00B70889"/>
    <w:rsid w:val="00B708C3"/>
    <w:rsid w:val="00B70A15"/>
    <w:rsid w:val="00B711F4"/>
    <w:rsid w:val="00B7129F"/>
    <w:rsid w:val="00B713DD"/>
    <w:rsid w:val="00B7146A"/>
    <w:rsid w:val="00B714D7"/>
    <w:rsid w:val="00B71957"/>
    <w:rsid w:val="00B71D31"/>
    <w:rsid w:val="00B730B5"/>
    <w:rsid w:val="00B7339F"/>
    <w:rsid w:val="00B7343C"/>
    <w:rsid w:val="00B7356C"/>
    <w:rsid w:val="00B736CA"/>
    <w:rsid w:val="00B739D8"/>
    <w:rsid w:val="00B739F4"/>
    <w:rsid w:val="00B73A95"/>
    <w:rsid w:val="00B73AA0"/>
    <w:rsid w:val="00B746B5"/>
    <w:rsid w:val="00B74CED"/>
    <w:rsid w:val="00B7516F"/>
    <w:rsid w:val="00B75546"/>
    <w:rsid w:val="00B75C5C"/>
    <w:rsid w:val="00B75E9D"/>
    <w:rsid w:val="00B7630B"/>
    <w:rsid w:val="00B7647E"/>
    <w:rsid w:val="00B76571"/>
    <w:rsid w:val="00B768FA"/>
    <w:rsid w:val="00B76EBE"/>
    <w:rsid w:val="00B76FDA"/>
    <w:rsid w:val="00B774F9"/>
    <w:rsid w:val="00B77605"/>
    <w:rsid w:val="00B77CBF"/>
    <w:rsid w:val="00B8059D"/>
    <w:rsid w:val="00B80F96"/>
    <w:rsid w:val="00B81155"/>
    <w:rsid w:val="00B820F7"/>
    <w:rsid w:val="00B82130"/>
    <w:rsid w:val="00B821EF"/>
    <w:rsid w:val="00B82233"/>
    <w:rsid w:val="00B82246"/>
    <w:rsid w:val="00B82F66"/>
    <w:rsid w:val="00B82FC2"/>
    <w:rsid w:val="00B832CF"/>
    <w:rsid w:val="00B833A5"/>
    <w:rsid w:val="00B83844"/>
    <w:rsid w:val="00B83CEF"/>
    <w:rsid w:val="00B83E8B"/>
    <w:rsid w:val="00B83EB3"/>
    <w:rsid w:val="00B840FA"/>
    <w:rsid w:val="00B84CE8"/>
    <w:rsid w:val="00B85195"/>
    <w:rsid w:val="00B855DF"/>
    <w:rsid w:val="00B864E1"/>
    <w:rsid w:val="00B865BF"/>
    <w:rsid w:val="00B8661D"/>
    <w:rsid w:val="00B8680A"/>
    <w:rsid w:val="00B86ADB"/>
    <w:rsid w:val="00B86B2D"/>
    <w:rsid w:val="00B87644"/>
    <w:rsid w:val="00B87846"/>
    <w:rsid w:val="00B879FD"/>
    <w:rsid w:val="00B87F32"/>
    <w:rsid w:val="00B90033"/>
    <w:rsid w:val="00B90825"/>
    <w:rsid w:val="00B90993"/>
    <w:rsid w:val="00B91111"/>
    <w:rsid w:val="00B9136E"/>
    <w:rsid w:val="00B918AE"/>
    <w:rsid w:val="00B91E08"/>
    <w:rsid w:val="00B925E5"/>
    <w:rsid w:val="00B92773"/>
    <w:rsid w:val="00B92B0D"/>
    <w:rsid w:val="00B92DB3"/>
    <w:rsid w:val="00B92F02"/>
    <w:rsid w:val="00B931EF"/>
    <w:rsid w:val="00B9387C"/>
    <w:rsid w:val="00B93955"/>
    <w:rsid w:val="00B9449E"/>
    <w:rsid w:val="00B946E2"/>
    <w:rsid w:val="00B94946"/>
    <w:rsid w:val="00B9497F"/>
    <w:rsid w:val="00B94B7F"/>
    <w:rsid w:val="00B94CE7"/>
    <w:rsid w:val="00B95206"/>
    <w:rsid w:val="00B9557E"/>
    <w:rsid w:val="00B95850"/>
    <w:rsid w:val="00B95968"/>
    <w:rsid w:val="00B95C1D"/>
    <w:rsid w:val="00B95C34"/>
    <w:rsid w:val="00B95C7F"/>
    <w:rsid w:val="00B971B7"/>
    <w:rsid w:val="00B97225"/>
    <w:rsid w:val="00B9755C"/>
    <w:rsid w:val="00B975F8"/>
    <w:rsid w:val="00B978D4"/>
    <w:rsid w:val="00BA0AB8"/>
    <w:rsid w:val="00BA0AF9"/>
    <w:rsid w:val="00BA1003"/>
    <w:rsid w:val="00BA1264"/>
    <w:rsid w:val="00BA1335"/>
    <w:rsid w:val="00BA18CA"/>
    <w:rsid w:val="00BA197C"/>
    <w:rsid w:val="00BA1BAA"/>
    <w:rsid w:val="00BA1CC2"/>
    <w:rsid w:val="00BA1E43"/>
    <w:rsid w:val="00BA29E6"/>
    <w:rsid w:val="00BA3220"/>
    <w:rsid w:val="00BA3398"/>
    <w:rsid w:val="00BA3529"/>
    <w:rsid w:val="00BA38A0"/>
    <w:rsid w:val="00BA3BD0"/>
    <w:rsid w:val="00BA4227"/>
    <w:rsid w:val="00BA4633"/>
    <w:rsid w:val="00BA4786"/>
    <w:rsid w:val="00BA47BB"/>
    <w:rsid w:val="00BA4AA5"/>
    <w:rsid w:val="00BA5862"/>
    <w:rsid w:val="00BA58DD"/>
    <w:rsid w:val="00BA59E9"/>
    <w:rsid w:val="00BA5CE5"/>
    <w:rsid w:val="00BA5D54"/>
    <w:rsid w:val="00BA5D9C"/>
    <w:rsid w:val="00BA633B"/>
    <w:rsid w:val="00BA6446"/>
    <w:rsid w:val="00BA68AB"/>
    <w:rsid w:val="00BA6B88"/>
    <w:rsid w:val="00BA6D98"/>
    <w:rsid w:val="00BA7333"/>
    <w:rsid w:val="00BA7338"/>
    <w:rsid w:val="00BA7564"/>
    <w:rsid w:val="00BA7BD4"/>
    <w:rsid w:val="00BA7E46"/>
    <w:rsid w:val="00BA7F56"/>
    <w:rsid w:val="00BB001E"/>
    <w:rsid w:val="00BB01DE"/>
    <w:rsid w:val="00BB0A66"/>
    <w:rsid w:val="00BB0B41"/>
    <w:rsid w:val="00BB18E0"/>
    <w:rsid w:val="00BB1C10"/>
    <w:rsid w:val="00BB1C7C"/>
    <w:rsid w:val="00BB1FA2"/>
    <w:rsid w:val="00BB23E1"/>
    <w:rsid w:val="00BB28F5"/>
    <w:rsid w:val="00BB2F00"/>
    <w:rsid w:val="00BB338D"/>
    <w:rsid w:val="00BB3519"/>
    <w:rsid w:val="00BB3877"/>
    <w:rsid w:val="00BB3D8C"/>
    <w:rsid w:val="00BB44D6"/>
    <w:rsid w:val="00BB4E94"/>
    <w:rsid w:val="00BB5211"/>
    <w:rsid w:val="00BB53E2"/>
    <w:rsid w:val="00BB5E35"/>
    <w:rsid w:val="00BB6C02"/>
    <w:rsid w:val="00BB6D50"/>
    <w:rsid w:val="00BB6E87"/>
    <w:rsid w:val="00BB720F"/>
    <w:rsid w:val="00BB74EF"/>
    <w:rsid w:val="00BB753D"/>
    <w:rsid w:val="00BB7995"/>
    <w:rsid w:val="00BC0448"/>
    <w:rsid w:val="00BC066B"/>
    <w:rsid w:val="00BC0D57"/>
    <w:rsid w:val="00BC1138"/>
    <w:rsid w:val="00BC166A"/>
    <w:rsid w:val="00BC236A"/>
    <w:rsid w:val="00BC23FD"/>
    <w:rsid w:val="00BC2FE1"/>
    <w:rsid w:val="00BC30F2"/>
    <w:rsid w:val="00BC32A4"/>
    <w:rsid w:val="00BC383D"/>
    <w:rsid w:val="00BC3A5C"/>
    <w:rsid w:val="00BC3DDA"/>
    <w:rsid w:val="00BC4508"/>
    <w:rsid w:val="00BC530D"/>
    <w:rsid w:val="00BC5635"/>
    <w:rsid w:val="00BC5C54"/>
    <w:rsid w:val="00BC5FA3"/>
    <w:rsid w:val="00BC64E0"/>
    <w:rsid w:val="00BC6A53"/>
    <w:rsid w:val="00BC71BE"/>
    <w:rsid w:val="00BC7402"/>
    <w:rsid w:val="00BC7D8D"/>
    <w:rsid w:val="00BC7EF9"/>
    <w:rsid w:val="00BD03B3"/>
    <w:rsid w:val="00BD0E85"/>
    <w:rsid w:val="00BD13B7"/>
    <w:rsid w:val="00BD1D5E"/>
    <w:rsid w:val="00BD2A13"/>
    <w:rsid w:val="00BD2D53"/>
    <w:rsid w:val="00BD3A25"/>
    <w:rsid w:val="00BD3AFA"/>
    <w:rsid w:val="00BD3EF0"/>
    <w:rsid w:val="00BD419F"/>
    <w:rsid w:val="00BD4D63"/>
    <w:rsid w:val="00BD510E"/>
    <w:rsid w:val="00BD5AAE"/>
    <w:rsid w:val="00BD6CC2"/>
    <w:rsid w:val="00BD6CDA"/>
    <w:rsid w:val="00BD75B7"/>
    <w:rsid w:val="00BD77E9"/>
    <w:rsid w:val="00BD7F97"/>
    <w:rsid w:val="00BE05E9"/>
    <w:rsid w:val="00BE22C4"/>
    <w:rsid w:val="00BE231E"/>
    <w:rsid w:val="00BE2AF5"/>
    <w:rsid w:val="00BE308E"/>
    <w:rsid w:val="00BE3853"/>
    <w:rsid w:val="00BE3B1D"/>
    <w:rsid w:val="00BE3D95"/>
    <w:rsid w:val="00BE412B"/>
    <w:rsid w:val="00BE44A4"/>
    <w:rsid w:val="00BE465A"/>
    <w:rsid w:val="00BE5093"/>
    <w:rsid w:val="00BE5190"/>
    <w:rsid w:val="00BE543B"/>
    <w:rsid w:val="00BE58A4"/>
    <w:rsid w:val="00BE6691"/>
    <w:rsid w:val="00BE678C"/>
    <w:rsid w:val="00BE7305"/>
    <w:rsid w:val="00BE731E"/>
    <w:rsid w:val="00BE745F"/>
    <w:rsid w:val="00BE75BC"/>
    <w:rsid w:val="00BF010D"/>
    <w:rsid w:val="00BF0B3E"/>
    <w:rsid w:val="00BF0DC6"/>
    <w:rsid w:val="00BF0E8F"/>
    <w:rsid w:val="00BF0EA3"/>
    <w:rsid w:val="00BF1A66"/>
    <w:rsid w:val="00BF1BEF"/>
    <w:rsid w:val="00BF2C1A"/>
    <w:rsid w:val="00BF2FDB"/>
    <w:rsid w:val="00BF315C"/>
    <w:rsid w:val="00BF3201"/>
    <w:rsid w:val="00BF3715"/>
    <w:rsid w:val="00BF38BA"/>
    <w:rsid w:val="00BF4132"/>
    <w:rsid w:val="00BF50C7"/>
    <w:rsid w:val="00BF5535"/>
    <w:rsid w:val="00BF5606"/>
    <w:rsid w:val="00BF58E5"/>
    <w:rsid w:val="00BF5BFD"/>
    <w:rsid w:val="00BF6889"/>
    <w:rsid w:val="00BF6F9B"/>
    <w:rsid w:val="00BF7431"/>
    <w:rsid w:val="00BF7661"/>
    <w:rsid w:val="00BF7CE0"/>
    <w:rsid w:val="00C001F8"/>
    <w:rsid w:val="00C0042C"/>
    <w:rsid w:val="00C005FF"/>
    <w:rsid w:val="00C00A43"/>
    <w:rsid w:val="00C01186"/>
    <w:rsid w:val="00C01305"/>
    <w:rsid w:val="00C015A4"/>
    <w:rsid w:val="00C01ED6"/>
    <w:rsid w:val="00C01FDD"/>
    <w:rsid w:val="00C021C5"/>
    <w:rsid w:val="00C0304F"/>
    <w:rsid w:val="00C03083"/>
    <w:rsid w:val="00C03207"/>
    <w:rsid w:val="00C03565"/>
    <w:rsid w:val="00C036CF"/>
    <w:rsid w:val="00C04081"/>
    <w:rsid w:val="00C04B32"/>
    <w:rsid w:val="00C04BDD"/>
    <w:rsid w:val="00C04D9F"/>
    <w:rsid w:val="00C04DA2"/>
    <w:rsid w:val="00C05705"/>
    <w:rsid w:val="00C05915"/>
    <w:rsid w:val="00C05979"/>
    <w:rsid w:val="00C05BBF"/>
    <w:rsid w:val="00C05D6B"/>
    <w:rsid w:val="00C05F33"/>
    <w:rsid w:val="00C060B9"/>
    <w:rsid w:val="00C0664C"/>
    <w:rsid w:val="00C06650"/>
    <w:rsid w:val="00C0673C"/>
    <w:rsid w:val="00C068C6"/>
    <w:rsid w:val="00C06EA6"/>
    <w:rsid w:val="00C06F64"/>
    <w:rsid w:val="00C07112"/>
    <w:rsid w:val="00C071F2"/>
    <w:rsid w:val="00C0772D"/>
    <w:rsid w:val="00C1043D"/>
    <w:rsid w:val="00C10E25"/>
    <w:rsid w:val="00C10E6E"/>
    <w:rsid w:val="00C11021"/>
    <w:rsid w:val="00C114E1"/>
    <w:rsid w:val="00C121B4"/>
    <w:rsid w:val="00C123E5"/>
    <w:rsid w:val="00C1248D"/>
    <w:rsid w:val="00C1276A"/>
    <w:rsid w:val="00C127FA"/>
    <w:rsid w:val="00C138FE"/>
    <w:rsid w:val="00C13AA1"/>
    <w:rsid w:val="00C14F37"/>
    <w:rsid w:val="00C15642"/>
    <w:rsid w:val="00C15AE2"/>
    <w:rsid w:val="00C15F08"/>
    <w:rsid w:val="00C1610A"/>
    <w:rsid w:val="00C1673F"/>
    <w:rsid w:val="00C16EF3"/>
    <w:rsid w:val="00C171F2"/>
    <w:rsid w:val="00C173BC"/>
    <w:rsid w:val="00C175E6"/>
    <w:rsid w:val="00C17E0C"/>
    <w:rsid w:val="00C201EF"/>
    <w:rsid w:val="00C204ED"/>
    <w:rsid w:val="00C20A79"/>
    <w:rsid w:val="00C218BB"/>
    <w:rsid w:val="00C22412"/>
    <w:rsid w:val="00C22BF1"/>
    <w:rsid w:val="00C22C7E"/>
    <w:rsid w:val="00C22CDB"/>
    <w:rsid w:val="00C231CF"/>
    <w:rsid w:val="00C23B3B"/>
    <w:rsid w:val="00C23E67"/>
    <w:rsid w:val="00C24083"/>
    <w:rsid w:val="00C241E4"/>
    <w:rsid w:val="00C243F6"/>
    <w:rsid w:val="00C24911"/>
    <w:rsid w:val="00C24F71"/>
    <w:rsid w:val="00C25424"/>
    <w:rsid w:val="00C25510"/>
    <w:rsid w:val="00C25B2A"/>
    <w:rsid w:val="00C25C27"/>
    <w:rsid w:val="00C261CC"/>
    <w:rsid w:val="00C265AE"/>
    <w:rsid w:val="00C267FA"/>
    <w:rsid w:val="00C272B0"/>
    <w:rsid w:val="00C273D2"/>
    <w:rsid w:val="00C274FF"/>
    <w:rsid w:val="00C27EF7"/>
    <w:rsid w:val="00C301DA"/>
    <w:rsid w:val="00C30865"/>
    <w:rsid w:val="00C30FEE"/>
    <w:rsid w:val="00C3108C"/>
    <w:rsid w:val="00C31149"/>
    <w:rsid w:val="00C31281"/>
    <w:rsid w:val="00C31A04"/>
    <w:rsid w:val="00C31DE5"/>
    <w:rsid w:val="00C321F1"/>
    <w:rsid w:val="00C32236"/>
    <w:rsid w:val="00C32579"/>
    <w:rsid w:val="00C325C0"/>
    <w:rsid w:val="00C32760"/>
    <w:rsid w:val="00C327F8"/>
    <w:rsid w:val="00C32CA2"/>
    <w:rsid w:val="00C32F7F"/>
    <w:rsid w:val="00C336F3"/>
    <w:rsid w:val="00C3373E"/>
    <w:rsid w:val="00C338BB"/>
    <w:rsid w:val="00C34015"/>
    <w:rsid w:val="00C34056"/>
    <w:rsid w:val="00C3487C"/>
    <w:rsid w:val="00C34EE3"/>
    <w:rsid w:val="00C35111"/>
    <w:rsid w:val="00C351A9"/>
    <w:rsid w:val="00C353B6"/>
    <w:rsid w:val="00C35474"/>
    <w:rsid w:val="00C35509"/>
    <w:rsid w:val="00C355C7"/>
    <w:rsid w:val="00C35A39"/>
    <w:rsid w:val="00C35AE7"/>
    <w:rsid w:val="00C35FAD"/>
    <w:rsid w:val="00C36308"/>
    <w:rsid w:val="00C364B1"/>
    <w:rsid w:val="00C3683C"/>
    <w:rsid w:val="00C37719"/>
    <w:rsid w:val="00C37B08"/>
    <w:rsid w:val="00C37F93"/>
    <w:rsid w:val="00C401F5"/>
    <w:rsid w:val="00C402A3"/>
    <w:rsid w:val="00C40394"/>
    <w:rsid w:val="00C40847"/>
    <w:rsid w:val="00C40BC5"/>
    <w:rsid w:val="00C41155"/>
    <w:rsid w:val="00C41451"/>
    <w:rsid w:val="00C4204E"/>
    <w:rsid w:val="00C42568"/>
    <w:rsid w:val="00C42724"/>
    <w:rsid w:val="00C42797"/>
    <w:rsid w:val="00C42F65"/>
    <w:rsid w:val="00C432C7"/>
    <w:rsid w:val="00C43735"/>
    <w:rsid w:val="00C43B1C"/>
    <w:rsid w:val="00C44227"/>
    <w:rsid w:val="00C44644"/>
    <w:rsid w:val="00C4475A"/>
    <w:rsid w:val="00C44A8B"/>
    <w:rsid w:val="00C44D1E"/>
    <w:rsid w:val="00C45004"/>
    <w:rsid w:val="00C45286"/>
    <w:rsid w:val="00C45875"/>
    <w:rsid w:val="00C4624B"/>
    <w:rsid w:val="00C46624"/>
    <w:rsid w:val="00C46767"/>
    <w:rsid w:val="00C46903"/>
    <w:rsid w:val="00C46AEE"/>
    <w:rsid w:val="00C46B22"/>
    <w:rsid w:val="00C46F9F"/>
    <w:rsid w:val="00C47679"/>
    <w:rsid w:val="00C47A03"/>
    <w:rsid w:val="00C47D2A"/>
    <w:rsid w:val="00C47ED9"/>
    <w:rsid w:val="00C50763"/>
    <w:rsid w:val="00C50D31"/>
    <w:rsid w:val="00C50EEA"/>
    <w:rsid w:val="00C51418"/>
    <w:rsid w:val="00C516C6"/>
    <w:rsid w:val="00C51CD0"/>
    <w:rsid w:val="00C51E87"/>
    <w:rsid w:val="00C5202C"/>
    <w:rsid w:val="00C5276D"/>
    <w:rsid w:val="00C52E21"/>
    <w:rsid w:val="00C53163"/>
    <w:rsid w:val="00C533B4"/>
    <w:rsid w:val="00C53534"/>
    <w:rsid w:val="00C53551"/>
    <w:rsid w:val="00C537F3"/>
    <w:rsid w:val="00C5390F"/>
    <w:rsid w:val="00C5469C"/>
    <w:rsid w:val="00C54703"/>
    <w:rsid w:val="00C54C3D"/>
    <w:rsid w:val="00C54E6C"/>
    <w:rsid w:val="00C55B47"/>
    <w:rsid w:val="00C55F7F"/>
    <w:rsid w:val="00C566C9"/>
    <w:rsid w:val="00C5682E"/>
    <w:rsid w:val="00C56A20"/>
    <w:rsid w:val="00C56EA6"/>
    <w:rsid w:val="00C5778B"/>
    <w:rsid w:val="00C57F8A"/>
    <w:rsid w:val="00C6002C"/>
    <w:rsid w:val="00C60641"/>
    <w:rsid w:val="00C60661"/>
    <w:rsid w:val="00C60A8F"/>
    <w:rsid w:val="00C60EBC"/>
    <w:rsid w:val="00C61308"/>
    <w:rsid w:val="00C61BC4"/>
    <w:rsid w:val="00C61F4F"/>
    <w:rsid w:val="00C62A98"/>
    <w:rsid w:val="00C62DD0"/>
    <w:rsid w:val="00C62EF9"/>
    <w:rsid w:val="00C62F15"/>
    <w:rsid w:val="00C631FF"/>
    <w:rsid w:val="00C63696"/>
    <w:rsid w:val="00C6373C"/>
    <w:rsid w:val="00C638D6"/>
    <w:rsid w:val="00C6446F"/>
    <w:rsid w:val="00C64508"/>
    <w:rsid w:val="00C64876"/>
    <w:rsid w:val="00C64B51"/>
    <w:rsid w:val="00C65895"/>
    <w:rsid w:val="00C6598B"/>
    <w:rsid w:val="00C65ECF"/>
    <w:rsid w:val="00C65FA2"/>
    <w:rsid w:val="00C66989"/>
    <w:rsid w:val="00C66A4A"/>
    <w:rsid w:val="00C66BEB"/>
    <w:rsid w:val="00C67098"/>
    <w:rsid w:val="00C6715C"/>
    <w:rsid w:val="00C6733D"/>
    <w:rsid w:val="00C6759E"/>
    <w:rsid w:val="00C67F0A"/>
    <w:rsid w:val="00C70D3E"/>
    <w:rsid w:val="00C70E03"/>
    <w:rsid w:val="00C7155C"/>
    <w:rsid w:val="00C71880"/>
    <w:rsid w:val="00C718FA"/>
    <w:rsid w:val="00C72E8F"/>
    <w:rsid w:val="00C737DE"/>
    <w:rsid w:val="00C73F34"/>
    <w:rsid w:val="00C743C8"/>
    <w:rsid w:val="00C748A0"/>
    <w:rsid w:val="00C74E7A"/>
    <w:rsid w:val="00C75869"/>
    <w:rsid w:val="00C75C23"/>
    <w:rsid w:val="00C76B99"/>
    <w:rsid w:val="00C76E4C"/>
    <w:rsid w:val="00C774E0"/>
    <w:rsid w:val="00C77A62"/>
    <w:rsid w:val="00C80244"/>
    <w:rsid w:val="00C80514"/>
    <w:rsid w:val="00C805CC"/>
    <w:rsid w:val="00C8082A"/>
    <w:rsid w:val="00C81127"/>
    <w:rsid w:val="00C82462"/>
    <w:rsid w:val="00C825C3"/>
    <w:rsid w:val="00C82D71"/>
    <w:rsid w:val="00C83484"/>
    <w:rsid w:val="00C83600"/>
    <w:rsid w:val="00C840B3"/>
    <w:rsid w:val="00C84365"/>
    <w:rsid w:val="00C846E2"/>
    <w:rsid w:val="00C8480D"/>
    <w:rsid w:val="00C84BC8"/>
    <w:rsid w:val="00C86046"/>
    <w:rsid w:val="00C863E9"/>
    <w:rsid w:val="00C86563"/>
    <w:rsid w:val="00C867A2"/>
    <w:rsid w:val="00C86908"/>
    <w:rsid w:val="00C86AE0"/>
    <w:rsid w:val="00C86AF9"/>
    <w:rsid w:val="00C86DE0"/>
    <w:rsid w:val="00C87234"/>
    <w:rsid w:val="00C87A18"/>
    <w:rsid w:val="00C90345"/>
    <w:rsid w:val="00C9055C"/>
    <w:rsid w:val="00C90894"/>
    <w:rsid w:val="00C91086"/>
    <w:rsid w:val="00C92724"/>
    <w:rsid w:val="00C9286D"/>
    <w:rsid w:val="00C92F4A"/>
    <w:rsid w:val="00C933E1"/>
    <w:rsid w:val="00C93830"/>
    <w:rsid w:val="00C93F14"/>
    <w:rsid w:val="00C941E7"/>
    <w:rsid w:val="00C942D8"/>
    <w:rsid w:val="00C94391"/>
    <w:rsid w:val="00C948C3"/>
    <w:rsid w:val="00C948CE"/>
    <w:rsid w:val="00C948D4"/>
    <w:rsid w:val="00C956FD"/>
    <w:rsid w:val="00C95FAB"/>
    <w:rsid w:val="00C966EB"/>
    <w:rsid w:val="00C96A25"/>
    <w:rsid w:val="00C96DA1"/>
    <w:rsid w:val="00C96FBE"/>
    <w:rsid w:val="00C96FE5"/>
    <w:rsid w:val="00C9790C"/>
    <w:rsid w:val="00C97B33"/>
    <w:rsid w:val="00C97D3D"/>
    <w:rsid w:val="00C97D95"/>
    <w:rsid w:val="00CA0AF5"/>
    <w:rsid w:val="00CA138E"/>
    <w:rsid w:val="00CA1664"/>
    <w:rsid w:val="00CA1E1E"/>
    <w:rsid w:val="00CA22B9"/>
    <w:rsid w:val="00CA2393"/>
    <w:rsid w:val="00CA2A47"/>
    <w:rsid w:val="00CA2D81"/>
    <w:rsid w:val="00CA3334"/>
    <w:rsid w:val="00CA358C"/>
    <w:rsid w:val="00CA37E8"/>
    <w:rsid w:val="00CA3EB4"/>
    <w:rsid w:val="00CA418E"/>
    <w:rsid w:val="00CA4A79"/>
    <w:rsid w:val="00CA4F2C"/>
    <w:rsid w:val="00CA51FC"/>
    <w:rsid w:val="00CA5575"/>
    <w:rsid w:val="00CA5719"/>
    <w:rsid w:val="00CA652A"/>
    <w:rsid w:val="00CA6746"/>
    <w:rsid w:val="00CA6AE6"/>
    <w:rsid w:val="00CA72E6"/>
    <w:rsid w:val="00CA7435"/>
    <w:rsid w:val="00CA75E5"/>
    <w:rsid w:val="00CA7B9C"/>
    <w:rsid w:val="00CA7C4C"/>
    <w:rsid w:val="00CB0896"/>
    <w:rsid w:val="00CB0A46"/>
    <w:rsid w:val="00CB0A77"/>
    <w:rsid w:val="00CB0E4C"/>
    <w:rsid w:val="00CB1012"/>
    <w:rsid w:val="00CB1AF4"/>
    <w:rsid w:val="00CB2115"/>
    <w:rsid w:val="00CB2130"/>
    <w:rsid w:val="00CB251B"/>
    <w:rsid w:val="00CB2624"/>
    <w:rsid w:val="00CB264C"/>
    <w:rsid w:val="00CB2F16"/>
    <w:rsid w:val="00CB3775"/>
    <w:rsid w:val="00CB383B"/>
    <w:rsid w:val="00CB3AD5"/>
    <w:rsid w:val="00CB40BE"/>
    <w:rsid w:val="00CB4EA4"/>
    <w:rsid w:val="00CB555C"/>
    <w:rsid w:val="00CB5932"/>
    <w:rsid w:val="00CB61FB"/>
    <w:rsid w:val="00CB6A08"/>
    <w:rsid w:val="00CB6CC3"/>
    <w:rsid w:val="00CB7312"/>
    <w:rsid w:val="00CB73CC"/>
    <w:rsid w:val="00CC019A"/>
    <w:rsid w:val="00CC03A2"/>
    <w:rsid w:val="00CC03B8"/>
    <w:rsid w:val="00CC0405"/>
    <w:rsid w:val="00CC0603"/>
    <w:rsid w:val="00CC0CB1"/>
    <w:rsid w:val="00CC14C1"/>
    <w:rsid w:val="00CC173B"/>
    <w:rsid w:val="00CC1A08"/>
    <w:rsid w:val="00CC1A0E"/>
    <w:rsid w:val="00CC1A3D"/>
    <w:rsid w:val="00CC1C32"/>
    <w:rsid w:val="00CC1C61"/>
    <w:rsid w:val="00CC254B"/>
    <w:rsid w:val="00CC27AF"/>
    <w:rsid w:val="00CC2DA0"/>
    <w:rsid w:val="00CC3043"/>
    <w:rsid w:val="00CC3A44"/>
    <w:rsid w:val="00CC3C4C"/>
    <w:rsid w:val="00CC40FA"/>
    <w:rsid w:val="00CC44CE"/>
    <w:rsid w:val="00CC48B3"/>
    <w:rsid w:val="00CC4991"/>
    <w:rsid w:val="00CC51E8"/>
    <w:rsid w:val="00CC53CF"/>
    <w:rsid w:val="00CC5BCB"/>
    <w:rsid w:val="00CC688D"/>
    <w:rsid w:val="00CC6E7F"/>
    <w:rsid w:val="00CC6EA8"/>
    <w:rsid w:val="00CC6F5C"/>
    <w:rsid w:val="00CC70F6"/>
    <w:rsid w:val="00CC73B8"/>
    <w:rsid w:val="00CC7BA3"/>
    <w:rsid w:val="00CD02EB"/>
    <w:rsid w:val="00CD0599"/>
    <w:rsid w:val="00CD1495"/>
    <w:rsid w:val="00CD14D8"/>
    <w:rsid w:val="00CD2351"/>
    <w:rsid w:val="00CD235B"/>
    <w:rsid w:val="00CD297D"/>
    <w:rsid w:val="00CD2D47"/>
    <w:rsid w:val="00CD30F7"/>
    <w:rsid w:val="00CD3473"/>
    <w:rsid w:val="00CD349F"/>
    <w:rsid w:val="00CD35DE"/>
    <w:rsid w:val="00CD37BC"/>
    <w:rsid w:val="00CD3971"/>
    <w:rsid w:val="00CD3CF3"/>
    <w:rsid w:val="00CD4E6F"/>
    <w:rsid w:val="00CD4FA1"/>
    <w:rsid w:val="00CD50AC"/>
    <w:rsid w:val="00CD515B"/>
    <w:rsid w:val="00CD583E"/>
    <w:rsid w:val="00CD5F1F"/>
    <w:rsid w:val="00CD6D28"/>
    <w:rsid w:val="00CD6FDA"/>
    <w:rsid w:val="00CD71DC"/>
    <w:rsid w:val="00CD7FF7"/>
    <w:rsid w:val="00CE0CF0"/>
    <w:rsid w:val="00CE0E3D"/>
    <w:rsid w:val="00CE11A9"/>
    <w:rsid w:val="00CE14C8"/>
    <w:rsid w:val="00CE179A"/>
    <w:rsid w:val="00CE1981"/>
    <w:rsid w:val="00CE20C1"/>
    <w:rsid w:val="00CE21AE"/>
    <w:rsid w:val="00CE2977"/>
    <w:rsid w:val="00CE3418"/>
    <w:rsid w:val="00CE3873"/>
    <w:rsid w:val="00CE3F02"/>
    <w:rsid w:val="00CE40F7"/>
    <w:rsid w:val="00CE445C"/>
    <w:rsid w:val="00CE4637"/>
    <w:rsid w:val="00CE4A2E"/>
    <w:rsid w:val="00CE4BC2"/>
    <w:rsid w:val="00CE515D"/>
    <w:rsid w:val="00CE54E3"/>
    <w:rsid w:val="00CE65C0"/>
    <w:rsid w:val="00CE661A"/>
    <w:rsid w:val="00CE688D"/>
    <w:rsid w:val="00CE6910"/>
    <w:rsid w:val="00CE6BEE"/>
    <w:rsid w:val="00CE72B3"/>
    <w:rsid w:val="00CE7722"/>
    <w:rsid w:val="00CE78E8"/>
    <w:rsid w:val="00CE7C1C"/>
    <w:rsid w:val="00CF0078"/>
    <w:rsid w:val="00CF042A"/>
    <w:rsid w:val="00CF0A36"/>
    <w:rsid w:val="00CF0AB2"/>
    <w:rsid w:val="00CF1044"/>
    <w:rsid w:val="00CF1168"/>
    <w:rsid w:val="00CF1A2F"/>
    <w:rsid w:val="00CF1B6B"/>
    <w:rsid w:val="00CF1D93"/>
    <w:rsid w:val="00CF1EF7"/>
    <w:rsid w:val="00CF2882"/>
    <w:rsid w:val="00CF2990"/>
    <w:rsid w:val="00CF2C28"/>
    <w:rsid w:val="00CF305A"/>
    <w:rsid w:val="00CF314A"/>
    <w:rsid w:val="00CF31F6"/>
    <w:rsid w:val="00CF332E"/>
    <w:rsid w:val="00CF334A"/>
    <w:rsid w:val="00CF3ADA"/>
    <w:rsid w:val="00CF3B40"/>
    <w:rsid w:val="00CF422D"/>
    <w:rsid w:val="00CF451E"/>
    <w:rsid w:val="00CF4638"/>
    <w:rsid w:val="00CF46B4"/>
    <w:rsid w:val="00CF54EF"/>
    <w:rsid w:val="00CF5887"/>
    <w:rsid w:val="00CF58AF"/>
    <w:rsid w:val="00CF59A4"/>
    <w:rsid w:val="00CF5A0A"/>
    <w:rsid w:val="00CF5B3A"/>
    <w:rsid w:val="00CF5C8F"/>
    <w:rsid w:val="00CF639B"/>
    <w:rsid w:val="00CF68E3"/>
    <w:rsid w:val="00CF6BB2"/>
    <w:rsid w:val="00CF748D"/>
    <w:rsid w:val="00CF756E"/>
    <w:rsid w:val="00CF78AF"/>
    <w:rsid w:val="00D000C8"/>
    <w:rsid w:val="00D00150"/>
    <w:rsid w:val="00D00355"/>
    <w:rsid w:val="00D004CF"/>
    <w:rsid w:val="00D00661"/>
    <w:rsid w:val="00D009F5"/>
    <w:rsid w:val="00D00A4D"/>
    <w:rsid w:val="00D00F51"/>
    <w:rsid w:val="00D01C3C"/>
    <w:rsid w:val="00D01DAF"/>
    <w:rsid w:val="00D02133"/>
    <w:rsid w:val="00D02346"/>
    <w:rsid w:val="00D02461"/>
    <w:rsid w:val="00D02A35"/>
    <w:rsid w:val="00D02B23"/>
    <w:rsid w:val="00D02DAB"/>
    <w:rsid w:val="00D02F28"/>
    <w:rsid w:val="00D03249"/>
    <w:rsid w:val="00D03365"/>
    <w:rsid w:val="00D033AC"/>
    <w:rsid w:val="00D0362C"/>
    <w:rsid w:val="00D04083"/>
    <w:rsid w:val="00D0429A"/>
    <w:rsid w:val="00D04861"/>
    <w:rsid w:val="00D049F1"/>
    <w:rsid w:val="00D04A5C"/>
    <w:rsid w:val="00D04B6D"/>
    <w:rsid w:val="00D04DFD"/>
    <w:rsid w:val="00D04F41"/>
    <w:rsid w:val="00D05472"/>
    <w:rsid w:val="00D0547E"/>
    <w:rsid w:val="00D054C9"/>
    <w:rsid w:val="00D05891"/>
    <w:rsid w:val="00D0595E"/>
    <w:rsid w:val="00D059A5"/>
    <w:rsid w:val="00D059E0"/>
    <w:rsid w:val="00D05ECD"/>
    <w:rsid w:val="00D06307"/>
    <w:rsid w:val="00D06487"/>
    <w:rsid w:val="00D06CAA"/>
    <w:rsid w:val="00D06F86"/>
    <w:rsid w:val="00D06FED"/>
    <w:rsid w:val="00D0747C"/>
    <w:rsid w:val="00D0793E"/>
    <w:rsid w:val="00D1000C"/>
    <w:rsid w:val="00D10077"/>
    <w:rsid w:val="00D10199"/>
    <w:rsid w:val="00D10296"/>
    <w:rsid w:val="00D10D46"/>
    <w:rsid w:val="00D11309"/>
    <w:rsid w:val="00D114E2"/>
    <w:rsid w:val="00D1180A"/>
    <w:rsid w:val="00D11D02"/>
    <w:rsid w:val="00D11DEB"/>
    <w:rsid w:val="00D11E54"/>
    <w:rsid w:val="00D11FFA"/>
    <w:rsid w:val="00D1217B"/>
    <w:rsid w:val="00D12BDF"/>
    <w:rsid w:val="00D13137"/>
    <w:rsid w:val="00D132AD"/>
    <w:rsid w:val="00D1375A"/>
    <w:rsid w:val="00D13EEC"/>
    <w:rsid w:val="00D14067"/>
    <w:rsid w:val="00D1415C"/>
    <w:rsid w:val="00D142E7"/>
    <w:rsid w:val="00D1454D"/>
    <w:rsid w:val="00D14588"/>
    <w:rsid w:val="00D148D0"/>
    <w:rsid w:val="00D15272"/>
    <w:rsid w:val="00D154CD"/>
    <w:rsid w:val="00D156D1"/>
    <w:rsid w:val="00D15973"/>
    <w:rsid w:val="00D15BFF"/>
    <w:rsid w:val="00D15C16"/>
    <w:rsid w:val="00D16579"/>
    <w:rsid w:val="00D16B5B"/>
    <w:rsid w:val="00D16ED4"/>
    <w:rsid w:val="00D1700B"/>
    <w:rsid w:val="00D170BE"/>
    <w:rsid w:val="00D17551"/>
    <w:rsid w:val="00D176B2"/>
    <w:rsid w:val="00D17C4F"/>
    <w:rsid w:val="00D202F0"/>
    <w:rsid w:val="00D20480"/>
    <w:rsid w:val="00D205DE"/>
    <w:rsid w:val="00D20E52"/>
    <w:rsid w:val="00D20E7D"/>
    <w:rsid w:val="00D21977"/>
    <w:rsid w:val="00D21A89"/>
    <w:rsid w:val="00D21AFC"/>
    <w:rsid w:val="00D22190"/>
    <w:rsid w:val="00D222A9"/>
    <w:rsid w:val="00D22435"/>
    <w:rsid w:val="00D2262C"/>
    <w:rsid w:val="00D2267B"/>
    <w:rsid w:val="00D2274B"/>
    <w:rsid w:val="00D22C7A"/>
    <w:rsid w:val="00D22CDB"/>
    <w:rsid w:val="00D2328B"/>
    <w:rsid w:val="00D2378A"/>
    <w:rsid w:val="00D2379A"/>
    <w:rsid w:val="00D23F32"/>
    <w:rsid w:val="00D243FA"/>
    <w:rsid w:val="00D2445F"/>
    <w:rsid w:val="00D246D9"/>
    <w:rsid w:val="00D246E4"/>
    <w:rsid w:val="00D24A03"/>
    <w:rsid w:val="00D24CC9"/>
    <w:rsid w:val="00D2522E"/>
    <w:rsid w:val="00D25505"/>
    <w:rsid w:val="00D25B1E"/>
    <w:rsid w:val="00D25B99"/>
    <w:rsid w:val="00D25C68"/>
    <w:rsid w:val="00D26762"/>
    <w:rsid w:val="00D27102"/>
    <w:rsid w:val="00D273E0"/>
    <w:rsid w:val="00D276D4"/>
    <w:rsid w:val="00D27877"/>
    <w:rsid w:val="00D27CCA"/>
    <w:rsid w:val="00D309B5"/>
    <w:rsid w:val="00D30B4B"/>
    <w:rsid w:val="00D319E6"/>
    <w:rsid w:val="00D31B5E"/>
    <w:rsid w:val="00D324B2"/>
    <w:rsid w:val="00D32ABD"/>
    <w:rsid w:val="00D32CD1"/>
    <w:rsid w:val="00D32D0C"/>
    <w:rsid w:val="00D3302F"/>
    <w:rsid w:val="00D3312D"/>
    <w:rsid w:val="00D339CD"/>
    <w:rsid w:val="00D33BB2"/>
    <w:rsid w:val="00D33D42"/>
    <w:rsid w:val="00D33EF5"/>
    <w:rsid w:val="00D34238"/>
    <w:rsid w:val="00D342E2"/>
    <w:rsid w:val="00D345B1"/>
    <w:rsid w:val="00D34608"/>
    <w:rsid w:val="00D346F9"/>
    <w:rsid w:val="00D3481D"/>
    <w:rsid w:val="00D3498F"/>
    <w:rsid w:val="00D36182"/>
    <w:rsid w:val="00D3630F"/>
    <w:rsid w:val="00D36B43"/>
    <w:rsid w:val="00D36D15"/>
    <w:rsid w:val="00D36F1B"/>
    <w:rsid w:val="00D373C5"/>
    <w:rsid w:val="00D37FDD"/>
    <w:rsid w:val="00D40420"/>
    <w:rsid w:val="00D408F1"/>
    <w:rsid w:val="00D4103B"/>
    <w:rsid w:val="00D41100"/>
    <w:rsid w:val="00D424D0"/>
    <w:rsid w:val="00D426B5"/>
    <w:rsid w:val="00D431DA"/>
    <w:rsid w:val="00D43544"/>
    <w:rsid w:val="00D435BE"/>
    <w:rsid w:val="00D43743"/>
    <w:rsid w:val="00D437D8"/>
    <w:rsid w:val="00D43C9F"/>
    <w:rsid w:val="00D44BDC"/>
    <w:rsid w:val="00D44D0A"/>
    <w:rsid w:val="00D45848"/>
    <w:rsid w:val="00D46241"/>
    <w:rsid w:val="00D466CC"/>
    <w:rsid w:val="00D467EC"/>
    <w:rsid w:val="00D4725C"/>
    <w:rsid w:val="00D47537"/>
    <w:rsid w:val="00D47FC2"/>
    <w:rsid w:val="00D47FFB"/>
    <w:rsid w:val="00D5052A"/>
    <w:rsid w:val="00D50A59"/>
    <w:rsid w:val="00D50B27"/>
    <w:rsid w:val="00D513E6"/>
    <w:rsid w:val="00D5182D"/>
    <w:rsid w:val="00D51D09"/>
    <w:rsid w:val="00D51E54"/>
    <w:rsid w:val="00D52500"/>
    <w:rsid w:val="00D5299C"/>
    <w:rsid w:val="00D529A3"/>
    <w:rsid w:val="00D52A79"/>
    <w:rsid w:val="00D52FE2"/>
    <w:rsid w:val="00D530CC"/>
    <w:rsid w:val="00D53157"/>
    <w:rsid w:val="00D53168"/>
    <w:rsid w:val="00D532D6"/>
    <w:rsid w:val="00D540A1"/>
    <w:rsid w:val="00D54242"/>
    <w:rsid w:val="00D5470E"/>
    <w:rsid w:val="00D547D0"/>
    <w:rsid w:val="00D54911"/>
    <w:rsid w:val="00D54CB1"/>
    <w:rsid w:val="00D550A8"/>
    <w:rsid w:val="00D555B4"/>
    <w:rsid w:val="00D556AE"/>
    <w:rsid w:val="00D55ED7"/>
    <w:rsid w:val="00D5645E"/>
    <w:rsid w:val="00D56B5B"/>
    <w:rsid w:val="00D56FAF"/>
    <w:rsid w:val="00D57140"/>
    <w:rsid w:val="00D57682"/>
    <w:rsid w:val="00D57E28"/>
    <w:rsid w:val="00D614CD"/>
    <w:rsid w:val="00D6159B"/>
    <w:rsid w:val="00D617A8"/>
    <w:rsid w:val="00D62248"/>
    <w:rsid w:val="00D63408"/>
    <w:rsid w:val="00D63669"/>
    <w:rsid w:val="00D63B0D"/>
    <w:rsid w:val="00D63FF9"/>
    <w:rsid w:val="00D64044"/>
    <w:rsid w:val="00D641A9"/>
    <w:rsid w:val="00D642DB"/>
    <w:rsid w:val="00D644E7"/>
    <w:rsid w:val="00D644F3"/>
    <w:rsid w:val="00D64666"/>
    <w:rsid w:val="00D64840"/>
    <w:rsid w:val="00D64CDD"/>
    <w:rsid w:val="00D65064"/>
    <w:rsid w:val="00D65866"/>
    <w:rsid w:val="00D65CE8"/>
    <w:rsid w:val="00D65D88"/>
    <w:rsid w:val="00D65DF6"/>
    <w:rsid w:val="00D661AC"/>
    <w:rsid w:val="00D662C9"/>
    <w:rsid w:val="00D664CF"/>
    <w:rsid w:val="00D665DC"/>
    <w:rsid w:val="00D66740"/>
    <w:rsid w:val="00D66F53"/>
    <w:rsid w:val="00D674A1"/>
    <w:rsid w:val="00D702BE"/>
    <w:rsid w:val="00D70499"/>
    <w:rsid w:val="00D709ED"/>
    <w:rsid w:val="00D715CF"/>
    <w:rsid w:val="00D715F8"/>
    <w:rsid w:val="00D71642"/>
    <w:rsid w:val="00D71892"/>
    <w:rsid w:val="00D72AA6"/>
    <w:rsid w:val="00D73025"/>
    <w:rsid w:val="00D730CA"/>
    <w:rsid w:val="00D734D3"/>
    <w:rsid w:val="00D736C0"/>
    <w:rsid w:val="00D73A6C"/>
    <w:rsid w:val="00D73FA4"/>
    <w:rsid w:val="00D74082"/>
    <w:rsid w:val="00D742BF"/>
    <w:rsid w:val="00D74344"/>
    <w:rsid w:val="00D745EA"/>
    <w:rsid w:val="00D74718"/>
    <w:rsid w:val="00D74947"/>
    <w:rsid w:val="00D74AB4"/>
    <w:rsid w:val="00D74ACD"/>
    <w:rsid w:val="00D74EAD"/>
    <w:rsid w:val="00D74FF2"/>
    <w:rsid w:val="00D75C5C"/>
    <w:rsid w:val="00D761BE"/>
    <w:rsid w:val="00D762BE"/>
    <w:rsid w:val="00D76428"/>
    <w:rsid w:val="00D764D5"/>
    <w:rsid w:val="00D76BD4"/>
    <w:rsid w:val="00D771F5"/>
    <w:rsid w:val="00D77398"/>
    <w:rsid w:val="00D778D9"/>
    <w:rsid w:val="00D779E1"/>
    <w:rsid w:val="00D77AC2"/>
    <w:rsid w:val="00D77D79"/>
    <w:rsid w:val="00D77ED2"/>
    <w:rsid w:val="00D80687"/>
    <w:rsid w:val="00D80A60"/>
    <w:rsid w:val="00D80C29"/>
    <w:rsid w:val="00D810BE"/>
    <w:rsid w:val="00D810DA"/>
    <w:rsid w:val="00D81155"/>
    <w:rsid w:val="00D812B1"/>
    <w:rsid w:val="00D8132F"/>
    <w:rsid w:val="00D8148F"/>
    <w:rsid w:val="00D8182B"/>
    <w:rsid w:val="00D81E3B"/>
    <w:rsid w:val="00D82116"/>
    <w:rsid w:val="00D824E7"/>
    <w:rsid w:val="00D8257D"/>
    <w:rsid w:val="00D8282F"/>
    <w:rsid w:val="00D834A3"/>
    <w:rsid w:val="00D8354B"/>
    <w:rsid w:val="00D83C8A"/>
    <w:rsid w:val="00D83CD5"/>
    <w:rsid w:val="00D844C5"/>
    <w:rsid w:val="00D84691"/>
    <w:rsid w:val="00D8469A"/>
    <w:rsid w:val="00D84CB3"/>
    <w:rsid w:val="00D85161"/>
    <w:rsid w:val="00D859D9"/>
    <w:rsid w:val="00D85C83"/>
    <w:rsid w:val="00D86795"/>
    <w:rsid w:val="00D868B5"/>
    <w:rsid w:val="00D86B5B"/>
    <w:rsid w:val="00D86D56"/>
    <w:rsid w:val="00D87A93"/>
    <w:rsid w:val="00D87AA2"/>
    <w:rsid w:val="00D87BB0"/>
    <w:rsid w:val="00D901D7"/>
    <w:rsid w:val="00D901DD"/>
    <w:rsid w:val="00D9094F"/>
    <w:rsid w:val="00D90EC8"/>
    <w:rsid w:val="00D91425"/>
    <w:rsid w:val="00D9152F"/>
    <w:rsid w:val="00D91559"/>
    <w:rsid w:val="00D91CC1"/>
    <w:rsid w:val="00D91D9A"/>
    <w:rsid w:val="00D91FC7"/>
    <w:rsid w:val="00D92026"/>
    <w:rsid w:val="00D92041"/>
    <w:rsid w:val="00D920A0"/>
    <w:rsid w:val="00D92926"/>
    <w:rsid w:val="00D92CE6"/>
    <w:rsid w:val="00D93538"/>
    <w:rsid w:val="00D9372F"/>
    <w:rsid w:val="00D93B02"/>
    <w:rsid w:val="00D94346"/>
    <w:rsid w:val="00D9493A"/>
    <w:rsid w:val="00D94CED"/>
    <w:rsid w:val="00D95EBF"/>
    <w:rsid w:val="00D962D3"/>
    <w:rsid w:val="00D96389"/>
    <w:rsid w:val="00D964FD"/>
    <w:rsid w:val="00D96979"/>
    <w:rsid w:val="00D969CE"/>
    <w:rsid w:val="00D97244"/>
    <w:rsid w:val="00D9737A"/>
    <w:rsid w:val="00D978D7"/>
    <w:rsid w:val="00D97A8E"/>
    <w:rsid w:val="00D97D3C"/>
    <w:rsid w:val="00DA0217"/>
    <w:rsid w:val="00DA025A"/>
    <w:rsid w:val="00DA02BE"/>
    <w:rsid w:val="00DA0530"/>
    <w:rsid w:val="00DA0593"/>
    <w:rsid w:val="00DA070E"/>
    <w:rsid w:val="00DA073F"/>
    <w:rsid w:val="00DA096C"/>
    <w:rsid w:val="00DA2066"/>
    <w:rsid w:val="00DA2A56"/>
    <w:rsid w:val="00DA2E62"/>
    <w:rsid w:val="00DA2FF1"/>
    <w:rsid w:val="00DA3B06"/>
    <w:rsid w:val="00DA3B23"/>
    <w:rsid w:val="00DA3E47"/>
    <w:rsid w:val="00DA3F68"/>
    <w:rsid w:val="00DA46DA"/>
    <w:rsid w:val="00DA4C4B"/>
    <w:rsid w:val="00DA536E"/>
    <w:rsid w:val="00DA5C74"/>
    <w:rsid w:val="00DA5DB7"/>
    <w:rsid w:val="00DA6106"/>
    <w:rsid w:val="00DA6380"/>
    <w:rsid w:val="00DA69D5"/>
    <w:rsid w:val="00DB0A14"/>
    <w:rsid w:val="00DB0B18"/>
    <w:rsid w:val="00DB1107"/>
    <w:rsid w:val="00DB1B40"/>
    <w:rsid w:val="00DB1EB6"/>
    <w:rsid w:val="00DB1FB5"/>
    <w:rsid w:val="00DB2254"/>
    <w:rsid w:val="00DB24EF"/>
    <w:rsid w:val="00DB2830"/>
    <w:rsid w:val="00DB294B"/>
    <w:rsid w:val="00DB2ACE"/>
    <w:rsid w:val="00DB31DE"/>
    <w:rsid w:val="00DB32E7"/>
    <w:rsid w:val="00DB3EFC"/>
    <w:rsid w:val="00DB42D8"/>
    <w:rsid w:val="00DB4637"/>
    <w:rsid w:val="00DB524B"/>
    <w:rsid w:val="00DB5853"/>
    <w:rsid w:val="00DB67A7"/>
    <w:rsid w:val="00DB691E"/>
    <w:rsid w:val="00DB69F7"/>
    <w:rsid w:val="00DB6CF3"/>
    <w:rsid w:val="00DB6E13"/>
    <w:rsid w:val="00DB7489"/>
    <w:rsid w:val="00DB7599"/>
    <w:rsid w:val="00DB777A"/>
    <w:rsid w:val="00DB7BDC"/>
    <w:rsid w:val="00DB7DAA"/>
    <w:rsid w:val="00DC001C"/>
    <w:rsid w:val="00DC0705"/>
    <w:rsid w:val="00DC0AE3"/>
    <w:rsid w:val="00DC0DF8"/>
    <w:rsid w:val="00DC0F3D"/>
    <w:rsid w:val="00DC1159"/>
    <w:rsid w:val="00DC1409"/>
    <w:rsid w:val="00DC1742"/>
    <w:rsid w:val="00DC1D8B"/>
    <w:rsid w:val="00DC1DC0"/>
    <w:rsid w:val="00DC1EC2"/>
    <w:rsid w:val="00DC209D"/>
    <w:rsid w:val="00DC20AE"/>
    <w:rsid w:val="00DC2524"/>
    <w:rsid w:val="00DC26B8"/>
    <w:rsid w:val="00DC2746"/>
    <w:rsid w:val="00DC2893"/>
    <w:rsid w:val="00DC2A52"/>
    <w:rsid w:val="00DC2E87"/>
    <w:rsid w:val="00DC36B6"/>
    <w:rsid w:val="00DC38CC"/>
    <w:rsid w:val="00DC39A2"/>
    <w:rsid w:val="00DC3A8D"/>
    <w:rsid w:val="00DC3B77"/>
    <w:rsid w:val="00DC3EE5"/>
    <w:rsid w:val="00DC3FAF"/>
    <w:rsid w:val="00DC4019"/>
    <w:rsid w:val="00DC4160"/>
    <w:rsid w:val="00DC43E2"/>
    <w:rsid w:val="00DC478A"/>
    <w:rsid w:val="00DC4846"/>
    <w:rsid w:val="00DC523B"/>
    <w:rsid w:val="00DC542F"/>
    <w:rsid w:val="00DC5928"/>
    <w:rsid w:val="00DC5A00"/>
    <w:rsid w:val="00DC6083"/>
    <w:rsid w:val="00DC638A"/>
    <w:rsid w:val="00DC650E"/>
    <w:rsid w:val="00DC6532"/>
    <w:rsid w:val="00DC6624"/>
    <w:rsid w:val="00DC66F3"/>
    <w:rsid w:val="00DC6C98"/>
    <w:rsid w:val="00DC6D33"/>
    <w:rsid w:val="00DC6ED2"/>
    <w:rsid w:val="00DC705D"/>
    <w:rsid w:val="00DC721C"/>
    <w:rsid w:val="00DC72E6"/>
    <w:rsid w:val="00DC7506"/>
    <w:rsid w:val="00DC7A0F"/>
    <w:rsid w:val="00DC7D46"/>
    <w:rsid w:val="00DC7FD5"/>
    <w:rsid w:val="00DD00B7"/>
    <w:rsid w:val="00DD017D"/>
    <w:rsid w:val="00DD0350"/>
    <w:rsid w:val="00DD0921"/>
    <w:rsid w:val="00DD0CD3"/>
    <w:rsid w:val="00DD0F88"/>
    <w:rsid w:val="00DD1346"/>
    <w:rsid w:val="00DD2A41"/>
    <w:rsid w:val="00DD2CE9"/>
    <w:rsid w:val="00DD3163"/>
    <w:rsid w:val="00DD414E"/>
    <w:rsid w:val="00DD442F"/>
    <w:rsid w:val="00DD4A36"/>
    <w:rsid w:val="00DD4BCA"/>
    <w:rsid w:val="00DD4D09"/>
    <w:rsid w:val="00DD4FC4"/>
    <w:rsid w:val="00DD508D"/>
    <w:rsid w:val="00DD5382"/>
    <w:rsid w:val="00DD58FB"/>
    <w:rsid w:val="00DD5A80"/>
    <w:rsid w:val="00DD5F55"/>
    <w:rsid w:val="00DD6212"/>
    <w:rsid w:val="00DD659A"/>
    <w:rsid w:val="00DD68CA"/>
    <w:rsid w:val="00DD6A0E"/>
    <w:rsid w:val="00DD6AE4"/>
    <w:rsid w:val="00DD700E"/>
    <w:rsid w:val="00DD7058"/>
    <w:rsid w:val="00DD77BB"/>
    <w:rsid w:val="00DD7C43"/>
    <w:rsid w:val="00DD7EDE"/>
    <w:rsid w:val="00DD7F02"/>
    <w:rsid w:val="00DD7FD7"/>
    <w:rsid w:val="00DE09FA"/>
    <w:rsid w:val="00DE0C2F"/>
    <w:rsid w:val="00DE0E27"/>
    <w:rsid w:val="00DE1245"/>
    <w:rsid w:val="00DE12DE"/>
    <w:rsid w:val="00DE16ED"/>
    <w:rsid w:val="00DE1D74"/>
    <w:rsid w:val="00DE1FF2"/>
    <w:rsid w:val="00DE2190"/>
    <w:rsid w:val="00DE2244"/>
    <w:rsid w:val="00DE24C4"/>
    <w:rsid w:val="00DE2A83"/>
    <w:rsid w:val="00DE2D3A"/>
    <w:rsid w:val="00DE2E63"/>
    <w:rsid w:val="00DE2FBA"/>
    <w:rsid w:val="00DE3B71"/>
    <w:rsid w:val="00DE42A5"/>
    <w:rsid w:val="00DE53E8"/>
    <w:rsid w:val="00DE5478"/>
    <w:rsid w:val="00DE5EF8"/>
    <w:rsid w:val="00DE634C"/>
    <w:rsid w:val="00DE6804"/>
    <w:rsid w:val="00DE6ECB"/>
    <w:rsid w:val="00DE7274"/>
    <w:rsid w:val="00DE7795"/>
    <w:rsid w:val="00DE7A09"/>
    <w:rsid w:val="00DF00B4"/>
    <w:rsid w:val="00DF033F"/>
    <w:rsid w:val="00DF03A4"/>
    <w:rsid w:val="00DF0997"/>
    <w:rsid w:val="00DF0F03"/>
    <w:rsid w:val="00DF1195"/>
    <w:rsid w:val="00DF1648"/>
    <w:rsid w:val="00DF1F37"/>
    <w:rsid w:val="00DF214F"/>
    <w:rsid w:val="00DF2735"/>
    <w:rsid w:val="00DF2E3F"/>
    <w:rsid w:val="00DF2E87"/>
    <w:rsid w:val="00DF3D57"/>
    <w:rsid w:val="00DF3EBC"/>
    <w:rsid w:val="00DF41A2"/>
    <w:rsid w:val="00DF4D0A"/>
    <w:rsid w:val="00DF5AA2"/>
    <w:rsid w:val="00DF5B4E"/>
    <w:rsid w:val="00DF6197"/>
    <w:rsid w:val="00DF61E2"/>
    <w:rsid w:val="00DF667C"/>
    <w:rsid w:val="00DF66E7"/>
    <w:rsid w:val="00DF71C4"/>
    <w:rsid w:val="00DF788A"/>
    <w:rsid w:val="00DF7CC5"/>
    <w:rsid w:val="00E00008"/>
    <w:rsid w:val="00E01670"/>
    <w:rsid w:val="00E01AB8"/>
    <w:rsid w:val="00E01D55"/>
    <w:rsid w:val="00E01F83"/>
    <w:rsid w:val="00E02788"/>
    <w:rsid w:val="00E02B6E"/>
    <w:rsid w:val="00E02DC2"/>
    <w:rsid w:val="00E02FDD"/>
    <w:rsid w:val="00E033DD"/>
    <w:rsid w:val="00E03511"/>
    <w:rsid w:val="00E0401C"/>
    <w:rsid w:val="00E04119"/>
    <w:rsid w:val="00E0482B"/>
    <w:rsid w:val="00E0546E"/>
    <w:rsid w:val="00E05676"/>
    <w:rsid w:val="00E0609B"/>
    <w:rsid w:val="00E065B5"/>
    <w:rsid w:val="00E065C5"/>
    <w:rsid w:val="00E069E8"/>
    <w:rsid w:val="00E06A46"/>
    <w:rsid w:val="00E06AE1"/>
    <w:rsid w:val="00E06D72"/>
    <w:rsid w:val="00E06D76"/>
    <w:rsid w:val="00E06FDB"/>
    <w:rsid w:val="00E071F5"/>
    <w:rsid w:val="00E07475"/>
    <w:rsid w:val="00E07A1E"/>
    <w:rsid w:val="00E07C97"/>
    <w:rsid w:val="00E1092B"/>
    <w:rsid w:val="00E109D7"/>
    <w:rsid w:val="00E116B0"/>
    <w:rsid w:val="00E11736"/>
    <w:rsid w:val="00E11B7D"/>
    <w:rsid w:val="00E11D7F"/>
    <w:rsid w:val="00E11E1E"/>
    <w:rsid w:val="00E1200B"/>
    <w:rsid w:val="00E12222"/>
    <w:rsid w:val="00E12B39"/>
    <w:rsid w:val="00E13280"/>
    <w:rsid w:val="00E13C8A"/>
    <w:rsid w:val="00E13CB7"/>
    <w:rsid w:val="00E13CD1"/>
    <w:rsid w:val="00E1423A"/>
    <w:rsid w:val="00E14B22"/>
    <w:rsid w:val="00E14B9B"/>
    <w:rsid w:val="00E14BFD"/>
    <w:rsid w:val="00E150E1"/>
    <w:rsid w:val="00E1519F"/>
    <w:rsid w:val="00E15393"/>
    <w:rsid w:val="00E156E8"/>
    <w:rsid w:val="00E15ACF"/>
    <w:rsid w:val="00E16191"/>
    <w:rsid w:val="00E163B3"/>
    <w:rsid w:val="00E1728E"/>
    <w:rsid w:val="00E179D0"/>
    <w:rsid w:val="00E17E2D"/>
    <w:rsid w:val="00E17E3A"/>
    <w:rsid w:val="00E2021F"/>
    <w:rsid w:val="00E20A56"/>
    <w:rsid w:val="00E20CA8"/>
    <w:rsid w:val="00E210C9"/>
    <w:rsid w:val="00E213B1"/>
    <w:rsid w:val="00E2177E"/>
    <w:rsid w:val="00E217DC"/>
    <w:rsid w:val="00E219EF"/>
    <w:rsid w:val="00E21B0B"/>
    <w:rsid w:val="00E22BB3"/>
    <w:rsid w:val="00E22C0E"/>
    <w:rsid w:val="00E22E17"/>
    <w:rsid w:val="00E230C4"/>
    <w:rsid w:val="00E238E7"/>
    <w:rsid w:val="00E23C22"/>
    <w:rsid w:val="00E23C88"/>
    <w:rsid w:val="00E23E08"/>
    <w:rsid w:val="00E24C3E"/>
    <w:rsid w:val="00E24D23"/>
    <w:rsid w:val="00E25231"/>
    <w:rsid w:val="00E253C7"/>
    <w:rsid w:val="00E2548B"/>
    <w:rsid w:val="00E257EF"/>
    <w:rsid w:val="00E25C6C"/>
    <w:rsid w:val="00E268C2"/>
    <w:rsid w:val="00E26C1E"/>
    <w:rsid w:val="00E26D16"/>
    <w:rsid w:val="00E27205"/>
    <w:rsid w:val="00E2728E"/>
    <w:rsid w:val="00E2781A"/>
    <w:rsid w:val="00E27DB1"/>
    <w:rsid w:val="00E3022F"/>
    <w:rsid w:val="00E30B88"/>
    <w:rsid w:val="00E31428"/>
    <w:rsid w:val="00E31758"/>
    <w:rsid w:val="00E3177A"/>
    <w:rsid w:val="00E31956"/>
    <w:rsid w:val="00E31CBE"/>
    <w:rsid w:val="00E31E28"/>
    <w:rsid w:val="00E31E36"/>
    <w:rsid w:val="00E322E5"/>
    <w:rsid w:val="00E32AD4"/>
    <w:rsid w:val="00E32FB1"/>
    <w:rsid w:val="00E330DE"/>
    <w:rsid w:val="00E33304"/>
    <w:rsid w:val="00E333E3"/>
    <w:rsid w:val="00E3398E"/>
    <w:rsid w:val="00E34318"/>
    <w:rsid w:val="00E34787"/>
    <w:rsid w:val="00E34DD6"/>
    <w:rsid w:val="00E3548E"/>
    <w:rsid w:val="00E35637"/>
    <w:rsid w:val="00E357FC"/>
    <w:rsid w:val="00E35B95"/>
    <w:rsid w:val="00E36381"/>
    <w:rsid w:val="00E36395"/>
    <w:rsid w:val="00E36693"/>
    <w:rsid w:val="00E367AD"/>
    <w:rsid w:val="00E368A6"/>
    <w:rsid w:val="00E369CD"/>
    <w:rsid w:val="00E36C62"/>
    <w:rsid w:val="00E36D9F"/>
    <w:rsid w:val="00E36F7A"/>
    <w:rsid w:val="00E371CF"/>
    <w:rsid w:val="00E3749E"/>
    <w:rsid w:val="00E377E4"/>
    <w:rsid w:val="00E37B57"/>
    <w:rsid w:val="00E37EEE"/>
    <w:rsid w:val="00E40678"/>
    <w:rsid w:val="00E408A8"/>
    <w:rsid w:val="00E4092C"/>
    <w:rsid w:val="00E40973"/>
    <w:rsid w:val="00E40C64"/>
    <w:rsid w:val="00E410F3"/>
    <w:rsid w:val="00E41C7D"/>
    <w:rsid w:val="00E41F7D"/>
    <w:rsid w:val="00E41F8C"/>
    <w:rsid w:val="00E423D9"/>
    <w:rsid w:val="00E42620"/>
    <w:rsid w:val="00E42688"/>
    <w:rsid w:val="00E42BDF"/>
    <w:rsid w:val="00E42F6F"/>
    <w:rsid w:val="00E433D5"/>
    <w:rsid w:val="00E43E62"/>
    <w:rsid w:val="00E446A9"/>
    <w:rsid w:val="00E4472F"/>
    <w:rsid w:val="00E44F8C"/>
    <w:rsid w:val="00E452E3"/>
    <w:rsid w:val="00E454A7"/>
    <w:rsid w:val="00E45A4B"/>
    <w:rsid w:val="00E46377"/>
    <w:rsid w:val="00E4660D"/>
    <w:rsid w:val="00E46B28"/>
    <w:rsid w:val="00E46D5C"/>
    <w:rsid w:val="00E46D8A"/>
    <w:rsid w:val="00E46ECB"/>
    <w:rsid w:val="00E47A3B"/>
    <w:rsid w:val="00E47F71"/>
    <w:rsid w:val="00E502AA"/>
    <w:rsid w:val="00E50C4B"/>
    <w:rsid w:val="00E5164E"/>
    <w:rsid w:val="00E51A3E"/>
    <w:rsid w:val="00E5238B"/>
    <w:rsid w:val="00E524CA"/>
    <w:rsid w:val="00E52689"/>
    <w:rsid w:val="00E52DFE"/>
    <w:rsid w:val="00E52FFD"/>
    <w:rsid w:val="00E535E3"/>
    <w:rsid w:val="00E53F82"/>
    <w:rsid w:val="00E54029"/>
    <w:rsid w:val="00E5425E"/>
    <w:rsid w:val="00E5446B"/>
    <w:rsid w:val="00E55114"/>
    <w:rsid w:val="00E5546F"/>
    <w:rsid w:val="00E55592"/>
    <w:rsid w:val="00E5567C"/>
    <w:rsid w:val="00E5592F"/>
    <w:rsid w:val="00E55D58"/>
    <w:rsid w:val="00E562F0"/>
    <w:rsid w:val="00E567EB"/>
    <w:rsid w:val="00E56A2E"/>
    <w:rsid w:val="00E56A68"/>
    <w:rsid w:val="00E56D33"/>
    <w:rsid w:val="00E56F7A"/>
    <w:rsid w:val="00E604C4"/>
    <w:rsid w:val="00E607BF"/>
    <w:rsid w:val="00E608D6"/>
    <w:rsid w:val="00E60BB3"/>
    <w:rsid w:val="00E60E50"/>
    <w:rsid w:val="00E61944"/>
    <w:rsid w:val="00E61B10"/>
    <w:rsid w:val="00E61B31"/>
    <w:rsid w:val="00E61BEF"/>
    <w:rsid w:val="00E61E2D"/>
    <w:rsid w:val="00E63155"/>
    <w:rsid w:val="00E631FC"/>
    <w:rsid w:val="00E63216"/>
    <w:rsid w:val="00E638B5"/>
    <w:rsid w:val="00E64911"/>
    <w:rsid w:val="00E65447"/>
    <w:rsid w:val="00E65EA8"/>
    <w:rsid w:val="00E65FB0"/>
    <w:rsid w:val="00E66C80"/>
    <w:rsid w:val="00E66F28"/>
    <w:rsid w:val="00E6791A"/>
    <w:rsid w:val="00E67B33"/>
    <w:rsid w:val="00E705F0"/>
    <w:rsid w:val="00E709D9"/>
    <w:rsid w:val="00E70C31"/>
    <w:rsid w:val="00E70C60"/>
    <w:rsid w:val="00E716DD"/>
    <w:rsid w:val="00E71972"/>
    <w:rsid w:val="00E71A95"/>
    <w:rsid w:val="00E71DFB"/>
    <w:rsid w:val="00E72647"/>
    <w:rsid w:val="00E72936"/>
    <w:rsid w:val="00E72BF6"/>
    <w:rsid w:val="00E72DA5"/>
    <w:rsid w:val="00E72DDD"/>
    <w:rsid w:val="00E7335A"/>
    <w:rsid w:val="00E7349F"/>
    <w:rsid w:val="00E735D6"/>
    <w:rsid w:val="00E740D5"/>
    <w:rsid w:val="00E748C4"/>
    <w:rsid w:val="00E752DA"/>
    <w:rsid w:val="00E75593"/>
    <w:rsid w:val="00E75631"/>
    <w:rsid w:val="00E75AA1"/>
    <w:rsid w:val="00E75E21"/>
    <w:rsid w:val="00E75F1D"/>
    <w:rsid w:val="00E764EA"/>
    <w:rsid w:val="00E76754"/>
    <w:rsid w:val="00E76E1F"/>
    <w:rsid w:val="00E770E6"/>
    <w:rsid w:val="00E77125"/>
    <w:rsid w:val="00E773CC"/>
    <w:rsid w:val="00E7740F"/>
    <w:rsid w:val="00E77D35"/>
    <w:rsid w:val="00E80177"/>
    <w:rsid w:val="00E80C38"/>
    <w:rsid w:val="00E80C99"/>
    <w:rsid w:val="00E81983"/>
    <w:rsid w:val="00E82921"/>
    <w:rsid w:val="00E82DD1"/>
    <w:rsid w:val="00E82DDE"/>
    <w:rsid w:val="00E82E9B"/>
    <w:rsid w:val="00E83044"/>
    <w:rsid w:val="00E83919"/>
    <w:rsid w:val="00E83E76"/>
    <w:rsid w:val="00E83F43"/>
    <w:rsid w:val="00E8418C"/>
    <w:rsid w:val="00E844B5"/>
    <w:rsid w:val="00E8459D"/>
    <w:rsid w:val="00E84860"/>
    <w:rsid w:val="00E84D68"/>
    <w:rsid w:val="00E85219"/>
    <w:rsid w:val="00E85290"/>
    <w:rsid w:val="00E857D5"/>
    <w:rsid w:val="00E86067"/>
    <w:rsid w:val="00E861DA"/>
    <w:rsid w:val="00E871A8"/>
    <w:rsid w:val="00E871AF"/>
    <w:rsid w:val="00E905FB"/>
    <w:rsid w:val="00E9064B"/>
    <w:rsid w:val="00E906BA"/>
    <w:rsid w:val="00E906EE"/>
    <w:rsid w:val="00E906F8"/>
    <w:rsid w:val="00E90EA0"/>
    <w:rsid w:val="00E90EF5"/>
    <w:rsid w:val="00E9152D"/>
    <w:rsid w:val="00E91538"/>
    <w:rsid w:val="00E9175B"/>
    <w:rsid w:val="00E91A18"/>
    <w:rsid w:val="00E91AB2"/>
    <w:rsid w:val="00E91B94"/>
    <w:rsid w:val="00E91E6F"/>
    <w:rsid w:val="00E920F2"/>
    <w:rsid w:val="00E92333"/>
    <w:rsid w:val="00E92518"/>
    <w:rsid w:val="00E92B91"/>
    <w:rsid w:val="00E92CCE"/>
    <w:rsid w:val="00E935B8"/>
    <w:rsid w:val="00E93B3B"/>
    <w:rsid w:val="00E93C18"/>
    <w:rsid w:val="00E93C3F"/>
    <w:rsid w:val="00E93F10"/>
    <w:rsid w:val="00E9418F"/>
    <w:rsid w:val="00E9427A"/>
    <w:rsid w:val="00E94A4F"/>
    <w:rsid w:val="00E94AF8"/>
    <w:rsid w:val="00E94CD7"/>
    <w:rsid w:val="00E94E3A"/>
    <w:rsid w:val="00E94EC4"/>
    <w:rsid w:val="00E952DF"/>
    <w:rsid w:val="00E9538C"/>
    <w:rsid w:val="00E9610A"/>
    <w:rsid w:val="00E9639A"/>
    <w:rsid w:val="00E9684D"/>
    <w:rsid w:val="00E968B1"/>
    <w:rsid w:val="00E96D39"/>
    <w:rsid w:val="00E97077"/>
    <w:rsid w:val="00E970FB"/>
    <w:rsid w:val="00E9731B"/>
    <w:rsid w:val="00E97666"/>
    <w:rsid w:val="00E976FE"/>
    <w:rsid w:val="00E97EC7"/>
    <w:rsid w:val="00EA1752"/>
    <w:rsid w:val="00EA1846"/>
    <w:rsid w:val="00EA2A9C"/>
    <w:rsid w:val="00EA3279"/>
    <w:rsid w:val="00EA3C4A"/>
    <w:rsid w:val="00EA3C7B"/>
    <w:rsid w:val="00EA3EBD"/>
    <w:rsid w:val="00EA3F39"/>
    <w:rsid w:val="00EA41BB"/>
    <w:rsid w:val="00EA47E9"/>
    <w:rsid w:val="00EA5241"/>
    <w:rsid w:val="00EA52BE"/>
    <w:rsid w:val="00EA54FB"/>
    <w:rsid w:val="00EA5E94"/>
    <w:rsid w:val="00EA63DD"/>
    <w:rsid w:val="00EA6701"/>
    <w:rsid w:val="00EA7105"/>
    <w:rsid w:val="00EA718D"/>
    <w:rsid w:val="00EA7244"/>
    <w:rsid w:val="00EA73E8"/>
    <w:rsid w:val="00EA7949"/>
    <w:rsid w:val="00EB062E"/>
    <w:rsid w:val="00EB088F"/>
    <w:rsid w:val="00EB09C9"/>
    <w:rsid w:val="00EB0B55"/>
    <w:rsid w:val="00EB0C0B"/>
    <w:rsid w:val="00EB0E30"/>
    <w:rsid w:val="00EB1130"/>
    <w:rsid w:val="00EB11F5"/>
    <w:rsid w:val="00EB13F0"/>
    <w:rsid w:val="00EB1540"/>
    <w:rsid w:val="00EB1A24"/>
    <w:rsid w:val="00EB1C42"/>
    <w:rsid w:val="00EB1D0F"/>
    <w:rsid w:val="00EB200E"/>
    <w:rsid w:val="00EB23ED"/>
    <w:rsid w:val="00EB29C2"/>
    <w:rsid w:val="00EB2BF2"/>
    <w:rsid w:val="00EB2D24"/>
    <w:rsid w:val="00EB3223"/>
    <w:rsid w:val="00EB362D"/>
    <w:rsid w:val="00EB49EA"/>
    <w:rsid w:val="00EB5265"/>
    <w:rsid w:val="00EB55E5"/>
    <w:rsid w:val="00EB5805"/>
    <w:rsid w:val="00EB6103"/>
    <w:rsid w:val="00EB635D"/>
    <w:rsid w:val="00EB6971"/>
    <w:rsid w:val="00EB6A8D"/>
    <w:rsid w:val="00EB6B1D"/>
    <w:rsid w:val="00EB6FC7"/>
    <w:rsid w:val="00EB7857"/>
    <w:rsid w:val="00EC003D"/>
    <w:rsid w:val="00EC03A7"/>
    <w:rsid w:val="00EC0575"/>
    <w:rsid w:val="00EC06CB"/>
    <w:rsid w:val="00EC07C0"/>
    <w:rsid w:val="00EC0AED"/>
    <w:rsid w:val="00EC12CE"/>
    <w:rsid w:val="00EC25A7"/>
    <w:rsid w:val="00EC2877"/>
    <w:rsid w:val="00EC2AFF"/>
    <w:rsid w:val="00EC3D03"/>
    <w:rsid w:val="00EC4467"/>
    <w:rsid w:val="00EC4F83"/>
    <w:rsid w:val="00EC508D"/>
    <w:rsid w:val="00EC5C08"/>
    <w:rsid w:val="00EC61F6"/>
    <w:rsid w:val="00EC6269"/>
    <w:rsid w:val="00EC63BF"/>
    <w:rsid w:val="00EC6CB7"/>
    <w:rsid w:val="00EC7882"/>
    <w:rsid w:val="00EC7C11"/>
    <w:rsid w:val="00EC7D77"/>
    <w:rsid w:val="00ED0151"/>
    <w:rsid w:val="00ED0ADC"/>
    <w:rsid w:val="00ED0E95"/>
    <w:rsid w:val="00ED1005"/>
    <w:rsid w:val="00ED10C3"/>
    <w:rsid w:val="00ED10C8"/>
    <w:rsid w:val="00ED10F4"/>
    <w:rsid w:val="00ED1719"/>
    <w:rsid w:val="00ED18F4"/>
    <w:rsid w:val="00ED1C91"/>
    <w:rsid w:val="00ED1E44"/>
    <w:rsid w:val="00ED1FA8"/>
    <w:rsid w:val="00ED22D4"/>
    <w:rsid w:val="00ED2612"/>
    <w:rsid w:val="00ED2C11"/>
    <w:rsid w:val="00ED2FE4"/>
    <w:rsid w:val="00ED31B4"/>
    <w:rsid w:val="00ED3939"/>
    <w:rsid w:val="00ED3987"/>
    <w:rsid w:val="00ED42E0"/>
    <w:rsid w:val="00ED4769"/>
    <w:rsid w:val="00ED4CD7"/>
    <w:rsid w:val="00ED4F24"/>
    <w:rsid w:val="00ED5233"/>
    <w:rsid w:val="00ED5588"/>
    <w:rsid w:val="00ED55DE"/>
    <w:rsid w:val="00ED561A"/>
    <w:rsid w:val="00ED5756"/>
    <w:rsid w:val="00ED59B5"/>
    <w:rsid w:val="00ED5E1C"/>
    <w:rsid w:val="00ED6153"/>
    <w:rsid w:val="00ED6230"/>
    <w:rsid w:val="00ED62A7"/>
    <w:rsid w:val="00ED63E0"/>
    <w:rsid w:val="00ED690A"/>
    <w:rsid w:val="00ED6933"/>
    <w:rsid w:val="00ED6D2B"/>
    <w:rsid w:val="00ED6E52"/>
    <w:rsid w:val="00ED7227"/>
    <w:rsid w:val="00ED7253"/>
    <w:rsid w:val="00EE00B7"/>
    <w:rsid w:val="00EE0ECF"/>
    <w:rsid w:val="00EE1012"/>
    <w:rsid w:val="00EE1173"/>
    <w:rsid w:val="00EE129E"/>
    <w:rsid w:val="00EE13B8"/>
    <w:rsid w:val="00EE144A"/>
    <w:rsid w:val="00EE1B47"/>
    <w:rsid w:val="00EE1DB8"/>
    <w:rsid w:val="00EE1DEA"/>
    <w:rsid w:val="00EE1FA3"/>
    <w:rsid w:val="00EE2091"/>
    <w:rsid w:val="00EE22EE"/>
    <w:rsid w:val="00EE24A2"/>
    <w:rsid w:val="00EE2D0C"/>
    <w:rsid w:val="00EE336B"/>
    <w:rsid w:val="00EE34C1"/>
    <w:rsid w:val="00EE3669"/>
    <w:rsid w:val="00EE39F0"/>
    <w:rsid w:val="00EE3B54"/>
    <w:rsid w:val="00EE3DC8"/>
    <w:rsid w:val="00EE3DE7"/>
    <w:rsid w:val="00EE3E20"/>
    <w:rsid w:val="00EE40CF"/>
    <w:rsid w:val="00EE4CB9"/>
    <w:rsid w:val="00EE4CE8"/>
    <w:rsid w:val="00EE5125"/>
    <w:rsid w:val="00EE5542"/>
    <w:rsid w:val="00EE581B"/>
    <w:rsid w:val="00EE5872"/>
    <w:rsid w:val="00EE5A49"/>
    <w:rsid w:val="00EE5B64"/>
    <w:rsid w:val="00EE61FE"/>
    <w:rsid w:val="00EE6474"/>
    <w:rsid w:val="00EE6916"/>
    <w:rsid w:val="00EE6A39"/>
    <w:rsid w:val="00EE6A65"/>
    <w:rsid w:val="00EE6D73"/>
    <w:rsid w:val="00EE6E53"/>
    <w:rsid w:val="00EE7606"/>
    <w:rsid w:val="00EE79DF"/>
    <w:rsid w:val="00EF000F"/>
    <w:rsid w:val="00EF09B7"/>
    <w:rsid w:val="00EF1061"/>
    <w:rsid w:val="00EF138D"/>
    <w:rsid w:val="00EF1F92"/>
    <w:rsid w:val="00EF1FB2"/>
    <w:rsid w:val="00EF2061"/>
    <w:rsid w:val="00EF23E0"/>
    <w:rsid w:val="00EF24D0"/>
    <w:rsid w:val="00EF26BA"/>
    <w:rsid w:val="00EF2704"/>
    <w:rsid w:val="00EF347F"/>
    <w:rsid w:val="00EF40BB"/>
    <w:rsid w:val="00EF4241"/>
    <w:rsid w:val="00EF4697"/>
    <w:rsid w:val="00EF4B73"/>
    <w:rsid w:val="00EF4E7D"/>
    <w:rsid w:val="00EF4F08"/>
    <w:rsid w:val="00EF4FBA"/>
    <w:rsid w:val="00EF5540"/>
    <w:rsid w:val="00EF5653"/>
    <w:rsid w:val="00EF5932"/>
    <w:rsid w:val="00EF6506"/>
    <w:rsid w:val="00EF65E8"/>
    <w:rsid w:val="00EF6669"/>
    <w:rsid w:val="00EF67BA"/>
    <w:rsid w:val="00EF6B85"/>
    <w:rsid w:val="00EF7098"/>
    <w:rsid w:val="00EF75C5"/>
    <w:rsid w:val="00EF7786"/>
    <w:rsid w:val="00EF7EE4"/>
    <w:rsid w:val="00EF7F50"/>
    <w:rsid w:val="00F006A0"/>
    <w:rsid w:val="00F00F39"/>
    <w:rsid w:val="00F01369"/>
    <w:rsid w:val="00F01BC9"/>
    <w:rsid w:val="00F01E77"/>
    <w:rsid w:val="00F0273F"/>
    <w:rsid w:val="00F027D7"/>
    <w:rsid w:val="00F0299F"/>
    <w:rsid w:val="00F02CDF"/>
    <w:rsid w:val="00F0331B"/>
    <w:rsid w:val="00F03E5A"/>
    <w:rsid w:val="00F03FF3"/>
    <w:rsid w:val="00F04361"/>
    <w:rsid w:val="00F0442E"/>
    <w:rsid w:val="00F04681"/>
    <w:rsid w:val="00F054A5"/>
    <w:rsid w:val="00F055D8"/>
    <w:rsid w:val="00F0561C"/>
    <w:rsid w:val="00F05733"/>
    <w:rsid w:val="00F06022"/>
    <w:rsid w:val="00F061BF"/>
    <w:rsid w:val="00F061F4"/>
    <w:rsid w:val="00F06228"/>
    <w:rsid w:val="00F06576"/>
    <w:rsid w:val="00F06620"/>
    <w:rsid w:val="00F06932"/>
    <w:rsid w:val="00F06F3B"/>
    <w:rsid w:val="00F07494"/>
    <w:rsid w:val="00F07853"/>
    <w:rsid w:val="00F10A42"/>
    <w:rsid w:val="00F11064"/>
    <w:rsid w:val="00F11113"/>
    <w:rsid w:val="00F11D65"/>
    <w:rsid w:val="00F11FB3"/>
    <w:rsid w:val="00F12004"/>
    <w:rsid w:val="00F12839"/>
    <w:rsid w:val="00F12BDF"/>
    <w:rsid w:val="00F1380E"/>
    <w:rsid w:val="00F1475E"/>
    <w:rsid w:val="00F153B1"/>
    <w:rsid w:val="00F159D4"/>
    <w:rsid w:val="00F15A99"/>
    <w:rsid w:val="00F15D9B"/>
    <w:rsid w:val="00F162B5"/>
    <w:rsid w:val="00F169B3"/>
    <w:rsid w:val="00F16BCD"/>
    <w:rsid w:val="00F17114"/>
    <w:rsid w:val="00F171F6"/>
    <w:rsid w:val="00F17210"/>
    <w:rsid w:val="00F17355"/>
    <w:rsid w:val="00F1788F"/>
    <w:rsid w:val="00F203F0"/>
    <w:rsid w:val="00F205DA"/>
    <w:rsid w:val="00F20836"/>
    <w:rsid w:val="00F216DA"/>
    <w:rsid w:val="00F21929"/>
    <w:rsid w:val="00F21B46"/>
    <w:rsid w:val="00F21DEE"/>
    <w:rsid w:val="00F2206B"/>
    <w:rsid w:val="00F2235A"/>
    <w:rsid w:val="00F22366"/>
    <w:rsid w:val="00F226D8"/>
    <w:rsid w:val="00F22844"/>
    <w:rsid w:val="00F228AF"/>
    <w:rsid w:val="00F228CA"/>
    <w:rsid w:val="00F22CF0"/>
    <w:rsid w:val="00F22D33"/>
    <w:rsid w:val="00F23894"/>
    <w:rsid w:val="00F23C6B"/>
    <w:rsid w:val="00F23FB4"/>
    <w:rsid w:val="00F241D5"/>
    <w:rsid w:val="00F24DFE"/>
    <w:rsid w:val="00F252BE"/>
    <w:rsid w:val="00F2544B"/>
    <w:rsid w:val="00F25644"/>
    <w:rsid w:val="00F258B5"/>
    <w:rsid w:val="00F25B2C"/>
    <w:rsid w:val="00F25B5F"/>
    <w:rsid w:val="00F26264"/>
    <w:rsid w:val="00F26862"/>
    <w:rsid w:val="00F26BC5"/>
    <w:rsid w:val="00F26CF4"/>
    <w:rsid w:val="00F26FCE"/>
    <w:rsid w:val="00F27540"/>
    <w:rsid w:val="00F27700"/>
    <w:rsid w:val="00F278A3"/>
    <w:rsid w:val="00F2793E"/>
    <w:rsid w:val="00F27A96"/>
    <w:rsid w:val="00F30741"/>
    <w:rsid w:val="00F30A23"/>
    <w:rsid w:val="00F30F31"/>
    <w:rsid w:val="00F31075"/>
    <w:rsid w:val="00F3156D"/>
    <w:rsid w:val="00F31FB2"/>
    <w:rsid w:val="00F32085"/>
    <w:rsid w:val="00F3231E"/>
    <w:rsid w:val="00F326F2"/>
    <w:rsid w:val="00F32FDF"/>
    <w:rsid w:val="00F333E8"/>
    <w:rsid w:val="00F335B0"/>
    <w:rsid w:val="00F33EB9"/>
    <w:rsid w:val="00F33ED5"/>
    <w:rsid w:val="00F34025"/>
    <w:rsid w:val="00F34071"/>
    <w:rsid w:val="00F340A8"/>
    <w:rsid w:val="00F34BD4"/>
    <w:rsid w:val="00F34DE6"/>
    <w:rsid w:val="00F353F5"/>
    <w:rsid w:val="00F3568D"/>
    <w:rsid w:val="00F35A1F"/>
    <w:rsid w:val="00F35ADD"/>
    <w:rsid w:val="00F35D69"/>
    <w:rsid w:val="00F360A0"/>
    <w:rsid w:val="00F36531"/>
    <w:rsid w:val="00F36710"/>
    <w:rsid w:val="00F367B2"/>
    <w:rsid w:val="00F3694F"/>
    <w:rsid w:val="00F369C8"/>
    <w:rsid w:val="00F36B2C"/>
    <w:rsid w:val="00F36DD7"/>
    <w:rsid w:val="00F37D63"/>
    <w:rsid w:val="00F37D69"/>
    <w:rsid w:val="00F400C0"/>
    <w:rsid w:val="00F404AC"/>
    <w:rsid w:val="00F40C51"/>
    <w:rsid w:val="00F40EB6"/>
    <w:rsid w:val="00F41B19"/>
    <w:rsid w:val="00F422CB"/>
    <w:rsid w:val="00F426A5"/>
    <w:rsid w:val="00F426CB"/>
    <w:rsid w:val="00F42FFD"/>
    <w:rsid w:val="00F43BF2"/>
    <w:rsid w:val="00F43C4D"/>
    <w:rsid w:val="00F43D59"/>
    <w:rsid w:val="00F4438F"/>
    <w:rsid w:val="00F443C2"/>
    <w:rsid w:val="00F443E0"/>
    <w:rsid w:val="00F4465A"/>
    <w:rsid w:val="00F44770"/>
    <w:rsid w:val="00F447B5"/>
    <w:rsid w:val="00F44998"/>
    <w:rsid w:val="00F44C9F"/>
    <w:rsid w:val="00F44EC3"/>
    <w:rsid w:val="00F45583"/>
    <w:rsid w:val="00F458F6"/>
    <w:rsid w:val="00F463EF"/>
    <w:rsid w:val="00F464F4"/>
    <w:rsid w:val="00F46A6B"/>
    <w:rsid w:val="00F46C08"/>
    <w:rsid w:val="00F46F98"/>
    <w:rsid w:val="00F470E6"/>
    <w:rsid w:val="00F47683"/>
    <w:rsid w:val="00F4782E"/>
    <w:rsid w:val="00F4795E"/>
    <w:rsid w:val="00F47EDE"/>
    <w:rsid w:val="00F50232"/>
    <w:rsid w:val="00F50602"/>
    <w:rsid w:val="00F50AFD"/>
    <w:rsid w:val="00F50CB9"/>
    <w:rsid w:val="00F50D88"/>
    <w:rsid w:val="00F50FF8"/>
    <w:rsid w:val="00F510C8"/>
    <w:rsid w:val="00F51E33"/>
    <w:rsid w:val="00F523D5"/>
    <w:rsid w:val="00F5278C"/>
    <w:rsid w:val="00F5283A"/>
    <w:rsid w:val="00F5323A"/>
    <w:rsid w:val="00F53566"/>
    <w:rsid w:val="00F537E6"/>
    <w:rsid w:val="00F53E7D"/>
    <w:rsid w:val="00F5407D"/>
    <w:rsid w:val="00F5429C"/>
    <w:rsid w:val="00F54384"/>
    <w:rsid w:val="00F5459A"/>
    <w:rsid w:val="00F54738"/>
    <w:rsid w:val="00F54E28"/>
    <w:rsid w:val="00F5503B"/>
    <w:rsid w:val="00F558C0"/>
    <w:rsid w:val="00F55EB9"/>
    <w:rsid w:val="00F56437"/>
    <w:rsid w:val="00F566F9"/>
    <w:rsid w:val="00F56AC5"/>
    <w:rsid w:val="00F56D45"/>
    <w:rsid w:val="00F56DFD"/>
    <w:rsid w:val="00F56F7F"/>
    <w:rsid w:val="00F56FEA"/>
    <w:rsid w:val="00F572F9"/>
    <w:rsid w:val="00F575AD"/>
    <w:rsid w:val="00F57DD1"/>
    <w:rsid w:val="00F57FE5"/>
    <w:rsid w:val="00F6042D"/>
    <w:rsid w:val="00F6043F"/>
    <w:rsid w:val="00F6053D"/>
    <w:rsid w:val="00F611DE"/>
    <w:rsid w:val="00F613F3"/>
    <w:rsid w:val="00F61AA8"/>
    <w:rsid w:val="00F61C21"/>
    <w:rsid w:val="00F61C2B"/>
    <w:rsid w:val="00F621DE"/>
    <w:rsid w:val="00F62418"/>
    <w:rsid w:val="00F633ED"/>
    <w:rsid w:val="00F6473D"/>
    <w:rsid w:val="00F64A4F"/>
    <w:rsid w:val="00F64B4D"/>
    <w:rsid w:val="00F6559C"/>
    <w:rsid w:val="00F656C9"/>
    <w:rsid w:val="00F65959"/>
    <w:rsid w:val="00F65C41"/>
    <w:rsid w:val="00F65ED7"/>
    <w:rsid w:val="00F65F3E"/>
    <w:rsid w:val="00F66023"/>
    <w:rsid w:val="00F663CE"/>
    <w:rsid w:val="00F664BF"/>
    <w:rsid w:val="00F670BE"/>
    <w:rsid w:val="00F67B33"/>
    <w:rsid w:val="00F709EF"/>
    <w:rsid w:val="00F70AB1"/>
    <w:rsid w:val="00F70EC1"/>
    <w:rsid w:val="00F70EF2"/>
    <w:rsid w:val="00F70F2D"/>
    <w:rsid w:val="00F71058"/>
    <w:rsid w:val="00F71193"/>
    <w:rsid w:val="00F71223"/>
    <w:rsid w:val="00F7143F"/>
    <w:rsid w:val="00F71814"/>
    <w:rsid w:val="00F7224E"/>
    <w:rsid w:val="00F7236A"/>
    <w:rsid w:val="00F72FDB"/>
    <w:rsid w:val="00F73268"/>
    <w:rsid w:val="00F73468"/>
    <w:rsid w:val="00F735D0"/>
    <w:rsid w:val="00F73828"/>
    <w:rsid w:val="00F73B2E"/>
    <w:rsid w:val="00F74043"/>
    <w:rsid w:val="00F74077"/>
    <w:rsid w:val="00F74461"/>
    <w:rsid w:val="00F74974"/>
    <w:rsid w:val="00F7525C"/>
    <w:rsid w:val="00F75BB8"/>
    <w:rsid w:val="00F75BD3"/>
    <w:rsid w:val="00F76186"/>
    <w:rsid w:val="00F76CD4"/>
    <w:rsid w:val="00F7769F"/>
    <w:rsid w:val="00F7787B"/>
    <w:rsid w:val="00F7795B"/>
    <w:rsid w:val="00F77975"/>
    <w:rsid w:val="00F77D5D"/>
    <w:rsid w:val="00F77F85"/>
    <w:rsid w:val="00F8034D"/>
    <w:rsid w:val="00F81576"/>
    <w:rsid w:val="00F81B19"/>
    <w:rsid w:val="00F82153"/>
    <w:rsid w:val="00F823A9"/>
    <w:rsid w:val="00F830E5"/>
    <w:rsid w:val="00F8322F"/>
    <w:rsid w:val="00F83410"/>
    <w:rsid w:val="00F839A3"/>
    <w:rsid w:val="00F83DAC"/>
    <w:rsid w:val="00F84472"/>
    <w:rsid w:val="00F846CB"/>
    <w:rsid w:val="00F8476D"/>
    <w:rsid w:val="00F84A19"/>
    <w:rsid w:val="00F84AFA"/>
    <w:rsid w:val="00F84DFD"/>
    <w:rsid w:val="00F8552F"/>
    <w:rsid w:val="00F85871"/>
    <w:rsid w:val="00F8607F"/>
    <w:rsid w:val="00F8616A"/>
    <w:rsid w:val="00F861CC"/>
    <w:rsid w:val="00F86DE9"/>
    <w:rsid w:val="00F86FFE"/>
    <w:rsid w:val="00F87724"/>
    <w:rsid w:val="00F87AD9"/>
    <w:rsid w:val="00F87FC2"/>
    <w:rsid w:val="00F900C0"/>
    <w:rsid w:val="00F90480"/>
    <w:rsid w:val="00F905B8"/>
    <w:rsid w:val="00F90A52"/>
    <w:rsid w:val="00F9112C"/>
    <w:rsid w:val="00F91A09"/>
    <w:rsid w:val="00F91DF8"/>
    <w:rsid w:val="00F92020"/>
    <w:rsid w:val="00F92444"/>
    <w:rsid w:val="00F92631"/>
    <w:rsid w:val="00F928A2"/>
    <w:rsid w:val="00F9320C"/>
    <w:rsid w:val="00F9350F"/>
    <w:rsid w:val="00F93769"/>
    <w:rsid w:val="00F93901"/>
    <w:rsid w:val="00F93B8E"/>
    <w:rsid w:val="00F93BDF"/>
    <w:rsid w:val="00F93C1C"/>
    <w:rsid w:val="00F93F0E"/>
    <w:rsid w:val="00F94136"/>
    <w:rsid w:val="00F9414A"/>
    <w:rsid w:val="00F94239"/>
    <w:rsid w:val="00F943D1"/>
    <w:rsid w:val="00F944E6"/>
    <w:rsid w:val="00F94758"/>
    <w:rsid w:val="00F94B3A"/>
    <w:rsid w:val="00F94D21"/>
    <w:rsid w:val="00F95564"/>
    <w:rsid w:val="00F955A6"/>
    <w:rsid w:val="00F95807"/>
    <w:rsid w:val="00F95879"/>
    <w:rsid w:val="00F95DBA"/>
    <w:rsid w:val="00F9624C"/>
    <w:rsid w:val="00F9663E"/>
    <w:rsid w:val="00F96DE7"/>
    <w:rsid w:val="00F96E5C"/>
    <w:rsid w:val="00F96EBC"/>
    <w:rsid w:val="00F97166"/>
    <w:rsid w:val="00F974C9"/>
    <w:rsid w:val="00F97538"/>
    <w:rsid w:val="00F978A3"/>
    <w:rsid w:val="00F97B2B"/>
    <w:rsid w:val="00FA0173"/>
    <w:rsid w:val="00FA06EE"/>
    <w:rsid w:val="00FA0F3A"/>
    <w:rsid w:val="00FA0FE3"/>
    <w:rsid w:val="00FA112A"/>
    <w:rsid w:val="00FA2012"/>
    <w:rsid w:val="00FA234A"/>
    <w:rsid w:val="00FA2DD8"/>
    <w:rsid w:val="00FA2EB6"/>
    <w:rsid w:val="00FA301F"/>
    <w:rsid w:val="00FA38AA"/>
    <w:rsid w:val="00FA3A38"/>
    <w:rsid w:val="00FA3B9A"/>
    <w:rsid w:val="00FA3F0A"/>
    <w:rsid w:val="00FA40D5"/>
    <w:rsid w:val="00FA4205"/>
    <w:rsid w:val="00FA42DA"/>
    <w:rsid w:val="00FA493E"/>
    <w:rsid w:val="00FA5480"/>
    <w:rsid w:val="00FA57AA"/>
    <w:rsid w:val="00FA5B03"/>
    <w:rsid w:val="00FA5B53"/>
    <w:rsid w:val="00FA6619"/>
    <w:rsid w:val="00FA66DC"/>
    <w:rsid w:val="00FA6D0F"/>
    <w:rsid w:val="00FA7BED"/>
    <w:rsid w:val="00FA7C1E"/>
    <w:rsid w:val="00FA7DB9"/>
    <w:rsid w:val="00FB02A9"/>
    <w:rsid w:val="00FB04D7"/>
    <w:rsid w:val="00FB07DD"/>
    <w:rsid w:val="00FB0BB2"/>
    <w:rsid w:val="00FB1BDC"/>
    <w:rsid w:val="00FB1F73"/>
    <w:rsid w:val="00FB2002"/>
    <w:rsid w:val="00FB2978"/>
    <w:rsid w:val="00FB30C1"/>
    <w:rsid w:val="00FB563A"/>
    <w:rsid w:val="00FB59B4"/>
    <w:rsid w:val="00FB5C55"/>
    <w:rsid w:val="00FB68CB"/>
    <w:rsid w:val="00FB72DE"/>
    <w:rsid w:val="00FB77B3"/>
    <w:rsid w:val="00FB78C9"/>
    <w:rsid w:val="00FB794E"/>
    <w:rsid w:val="00FB7DC2"/>
    <w:rsid w:val="00FB7DED"/>
    <w:rsid w:val="00FC0FB9"/>
    <w:rsid w:val="00FC1137"/>
    <w:rsid w:val="00FC1231"/>
    <w:rsid w:val="00FC148A"/>
    <w:rsid w:val="00FC1A84"/>
    <w:rsid w:val="00FC1BD9"/>
    <w:rsid w:val="00FC1FBB"/>
    <w:rsid w:val="00FC209C"/>
    <w:rsid w:val="00FC25D5"/>
    <w:rsid w:val="00FC26D4"/>
    <w:rsid w:val="00FC2D9D"/>
    <w:rsid w:val="00FC37ED"/>
    <w:rsid w:val="00FC3C22"/>
    <w:rsid w:val="00FC3C43"/>
    <w:rsid w:val="00FC3E02"/>
    <w:rsid w:val="00FC3EC0"/>
    <w:rsid w:val="00FC416F"/>
    <w:rsid w:val="00FC42E5"/>
    <w:rsid w:val="00FC45B9"/>
    <w:rsid w:val="00FC4631"/>
    <w:rsid w:val="00FC4AC9"/>
    <w:rsid w:val="00FC5125"/>
    <w:rsid w:val="00FC5126"/>
    <w:rsid w:val="00FC6269"/>
    <w:rsid w:val="00FC6483"/>
    <w:rsid w:val="00FC69A8"/>
    <w:rsid w:val="00FC6D48"/>
    <w:rsid w:val="00FC77E9"/>
    <w:rsid w:val="00FC798D"/>
    <w:rsid w:val="00FC7B54"/>
    <w:rsid w:val="00FC7CE7"/>
    <w:rsid w:val="00FD0410"/>
    <w:rsid w:val="00FD05FB"/>
    <w:rsid w:val="00FD0620"/>
    <w:rsid w:val="00FD0885"/>
    <w:rsid w:val="00FD0EF6"/>
    <w:rsid w:val="00FD0F63"/>
    <w:rsid w:val="00FD11EC"/>
    <w:rsid w:val="00FD12D1"/>
    <w:rsid w:val="00FD14A8"/>
    <w:rsid w:val="00FD19E6"/>
    <w:rsid w:val="00FD1F87"/>
    <w:rsid w:val="00FD2151"/>
    <w:rsid w:val="00FD25ED"/>
    <w:rsid w:val="00FD293E"/>
    <w:rsid w:val="00FD2B61"/>
    <w:rsid w:val="00FD2D2E"/>
    <w:rsid w:val="00FD3685"/>
    <w:rsid w:val="00FD3826"/>
    <w:rsid w:val="00FD3AAA"/>
    <w:rsid w:val="00FD4110"/>
    <w:rsid w:val="00FD4686"/>
    <w:rsid w:val="00FD5281"/>
    <w:rsid w:val="00FD5507"/>
    <w:rsid w:val="00FD59AF"/>
    <w:rsid w:val="00FD5BBC"/>
    <w:rsid w:val="00FD5C5C"/>
    <w:rsid w:val="00FD5CD2"/>
    <w:rsid w:val="00FD6284"/>
    <w:rsid w:val="00FD67DF"/>
    <w:rsid w:val="00FD6F87"/>
    <w:rsid w:val="00FD7545"/>
    <w:rsid w:val="00FD7D94"/>
    <w:rsid w:val="00FE06C8"/>
    <w:rsid w:val="00FE0BA0"/>
    <w:rsid w:val="00FE0BED"/>
    <w:rsid w:val="00FE112B"/>
    <w:rsid w:val="00FE1540"/>
    <w:rsid w:val="00FE1765"/>
    <w:rsid w:val="00FE18E3"/>
    <w:rsid w:val="00FE1AAF"/>
    <w:rsid w:val="00FE1F5A"/>
    <w:rsid w:val="00FE2291"/>
    <w:rsid w:val="00FE2350"/>
    <w:rsid w:val="00FE2504"/>
    <w:rsid w:val="00FE2766"/>
    <w:rsid w:val="00FE2A92"/>
    <w:rsid w:val="00FE3441"/>
    <w:rsid w:val="00FE3AAD"/>
    <w:rsid w:val="00FE482A"/>
    <w:rsid w:val="00FE4851"/>
    <w:rsid w:val="00FE5135"/>
    <w:rsid w:val="00FE56BB"/>
    <w:rsid w:val="00FE67C3"/>
    <w:rsid w:val="00FE695C"/>
    <w:rsid w:val="00FE6A20"/>
    <w:rsid w:val="00FE6C42"/>
    <w:rsid w:val="00FE6F4C"/>
    <w:rsid w:val="00FE77DA"/>
    <w:rsid w:val="00FE7E3C"/>
    <w:rsid w:val="00FF0145"/>
    <w:rsid w:val="00FF0646"/>
    <w:rsid w:val="00FF108E"/>
    <w:rsid w:val="00FF1AC1"/>
    <w:rsid w:val="00FF1C23"/>
    <w:rsid w:val="00FF1CD0"/>
    <w:rsid w:val="00FF2227"/>
    <w:rsid w:val="00FF2587"/>
    <w:rsid w:val="00FF277D"/>
    <w:rsid w:val="00FF28BA"/>
    <w:rsid w:val="00FF2DB2"/>
    <w:rsid w:val="00FF3054"/>
    <w:rsid w:val="00FF30C2"/>
    <w:rsid w:val="00FF4941"/>
    <w:rsid w:val="00FF4C94"/>
    <w:rsid w:val="00FF4F64"/>
    <w:rsid w:val="00FF577C"/>
    <w:rsid w:val="00FF5BA8"/>
    <w:rsid w:val="00FF6587"/>
    <w:rsid w:val="00FF68BC"/>
    <w:rsid w:val="00FF71EA"/>
    <w:rsid w:val="00FF72A3"/>
    <w:rsid w:val="00FF7315"/>
    <w:rsid w:val="00FF764F"/>
    <w:rsid w:val="00FF7653"/>
    <w:rsid w:val="00FF76E9"/>
    <w:rsid w:val="00FF777E"/>
    <w:rsid w:val="00FF78FE"/>
    <w:rsid w:val="00FF7C0C"/>
    <w:rsid w:val="0A960F9D"/>
    <w:rsid w:val="1CFE18F1"/>
    <w:rsid w:val="24072410"/>
    <w:rsid w:val="29D16BE3"/>
    <w:rsid w:val="3D1E3F03"/>
    <w:rsid w:val="597A531C"/>
    <w:rsid w:val="6CB80E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rules v:ext="edit">
        <o:r id="V:Rule1" type="connector" idref="#_x0000_s212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nhideWhenUsed="0" w:uiPriority="0" w:name="annotation text"/>
    <w:lsdException w:qFormat="1" w:unhideWhenUsed="0" w:uiPriority="99" w:semiHidden="0" w:name="header"/>
    <w:lsdException w:qFormat="1"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99"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name="annotation subject"/>
    <w:lsdException w:uiPriority="0" w:name="Table Simple 1"/>
    <w:lsdException w:qFormat="1" w:unhideWhenUsed="0" w:uiPriority="0" w:semiHidden="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qFormat="1" w:unhideWhenUsed="0" w:uiPriority="0" w:semiHidden="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qFormat="1" w:unhideWhenUsed="0" w:uiPriority="0" w:semiHidden="0" w:name="Table List 2"/>
    <w:lsdException w:qFormat="1" w:unhideWhenUsed="0" w:uiPriority="0" w:semiHidden="0" w:name="Table List 3"/>
    <w:lsdException w:uiPriority="0" w:name="Table List 4"/>
    <w:lsdException w:qFormat="1" w:unhideWhenUsed="0" w:uiPriority="0" w:semiHidden="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qFormat="1" w:unhideWhenUsed="0" w:uiPriority="99"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34"/>
    <w:qFormat/>
    <w:uiPriority w:val="9"/>
    <w:pPr>
      <w:keepNext/>
      <w:keepLines/>
      <w:spacing w:line="360" w:lineRule="auto"/>
      <w:jc w:val="center"/>
      <w:outlineLvl w:val="0"/>
    </w:pPr>
    <w:rPr>
      <w:b/>
      <w:bCs/>
      <w:kern w:val="44"/>
      <w:sz w:val="30"/>
      <w:szCs w:val="28"/>
    </w:rPr>
  </w:style>
  <w:style w:type="paragraph" w:styleId="3">
    <w:name w:val="heading 2"/>
    <w:basedOn w:val="1"/>
    <w:next w:val="1"/>
    <w:link w:val="143"/>
    <w:qFormat/>
    <w:uiPriority w:val="9"/>
    <w:pPr>
      <w:keepNext/>
      <w:keepLines/>
      <w:spacing w:before="50" w:beforeLines="50" w:after="50" w:afterLines="50"/>
      <w:jc w:val="left"/>
      <w:outlineLvl w:val="1"/>
    </w:pPr>
    <w:rPr>
      <w:rFonts w:ascii="Arial" w:hAnsi="Arial" w:cs="Arial"/>
      <w:b/>
      <w:bCs/>
      <w:sz w:val="24"/>
    </w:rPr>
  </w:style>
  <w:style w:type="paragraph" w:styleId="4">
    <w:name w:val="heading 3"/>
    <w:basedOn w:val="1"/>
    <w:next w:val="1"/>
    <w:link w:val="144"/>
    <w:qFormat/>
    <w:uiPriority w:val="9"/>
    <w:pPr>
      <w:keepNext/>
      <w:keepLines/>
      <w:spacing w:before="50" w:beforeLines="50" w:after="50" w:afterLines="50"/>
      <w:jc w:val="left"/>
      <w:outlineLvl w:val="2"/>
    </w:pPr>
    <w:rPr>
      <w:b/>
      <w:bCs/>
      <w:sz w:val="24"/>
    </w:rPr>
  </w:style>
  <w:style w:type="paragraph" w:styleId="5">
    <w:name w:val="heading 4"/>
    <w:basedOn w:val="1"/>
    <w:next w:val="1"/>
    <w:link w:val="145"/>
    <w:qFormat/>
    <w:uiPriority w:val="0"/>
    <w:pPr>
      <w:keepNext/>
      <w:keepLines/>
      <w:spacing w:line="600" w:lineRule="exact"/>
      <w:ind w:firstLine="200" w:firstLineChars="200"/>
      <w:jc w:val="left"/>
      <w:outlineLvl w:val="3"/>
    </w:pPr>
    <w:rPr>
      <w:rFonts w:ascii="Arial" w:hAnsi="Arial" w:eastAsia="楷体_GB2312"/>
      <w:b/>
      <w:bCs/>
      <w:color w:val="0000FF"/>
      <w:sz w:val="36"/>
      <w:szCs w:val="28"/>
      <w:lang w:val="zh-CN"/>
    </w:rPr>
  </w:style>
  <w:style w:type="paragraph" w:styleId="6">
    <w:name w:val="heading 5"/>
    <w:basedOn w:val="1"/>
    <w:next w:val="1"/>
    <w:link w:val="131"/>
    <w:qFormat/>
    <w:uiPriority w:val="0"/>
    <w:pPr>
      <w:keepNext/>
      <w:keepLines/>
      <w:spacing w:before="280" w:after="290" w:line="376" w:lineRule="auto"/>
      <w:outlineLvl w:val="4"/>
    </w:pPr>
    <w:rPr>
      <w:b/>
      <w:bCs/>
      <w:sz w:val="28"/>
      <w:szCs w:val="28"/>
    </w:rPr>
  </w:style>
  <w:style w:type="paragraph" w:styleId="7">
    <w:name w:val="heading 6"/>
    <w:basedOn w:val="1"/>
    <w:next w:val="1"/>
    <w:link w:val="132"/>
    <w:qFormat/>
    <w:uiPriority w:val="0"/>
    <w:pPr>
      <w:keepNext/>
      <w:keepLines/>
      <w:spacing w:before="240" w:after="64" w:line="320" w:lineRule="auto"/>
      <w:outlineLvl w:val="5"/>
    </w:pPr>
    <w:rPr>
      <w:rFonts w:ascii="Arial" w:hAnsi="Arial" w:eastAsia="黑体"/>
      <w:b/>
      <w:bCs/>
      <w:sz w:val="24"/>
    </w:rPr>
  </w:style>
  <w:style w:type="paragraph" w:styleId="8">
    <w:name w:val="heading 7"/>
    <w:basedOn w:val="1"/>
    <w:next w:val="1"/>
    <w:qFormat/>
    <w:uiPriority w:val="0"/>
    <w:pPr>
      <w:keepNext/>
      <w:keepLines/>
      <w:numPr>
        <w:ilvl w:val="6"/>
        <w:numId w:val="1"/>
      </w:numPr>
      <w:autoSpaceDE w:val="0"/>
      <w:spacing w:before="240" w:after="64" w:line="320" w:lineRule="auto"/>
      <w:ind w:firstLine="200" w:firstLineChars="200"/>
      <w:outlineLvl w:val="6"/>
    </w:pPr>
    <w:rPr>
      <w:b/>
      <w:spacing w:val="8"/>
      <w:kern w:val="24"/>
      <w:sz w:val="24"/>
      <w:szCs w:val="20"/>
    </w:rPr>
  </w:style>
  <w:style w:type="paragraph" w:styleId="9">
    <w:name w:val="heading 8"/>
    <w:basedOn w:val="1"/>
    <w:next w:val="1"/>
    <w:qFormat/>
    <w:uiPriority w:val="0"/>
    <w:pPr>
      <w:keepNext/>
      <w:keepLines/>
      <w:numPr>
        <w:ilvl w:val="7"/>
        <w:numId w:val="1"/>
      </w:numPr>
      <w:autoSpaceDE w:val="0"/>
      <w:spacing w:before="240" w:after="64" w:line="320" w:lineRule="auto"/>
      <w:ind w:firstLine="200" w:firstLineChars="200"/>
      <w:outlineLvl w:val="7"/>
    </w:pPr>
    <w:rPr>
      <w:rFonts w:ascii="Arial" w:hAnsi="Arial" w:eastAsia="黑体"/>
      <w:spacing w:val="8"/>
      <w:kern w:val="24"/>
      <w:sz w:val="24"/>
      <w:szCs w:val="20"/>
    </w:rPr>
  </w:style>
  <w:style w:type="paragraph" w:styleId="10">
    <w:name w:val="heading 9"/>
    <w:basedOn w:val="1"/>
    <w:next w:val="1"/>
    <w:qFormat/>
    <w:uiPriority w:val="0"/>
    <w:pPr>
      <w:keepNext/>
      <w:keepLines/>
      <w:numPr>
        <w:ilvl w:val="8"/>
        <w:numId w:val="1"/>
      </w:numPr>
      <w:autoSpaceDE w:val="0"/>
      <w:spacing w:before="240" w:after="64" w:line="320" w:lineRule="auto"/>
      <w:ind w:firstLine="200" w:firstLineChars="200"/>
      <w:outlineLvl w:val="8"/>
    </w:pPr>
    <w:rPr>
      <w:rFonts w:ascii="Arial" w:hAnsi="Arial" w:eastAsia="黑体"/>
      <w:spacing w:val="8"/>
      <w:kern w:val="24"/>
      <w:sz w:val="24"/>
      <w:szCs w:val="20"/>
    </w:rPr>
  </w:style>
  <w:style w:type="character" w:default="1" w:styleId="54">
    <w:name w:val="Default Paragraph Font"/>
    <w:semiHidden/>
    <w:unhideWhenUsed/>
    <w:qFormat/>
    <w:uiPriority w:val="1"/>
  </w:style>
  <w:style w:type="table" w:default="1" w:styleId="46">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ind w:left="1260"/>
      <w:jc w:val="left"/>
    </w:pPr>
    <w:rPr>
      <w:rFonts w:ascii="等线" w:eastAsia="等线"/>
      <w:sz w:val="18"/>
      <w:szCs w:val="18"/>
    </w:rPr>
  </w:style>
  <w:style w:type="paragraph" w:styleId="12">
    <w:name w:val="Normal Indent"/>
    <w:basedOn w:val="1"/>
    <w:link w:val="244"/>
    <w:qFormat/>
    <w:uiPriority w:val="0"/>
    <w:pPr>
      <w:ind w:firstLine="420" w:firstLineChars="200"/>
    </w:pPr>
  </w:style>
  <w:style w:type="paragraph" w:styleId="13">
    <w:name w:val="caption"/>
    <w:basedOn w:val="1"/>
    <w:next w:val="1"/>
    <w:qFormat/>
    <w:uiPriority w:val="0"/>
    <w:rPr>
      <w:rFonts w:ascii="Cambria" w:hAnsi="Cambria" w:eastAsia="黑体"/>
      <w:sz w:val="20"/>
      <w:szCs w:val="20"/>
    </w:rPr>
  </w:style>
  <w:style w:type="paragraph" w:styleId="14">
    <w:name w:val="Document Map"/>
    <w:basedOn w:val="1"/>
    <w:link w:val="154"/>
    <w:semiHidden/>
    <w:qFormat/>
    <w:uiPriority w:val="99"/>
    <w:pPr>
      <w:shd w:val="clear" w:color="auto" w:fill="000080"/>
    </w:pPr>
    <w:rPr>
      <w:szCs w:val="21"/>
    </w:rPr>
  </w:style>
  <w:style w:type="paragraph" w:styleId="15">
    <w:name w:val="annotation text"/>
    <w:basedOn w:val="1"/>
    <w:link w:val="197"/>
    <w:semiHidden/>
    <w:qFormat/>
    <w:uiPriority w:val="0"/>
    <w:pPr>
      <w:jc w:val="left"/>
    </w:pPr>
    <w:rPr>
      <w:szCs w:val="21"/>
    </w:rPr>
  </w:style>
  <w:style w:type="paragraph" w:styleId="16">
    <w:name w:val="Body Text 3"/>
    <w:basedOn w:val="1"/>
    <w:qFormat/>
    <w:uiPriority w:val="0"/>
    <w:pPr>
      <w:autoSpaceDE w:val="0"/>
      <w:autoSpaceDN w:val="0"/>
      <w:adjustRightInd w:val="0"/>
      <w:jc w:val="left"/>
    </w:pPr>
    <w:rPr>
      <w:rFonts w:ascii="宋体" w:hAnsi="宋体"/>
      <w:sz w:val="24"/>
    </w:rPr>
  </w:style>
  <w:style w:type="paragraph" w:styleId="17">
    <w:name w:val="Body Text"/>
    <w:basedOn w:val="1"/>
    <w:link w:val="84"/>
    <w:qFormat/>
    <w:uiPriority w:val="1"/>
    <w:pPr>
      <w:ind w:firstLine="560" w:firstLineChars="200"/>
    </w:pPr>
    <w:rPr>
      <w:sz w:val="28"/>
      <w:szCs w:val="28"/>
      <w:lang w:val="zh-CN"/>
    </w:rPr>
  </w:style>
  <w:style w:type="paragraph" w:styleId="18">
    <w:name w:val="Body Text Indent"/>
    <w:basedOn w:val="1"/>
    <w:link w:val="158"/>
    <w:qFormat/>
    <w:uiPriority w:val="0"/>
    <w:pPr>
      <w:ind w:firstLine="480"/>
    </w:pPr>
    <w:rPr>
      <w:rFonts w:ascii="宋体" w:hAnsi="宋体" w:eastAsia="仿宋_GB2312"/>
      <w:sz w:val="28"/>
    </w:rPr>
  </w:style>
  <w:style w:type="paragraph" w:styleId="19">
    <w:name w:val="List 2"/>
    <w:basedOn w:val="1"/>
    <w:qFormat/>
    <w:uiPriority w:val="0"/>
    <w:pPr>
      <w:spacing w:line="312" w:lineRule="auto"/>
      <w:ind w:left="840" w:hanging="420" w:firstLineChars="200"/>
    </w:pPr>
    <w:rPr>
      <w:sz w:val="24"/>
      <w:szCs w:val="20"/>
    </w:rPr>
  </w:style>
  <w:style w:type="paragraph" w:styleId="20">
    <w:name w:val="Block Text"/>
    <w:basedOn w:val="1"/>
    <w:qFormat/>
    <w:uiPriority w:val="0"/>
    <w:pPr>
      <w:spacing w:line="300" w:lineRule="exact"/>
      <w:ind w:left="-718" w:leftChars="-342" w:right="-1052" w:rightChars="-501" w:firstLine="560" w:firstLineChars="200"/>
    </w:pPr>
    <w:rPr>
      <w:sz w:val="28"/>
    </w:rPr>
  </w:style>
  <w:style w:type="paragraph" w:styleId="21">
    <w:name w:val="toc 5"/>
    <w:basedOn w:val="1"/>
    <w:next w:val="1"/>
    <w:qFormat/>
    <w:uiPriority w:val="39"/>
    <w:pPr>
      <w:ind w:left="840"/>
      <w:jc w:val="left"/>
    </w:pPr>
    <w:rPr>
      <w:rFonts w:ascii="等线" w:eastAsia="等线"/>
      <w:sz w:val="18"/>
      <w:szCs w:val="18"/>
    </w:rPr>
  </w:style>
  <w:style w:type="paragraph" w:styleId="22">
    <w:name w:val="toc 3"/>
    <w:basedOn w:val="1"/>
    <w:next w:val="1"/>
    <w:qFormat/>
    <w:uiPriority w:val="39"/>
    <w:pPr>
      <w:ind w:left="420"/>
      <w:jc w:val="left"/>
    </w:pPr>
    <w:rPr>
      <w:rFonts w:ascii="等线" w:eastAsia="等线"/>
      <w:i/>
      <w:iCs/>
      <w:sz w:val="20"/>
      <w:szCs w:val="20"/>
    </w:rPr>
  </w:style>
  <w:style w:type="paragraph" w:styleId="23">
    <w:name w:val="Plain Text"/>
    <w:basedOn w:val="1"/>
    <w:link w:val="155"/>
    <w:qFormat/>
    <w:uiPriority w:val="0"/>
    <w:pPr>
      <w:spacing w:line="312" w:lineRule="auto"/>
      <w:ind w:firstLine="200" w:firstLineChars="200"/>
    </w:pPr>
    <w:rPr>
      <w:rFonts w:ascii="宋体" w:hAnsi="Courier New"/>
      <w:sz w:val="24"/>
      <w:szCs w:val="20"/>
    </w:rPr>
  </w:style>
  <w:style w:type="paragraph" w:styleId="24">
    <w:name w:val="toc 8"/>
    <w:basedOn w:val="1"/>
    <w:next w:val="1"/>
    <w:qFormat/>
    <w:uiPriority w:val="39"/>
    <w:pPr>
      <w:ind w:left="1470"/>
      <w:jc w:val="left"/>
    </w:pPr>
    <w:rPr>
      <w:rFonts w:ascii="等线" w:eastAsia="等线"/>
      <w:sz w:val="18"/>
      <w:szCs w:val="18"/>
    </w:rPr>
  </w:style>
  <w:style w:type="paragraph" w:styleId="25">
    <w:name w:val="Date"/>
    <w:basedOn w:val="1"/>
    <w:next w:val="1"/>
    <w:link w:val="164"/>
    <w:qFormat/>
    <w:uiPriority w:val="99"/>
    <w:pPr>
      <w:ind w:left="100" w:leftChars="2500"/>
    </w:pPr>
    <w:rPr>
      <w:szCs w:val="21"/>
    </w:rPr>
  </w:style>
  <w:style w:type="paragraph" w:styleId="26">
    <w:name w:val="Body Text Indent 2"/>
    <w:basedOn w:val="1"/>
    <w:link w:val="165"/>
    <w:qFormat/>
    <w:uiPriority w:val="0"/>
    <w:pPr>
      <w:spacing w:before="120" w:after="120" w:line="360" w:lineRule="auto"/>
      <w:ind w:firstLine="446" w:firstLineChars="186"/>
    </w:pPr>
    <w:rPr>
      <w:rFonts w:ascii="宋体" w:hAnsi="宋体"/>
      <w:sz w:val="24"/>
    </w:rPr>
  </w:style>
  <w:style w:type="paragraph" w:styleId="27">
    <w:name w:val="Balloon Text"/>
    <w:basedOn w:val="1"/>
    <w:link w:val="167"/>
    <w:semiHidden/>
    <w:qFormat/>
    <w:uiPriority w:val="99"/>
    <w:rPr>
      <w:sz w:val="18"/>
      <w:szCs w:val="18"/>
    </w:rPr>
  </w:style>
  <w:style w:type="paragraph" w:styleId="28">
    <w:name w:val="footer"/>
    <w:basedOn w:val="1"/>
    <w:link w:val="79"/>
    <w:unhideWhenUsed/>
    <w:qFormat/>
    <w:uiPriority w:val="99"/>
    <w:pPr>
      <w:tabs>
        <w:tab w:val="center" w:pos="4153"/>
        <w:tab w:val="right" w:pos="8306"/>
      </w:tabs>
      <w:snapToGrid w:val="0"/>
      <w:jc w:val="left"/>
    </w:pPr>
    <w:rPr>
      <w:rFonts w:ascii="Calibri" w:hAnsi="Calibri"/>
      <w:sz w:val="18"/>
      <w:szCs w:val="18"/>
    </w:rPr>
  </w:style>
  <w:style w:type="paragraph" w:styleId="29">
    <w:name w:val="header"/>
    <w:basedOn w:val="1"/>
    <w:link w:val="150"/>
    <w:qFormat/>
    <w:uiPriority w:val="99"/>
    <w:pPr>
      <w:pBdr>
        <w:bottom w:val="single" w:color="auto" w:sz="6" w:space="1"/>
      </w:pBdr>
      <w:tabs>
        <w:tab w:val="center" w:pos="4153"/>
        <w:tab w:val="right" w:pos="8306"/>
      </w:tabs>
      <w:snapToGrid w:val="0"/>
      <w:jc w:val="center"/>
    </w:pPr>
    <w:rPr>
      <w:sz w:val="18"/>
      <w:szCs w:val="18"/>
    </w:rPr>
  </w:style>
  <w:style w:type="paragraph" w:styleId="30">
    <w:name w:val="toc 1"/>
    <w:basedOn w:val="1"/>
    <w:next w:val="1"/>
    <w:qFormat/>
    <w:uiPriority w:val="39"/>
    <w:pPr>
      <w:tabs>
        <w:tab w:val="right" w:leader="dot" w:pos="8931"/>
      </w:tabs>
      <w:adjustRightInd w:val="0"/>
      <w:snapToGrid w:val="0"/>
      <w:spacing w:line="480" w:lineRule="auto"/>
    </w:pPr>
    <w:rPr>
      <w:rFonts w:eastAsia="楷体"/>
      <w:bCs/>
      <w:caps/>
      <w:sz w:val="28"/>
      <w:szCs w:val="28"/>
    </w:rPr>
  </w:style>
  <w:style w:type="paragraph" w:styleId="31">
    <w:name w:val="toc 4"/>
    <w:basedOn w:val="1"/>
    <w:next w:val="1"/>
    <w:qFormat/>
    <w:uiPriority w:val="39"/>
    <w:pPr>
      <w:ind w:left="630"/>
      <w:jc w:val="left"/>
    </w:pPr>
    <w:rPr>
      <w:rFonts w:ascii="等线" w:eastAsia="等线"/>
      <w:sz w:val="18"/>
      <w:szCs w:val="18"/>
    </w:rPr>
  </w:style>
  <w:style w:type="paragraph" w:styleId="32">
    <w:name w:val="Subtitle"/>
    <w:basedOn w:val="1"/>
    <w:next w:val="1"/>
    <w:link w:val="138"/>
    <w:qFormat/>
    <w:uiPriority w:val="0"/>
    <w:pPr>
      <w:spacing w:before="240" w:after="60" w:line="312" w:lineRule="auto"/>
      <w:jc w:val="center"/>
      <w:outlineLvl w:val="1"/>
    </w:pPr>
    <w:rPr>
      <w:rFonts w:ascii="Cambria" w:hAnsi="Cambria"/>
      <w:b/>
      <w:bCs/>
      <w:kern w:val="28"/>
      <w:sz w:val="32"/>
      <w:szCs w:val="32"/>
    </w:rPr>
  </w:style>
  <w:style w:type="paragraph" w:styleId="33">
    <w:name w:val="List"/>
    <w:basedOn w:val="1"/>
    <w:qFormat/>
    <w:uiPriority w:val="0"/>
    <w:pPr>
      <w:spacing w:line="260" w:lineRule="exact"/>
      <w:jc w:val="center"/>
    </w:pPr>
    <w:rPr>
      <w:rFonts w:ascii="仿宋_GB2312" w:eastAsia="仿宋_GB2312"/>
      <w:szCs w:val="20"/>
    </w:rPr>
  </w:style>
  <w:style w:type="paragraph" w:styleId="34">
    <w:name w:val="footnote text"/>
    <w:basedOn w:val="1"/>
    <w:link w:val="192"/>
    <w:semiHidden/>
    <w:qFormat/>
    <w:uiPriority w:val="0"/>
    <w:pPr>
      <w:snapToGrid w:val="0"/>
      <w:jc w:val="left"/>
    </w:pPr>
    <w:rPr>
      <w:sz w:val="18"/>
      <w:szCs w:val="18"/>
    </w:rPr>
  </w:style>
  <w:style w:type="paragraph" w:styleId="35">
    <w:name w:val="toc 6"/>
    <w:basedOn w:val="1"/>
    <w:next w:val="1"/>
    <w:qFormat/>
    <w:uiPriority w:val="39"/>
    <w:pPr>
      <w:ind w:left="1050"/>
      <w:jc w:val="left"/>
    </w:pPr>
    <w:rPr>
      <w:rFonts w:ascii="等线" w:eastAsia="等线"/>
      <w:sz w:val="18"/>
      <w:szCs w:val="18"/>
    </w:rPr>
  </w:style>
  <w:style w:type="paragraph" w:styleId="36">
    <w:name w:val="Body Text Indent 3"/>
    <w:basedOn w:val="1"/>
    <w:qFormat/>
    <w:uiPriority w:val="0"/>
    <w:pPr>
      <w:spacing w:before="120" w:after="120" w:line="312" w:lineRule="auto"/>
      <w:ind w:left="420" w:leftChars="200"/>
    </w:pPr>
    <w:rPr>
      <w:bCs/>
      <w:sz w:val="16"/>
      <w:szCs w:val="16"/>
    </w:rPr>
  </w:style>
  <w:style w:type="paragraph" w:styleId="37">
    <w:name w:val="toc 2"/>
    <w:basedOn w:val="1"/>
    <w:next w:val="1"/>
    <w:link w:val="87"/>
    <w:qFormat/>
    <w:uiPriority w:val="39"/>
    <w:pPr>
      <w:tabs>
        <w:tab w:val="right" w:leader="dot" w:pos="8931"/>
      </w:tabs>
      <w:adjustRightInd w:val="0"/>
      <w:snapToGrid w:val="0"/>
      <w:spacing w:line="480" w:lineRule="auto"/>
      <w:ind w:firstLine="560" w:firstLineChars="200"/>
    </w:pPr>
    <w:rPr>
      <w:rFonts w:ascii="等线" w:eastAsia="等线"/>
      <w:smallCaps/>
      <w:sz w:val="20"/>
      <w:szCs w:val="20"/>
    </w:rPr>
  </w:style>
  <w:style w:type="paragraph" w:styleId="38">
    <w:name w:val="toc 9"/>
    <w:basedOn w:val="1"/>
    <w:next w:val="1"/>
    <w:qFormat/>
    <w:uiPriority w:val="39"/>
    <w:pPr>
      <w:ind w:left="1680"/>
      <w:jc w:val="left"/>
    </w:pPr>
    <w:rPr>
      <w:rFonts w:ascii="等线" w:eastAsia="等线"/>
      <w:sz w:val="18"/>
      <w:szCs w:val="18"/>
    </w:rPr>
  </w:style>
  <w:style w:type="paragraph" w:styleId="39">
    <w:name w:val="Body Text 2"/>
    <w:basedOn w:val="1"/>
    <w:qFormat/>
    <w:uiPriority w:val="0"/>
    <w:pPr>
      <w:spacing w:line="240" w:lineRule="atLeast"/>
      <w:jc w:val="center"/>
    </w:pPr>
    <w:rPr>
      <w:sz w:val="18"/>
    </w:rPr>
  </w:style>
  <w:style w:type="paragraph" w:styleId="40">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41">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42">
    <w:name w:val="Title"/>
    <w:basedOn w:val="1"/>
    <w:next w:val="1"/>
    <w:link w:val="135"/>
    <w:qFormat/>
    <w:uiPriority w:val="10"/>
    <w:pPr>
      <w:spacing w:before="240" w:after="60"/>
      <w:jc w:val="center"/>
      <w:outlineLvl w:val="0"/>
    </w:pPr>
    <w:rPr>
      <w:rFonts w:ascii="Cambria" w:hAnsi="Cambria"/>
      <w:b/>
      <w:bCs/>
      <w:sz w:val="32"/>
      <w:szCs w:val="32"/>
      <w:lang w:val="zh-CN"/>
    </w:rPr>
  </w:style>
  <w:style w:type="paragraph" w:styleId="43">
    <w:name w:val="annotation subject"/>
    <w:basedOn w:val="15"/>
    <w:next w:val="15"/>
    <w:link w:val="198"/>
    <w:semiHidden/>
    <w:qFormat/>
    <w:uiPriority w:val="0"/>
    <w:rPr>
      <w:b/>
      <w:bCs/>
    </w:rPr>
  </w:style>
  <w:style w:type="paragraph" w:styleId="44">
    <w:name w:val="Body Text First Indent"/>
    <w:basedOn w:val="17"/>
    <w:qFormat/>
    <w:uiPriority w:val="0"/>
    <w:pPr>
      <w:spacing w:after="120"/>
      <w:ind w:firstLine="420" w:firstLineChars="100"/>
    </w:pPr>
    <w:rPr>
      <w:sz w:val="21"/>
      <w:szCs w:val="24"/>
      <w:lang w:val="en-US"/>
    </w:rPr>
  </w:style>
  <w:style w:type="paragraph" w:styleId="45">
    <w:name w:val="Body Text First Indent 2"/>
    <w:basedOn w:val="18"/>
    <w:qFormat/>
    <w:uiPriority w:val="0"/>
    <w:pPr>
      <w:spacing w:after="120"/>
      <w:ind w:left="420" w:leftChars="200" w:firstLine="420" w:firstLineChars="200"/>
    </w:pPr>
    <w:rPr>
      <w:rFonts w:ascii="Times New Roman" w:hAnsi="Times New Roman" w:eastAsia="宋体"/>
      <w:sz w:val="21"/>
    </w:rPr>
  </w:style>
  <w:style w:type="table" w:styleId="47">
    <w:name w:val="Table Grid"/>
    <w:basedOn w:val="46"/>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8">
    <w:name w:val="Table Theme"/>
    <w:basedOn w:val="4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9">
    <w:name w:val="Table Simple 2"/>
    <w:basedOn w:val="46"/>
    <w:qFormat/>
    <w:uiPriority w:val="0"/>
    <w:pPr>
      <w:widowControl w:val="0"/>
      <w:jc w:val="both"/>
    </w:pPr>
    <w:tblPr/>
    <w:tblStylePr w:type="firstRow">
      <w:rPr>
        <w:rFonts w:cs="Times New Roman"/>
        <w:b/>
        <w:bCs/>
      </w:rPr>
      <w:tblPr/>
      <w:tcPr>
        <w:tcBorders>
          <w:bottom w:val="single" w:color="000000" w:sz="12" w:space="0"/>
          <w:tl2br w:val="nil"/>
          <w:tr2bl w:val="nil"/>
        </w:tcBorders>
      </w:tcPr>
    </w:tblStylePr>
    <w:tblStylePr w:type="lastRow">
      <w:rPr>
        <w:rFonts w:cs="Times New Roman"/>
        <w:b/>
        <w:bCs/>
        <w:color w:val="auto"/>
      </w:rPr>
      <w:tblPr/>
      <w:tcPr>
        <w:tcBorders>
          <w:top w:val="single" w:color="000000" w:sz="6" w:space="0"/>
          <w:tl2br w:val="nil"/>
          <w:tr2bl w:val="nil"/>
        </w:tcBorders>
      </w:tcPr>
    </w:tblStylePr>
    <w:tblStylePr w:type="firstCol">
      <w:rPr>
        <w:rFonts w:cs="Times New Roman"/>
        <w:b/>
        <w:bCs/>
      </w:rPr>
      <w:tblPr/>
      <w:tcPr>
        <w:tcBorders>
          <w:right w:val="single" w:color="000000" w:sz="12" w:space="0"/>
          <w:tl2br w:val="nil"/>
          <w:tr2bl w:val="nil"/>
        </w:tcBorders>
      </w:tcPr>
    </w:tblStylePr>
    <w:tblStylePr w:type="lastCol">
      <w:rPr>
        <w:rFonts w:cs="Times New Roman"/>
        <w:b/>
        <w:bCs/>
      </w:rPr>
      <w:tblPr/>
      <w:tcPr>
        <w:tcBorders>
          <w:left w:val="single" w:color="000000" w:sz="6" w:space="0"/>
          <w:tl2br w:val="nil"/>
          <w:tr2bl w:val="nil"/>
        </w:tcBorders>
      </w:tcPr>
    </w:tblStylePr>
    <w:tblStylePr w:type="neCell">
      <w:rPr>
        <w:rFonts w:cs="Times New Roman"/>
        <w:b/>
        <w:bCs/>
      </w:rPr>
      <w:tblPr/>
      <w:tcPr>
        <w:tcBorders>
          <w:left w:val="nil"/>
          <w:tl2br w:val="nil"/>
          <w:tr2bl w:val="nil"/>
        </w:tcBorders>
      </w:tcPr>
    </w:tblStylePr>
    <w:tblStylePr w:type="swCell">
      <w:rPr>
        <w:rFonts w:cs="Times New Roman"/>
        <w:b/>
        <w:bCs/>
      </w:rPr>
      <w:tblPr/>
      <w:tcPr>
        <w:tcBorders>
          <w:top w:val="nil"/>
          <w:tl2br w:val="nil"/>
          <w:tr2bl w:val="nil"/>
        </w:tcBorders>
      </w:tcPr>
    </w:tblStylePr>
  </w:style>
  <w:style w:type="table" w:styleId="50">
    <w:name w:val="Table List 2"/>
    <w:basedOn w:val="46"/>
    <w:qFormat/>
    <w:uiPriority w:val="0"/>
    <w:pPr>
      <w:widowControl w:val="0"/>
      <w:jc w:val="both"/>
    </w:pPr>
    <w:tblPr>
      <w:tblBorders>
        <w:bottom w:val="single" w:color="808080" w:sz="12" w:space="0"/>
      </w:tblBorders>
    </w:tblPr>
    <w:tblStylePr w:type="firstRow">
      <w:rPr>
        <w:rFonts w:cs="Times New Roman"/>
        <w:b/>
        <w:bCs/>
        <w:color w:val="FFFFFF"/>
      </w:rPr>
      <w:tblPr/>
      <w:tcPr>
        <w:tcBorders>
          <w:bottom w:val="single" w:color="000000" w:sz="6" w:space="0"/>
          <w:tl2br w:val="nil"/>
          <w:tr2bl w:val="nil"/>
        </w:tcBorders>
        <w:shd w:val="pct75" w:color="008080" w:fill="008000"/>
      </w:tcPr>
    </w:tblStylePr>
    <w:tblStylePr w:type="lastRow">
      <w:rPr>
        <w:rFonts w:cs="Times New Roman"/>
      </w:rPr>
      <w:tblPr/>
      <w:tcPr>
        <w:tcBorders>
          <w:top w:val="single" w:color="000000" w:sz="6" w:space="0"/>
          <w:tl2br w:val="nil"/>
          <w:tr2bl w:val="nil"/>
        </w:tcBorders>
      </w:tcPr>
    </w:tblStylePr>
    <w:tblStylePr w:type="band1Horz">
      <w:rPr>
        <w:rFonts w:cs="Times New Roman"/>
        <w:color w:val="auto"/>
      </w:rPr>
      <w:tblPr/>
      <w:tcPr>
        <w:tcBorders>
          <w:tl2br w:val="nil"/>
          <w:tr2bl w:val="nil"/>
        </w:tcBorders>
        <w:shd w:val="pct20" w:color="00FF00" w:fill="FFFFFF"/>
      </w:tcPr>
    </w:tblStylePr>
    <w:tblStylePr w:type="band2Horz">
      <w:rPr>
        <w:rFonts w:cs="Times New Roman"/>
        <w:color w:val="auto"/>
      </w:rPr>
      <w:tblPr/>
      <w:tcPr>
        <w:tcBorders>
          <w:tl2br w:val="nil"/>
          <w:tr2bl w:val="nil"/>
        </w:tcBorders>
      </w:tcPr>
    </w:tblStylePr>
    <w:tblStylePr w:type="swCell">
      <w:rPr>
        <w:rFonts w:cs="Times New Roman"/>
        <w:b/>
        <w:bCs/>
      </w:rPr>
      <w:tblPr/>
      <w:tcPr>
        <w:tcBorders>
          <w:tl2br w:val="nil"/>
          <w:tr2bl w:val="nil"/>
        </w:tcBorders>
      </w:tcPr>
    </w:tblStylePr>
  </w:style>
  <w:style w:type="table" w:styleId="51">
    <w:name w:val="Table List 3"/>
    <w:basedOn w:val="46"/>
    <w:qFormat/>
    <w:uiPriority w:val="0"/>
    <w:pPr>
      <w:widowControl w:val="0"/>
      <w:jc w:val="both"/>
    </w:pPr>
    <w:tblPr>
      <w:tblBorders>
        <w:top w:val="single" w:color="000000" w:sz="12" w:space="0"/>
        <w:bottom w:val="single" w:color="000000" w:sz="12" w:space="0"/>
        <w:insideH w:val="single" w:color="000000" w:sz="6" w:space="0"/>
      </w:tblBorders>
    </w:tblPr>
    <w:tblStylePr w:type="firstRow">
      <w:rPr>
        <w:rFonts w:cs="Times New Roman"/>
        <w:b/>
        <w:bCs/>
        <w:color w:val="000080"/>
      </w:rPr>
      <w:tblPr/>
      <w:tcPr>
        <w:tcBorders>
          <w:bottom w:val="single" w:color="000000" w:sz="12" w:space="0"/>
          <w:tl2br w:val="nil"/>
          <w:tr2bl w:val="nil"/>
        </w:tcBorders>
      </w:tcPr>
    </w:tblStylePr>
    <w:tblStylePr w:type="lastRow">
      <w:rPr>
        <w:rFonts w:cs="Times New Roman"/>
      </w:rPr>
      <w:tblPr/>
      <w:tcPr>
        <w:tcBorders>
          <w:top w:val="single" w:color="000000" w:sz="12" w:space="0"/>
          <w:tl2br w:val="nil"/>
          <w:tr2bl w:val="nil"/>
        </w:tcBorders>
      </w:tcPr>
    </w:tblStylePr>
    <w:tblStylePr w:type="swCell">
      <w:rPr>
        <w:rFonts w:cs="Times New Roman"/>
        <w:i/>
        <w:iCs/>
        <w:color w:val="000080"/>
      </w:rPr>
      <w:tblPr/>
      <w:tcPr>
        <w:tcBorders>
          <w:tl2br w:val="nil"/>
          <w:tr2bl w:val="nil"/>
        </w:tcBorders>
      </w:tcPr>
    </w:tblStylePr>
  </w:style>
  <w:style w:type="table" w:styleId="52">
    <w:name w:val="Table List 5"/>
    <w:basedOn w:val="46"/>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blStylePr w:type="firstRow">
      <w:rPr>
        <w:rFonts w:cs="Times New Roman"/>
        <w:b/>
        <w:bCs/>
      </w:rPr>
      <w:tblPr/>
      <w:tcPr>
        <w:tcBorders>
          <w:bottom w:val="single" w:color="000000" w:sz="12" w:space="0"/>
          <w:tl2br w:val="nil"/>
          <w:tr2bl w:val="nil"/>
        </w:tcBorders>
      </w:tcPr>
    </w:tblStylePr>
    <w:tblStylePr w:type="firstCol">
      <w:rPr>
        <w:rFonts w:cs="Times New Roman"/>
        <w:b/>
        <w:bCs/>
      </w:rPr>
      <w:tblPr/>
      <w:tcPr>
        <w:tcBorders>
          <w:tl2br w:val="nil"/>
          <w:tr2bl w:val="nil"/>
        </w:tcBorders>
      </w:tcPr>
    </w:tblStylePr>
  </w:style>
  <w:style w:type="table" w:styleId="53">
    <w:name w:val="Table Grid 2"/>
    <w:basedOn w:val="46"/>
    <w:qFormat/>
    <w:uiPriority w:val="0"/>
    <w:pPr>
      <w:widowControl w:val="0"/>
      <w:jc w:val="both"/>
    </w:pPr>
    <w:tblPr>
      <w:tblBorders>
        <w:top w:val="single" w:color="000000" w:sz="6" w:space="0"/>
        <w:bottom w:val="single" w:color="000000" w:sz="6" w:space="0"/>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character" w:styleId="55">
    <w:name w:val="Strong"/>
    <w:qFormat/>
    <w:uiPriority w:val="0"/>
    <w:rPr>
      <w:b/>
      <w:bCs/>
    </w:rPr>
  </w:style>
  <w:style w:type="character" w:styleId="56">
    <w:name w:val="page number"/>
    <w:basedOn w:val="54"/>
    <w:qFormat/>
    <w:uiPriority w:val="0"/>
  </w:style>
  <w:style w:type="character" w:styleId="57">
    <w:name w:val="Emphasis"/>
    <w:qFormat/>
    <w:uiPriority w:val="0"/>
    <w:rPr>
      <w:color w:val="auto"/>
    </w:rPr>
  </w:style>
  <w:style w:type="character" w:styleId="58">
    <w:name w:val="Hyperlink"/>
    <w:qFormat/>
    <w:uiPriority w:val="99"/>
    <w:rPr>
      <w:color w:val="auto"/>
      <w:u w:val="single"/>
    </w:rPr>
  </w:style>
  <w:style w:type="character" w:styleId="59">
    <w:name w:val="annotation reference"/>
    <w:semiHidden/>
    <w:qFormat/>
    <w:uiPriority w:val="0"/>
    <w:rPr>
      <w:sz w:val="21"/>
      <w:szCs w:val="21"/>
    </w:rPr>
  </w:style>
  <w:style w:type="character" w:styleId="60">
    <w:name w:val="footnote reference"/>
    <w:semiHidden/>
    <w:qFormat/>
    <w:uiPriority w:val="0"/>
    <w:rPr>
      <w:vertAlign w:val="superscript"/>
    </w:rPr>
  </w:style>
  <w:style w:type="paragraph" w:customStyle="1" w:styleId="61">
    <w:name w:val="章1"/>
    <w:basedOn w:val="1"/>
    <w:qFormat/>
    <w:uiPriority w:val="0"/>
    <w:pPr>
      <w:spacing w:before="50" w:beforeLines="50" w:after="50" w:afterLines="50" w:line="540" w:lineRule="exact"/>
      <w:jc w:val="left"/>
      <w:outlineLvl w:val="0"/>
    </w:pPr>
    <w:rPr>
      <w:rFonts w:eastAsia="黑体"/>
      <w:sz w:val="44"/>
      <w:szCs w:val="44"/>
    </w:rPr>
  </w:style>
  <w:style w:type="paragraph" w:customStyle="1" w:styleId="62">
    <w:name w:val="节1"/>
    <w:basedOn w:val="1"/>
    <w:qFormat/>
    <w:uiPriority w:val="0"/>
    <w:pPr>
      <w:spacing w:line="540" w:lineRule="exact"/>
      <w:outlineLvl w:val="1"/>
    </w:pPr>
    <w:rPr>
      <w:rFonts w:ascii="黑体" w:hAnsi="黑体"/>
      <w:szCs w:val="28"/>
    </w:rPr>
  </w:style>
  <w:style w:type="paragraph" w:customStyle="1" w:styleId="63">
    <w:name w:val="文1"/>
    <w:basedOn w:val="1"/>
    <w:qFormat/>
    <w:uiPriority w:val="0"/>
    <w:pPr>
      <w:spacing w:line="540" w:lineRule="exact"/>
      <w:ind w:firstLine="200" w:firstLineChars="200"/>
    </w:pPr>
    <w:rPr>
      <w:rFonts w:eastAsia="仿宋"/>
      <w:sz w:val="28"/>
    </w:rPr>
  </w:style>
  <w:style w:type="paragraph" w:customStyle="1" w:styleId="64">
    <w:name w:val="章"/>
    <w:basedOn w:val="1"/>
    <w:qFormat/>
    <w:uiPriority w:val="0"/>
    <w:pPr>
      <w:spacing w:before="50" w:beforeLines="50" w:after="50" w:afterLines="50" w:line="540" w:lineRule="exact"/>
      <w:jc w:val="center"/>
      <w:outlineLvl w:val="0"/>
    </w:pPr>
    <w:rPr>
      <w:sz w:val="44"/>
      <w:szCs w:val="44"/>
    </w:rPr>
  </w:style>
  <w:style w:type="paragraph" w:customStyle="1" w:styleId="65">
    <w:name w:val="节2"/>
    <w:basedOn w:val="1"/>
    <w:qFormat/>
    <w:uiPriority w:val="0"/>
    <w:pPr>
      <w:spacing w:line="540" w:lineRule="exact"/>
      <w:outlineLvl w:val="2"/>
    </w:pPr>
    <w:rPr>
      <w:sz w:val="30"/>
    </w:rPr>
  </w:style>
  <w:style w:type="paragraph" w:customStyle="1" w:styleId="66">
    <w:name w:val="节3"/>
    <w:basedOn w:val="1"/>
    <w:qFormat/>
    <w:uiPriority w:val="0"/>
    <w:pPr>
      <w:spacing w:line="540" w:lineRule="exact"/>
      <w:outlineLvl w:val="3"/>
    </w:pPr>
    <w:rPr>
      <w:sz w:val="28"/>
    </w:rPr>
  </w:style>
  <w:style w:type="paragraph" w:customStyle="1" w:styleId="67">
    <w:name w:val="文"/>
    <w:basedOn w:val="1"/>
    <w:qFormat/>
    <w:uiPriority w:val="0"/>
    <w:pPr>
      <w:spacing w:line="540" w:lineRule="exact"/>
      <w:ind w:firstLine="200" w:firstLineChars="200"/>
    </w:pPr>
    <w:rPr>
      <w:rFonts w:eastAsia="仿宋"/>
      <w:sz w:val="28"/>
    </w:rPr>
  </w:style>
  <w:style w:type="paragraph" w:customStyle="1" w:styleId="68">
    <w:name w:val="规划章"/>
    <w:basedOn w:val="1"/>
    <w:qFormat/>
    <w:uiPriority w:val="0"/>
    <w:pPr>
      <w:spacing w:before="50" w:beforeLines="50" w:after="50" w:afterLines="50" w:line="540" w:lineRule="exact"/>
      <w:jc w:val="center"/>
      <w:outlineLvl w:val="0"/>
    </w:pPr>
    <w:rPr>
      <w:sz w:val="36"/>
    </w:rPr>
  </w:style>
  <w:style w:type="paragraph" w:customStyle="1" w:styleId="69">
    <w:name w:val="规划节"/>
    <w:basedOn w:val="1"/>
    <w:qFormat/>
    <w:uiPriority w:val="0"/>
    <w:pPr>
      <w:spacing w:line="540" w:lineRule="exact"/>
      <w:outlineLvl w:val="1"/>
    </w:pPr>
    <w:rPr>
      <w:rFonts w:ascii="仿宋" w:hAnsi="仿宋"/>
      <w:szCs w:val="28"/>
    </w:rPr>
  </w:style>
  <w:style w:type="paragraph" w:customStyle="1" w:styleId="70">
    <w:name w:val="规划节2"/>
    <w:basedOn w:val="1"/>
    <w:qFormat/>
    <w:uiPriority w:val="0"/>
    <w:pPr>
      <w:spacing w:line="600" w:lineRule="exact"/>
      <w:ind w:firstLine="720" w:firstLineChars="200"/>
      <w:outlineLvl w:val="2"/>
    </w:pPr>
    <w:rPr>
      <w:rFonts w:ascii="仿宋_GB2312" w:hAnsi="黑体" w:eastAsia="仿宋_GB2312"/>
      <w:sz w:val="36"/>
      <w:szCs w:val="36"/>
    </w:rPr>
  </w:style>
  <w:style w:type="paragraph" w:customStyle="1" w:styleId="71">
    <w:name w:val="规划节3"/>
    <w:basedOn w:val="1"/>
    <w:qFormat/>
    <w:uiPriority w:val="0"/>
    <w:pPr>
      <w:spacing w:before="50" w:beforeLines="50" w:after="50" w:afterLines="50" w:line="540" w:lineRule="exact"/>
      <w:outlineLvl w:val="3"/>
    </w:pPr>
    <w:rPr>
      <w:sz w:val="28"/>
    </w:rPr>
  </w:style>
  <w:style w:type="paragraph" w:customStyle="1" w:styleId="72">
    <w:name w:val="规划文"/>
    <w:basedOn w:val="1"/>
    <w:link w:val="75"/>
    <w:qFormat/>
    <w:uiPriority w:val="0"/>
    <w:pPr>
      <w:spacing w:line="540" w:lineRule="exact"/>
      <w:ind w:firstLine="540" w:firstLineChars="180"/>
      <w:outlineLvl w:val="4"/>
    </w:pPr>
    <w:rPr>
      <w:rFonts w:ascii="仿宋" w:hAnsi="仿宋" w:eastAsia="仿宋"/>
      <w:color w:val="FF0000"/>
      <w:sz w:val="30"/>
    </w:rPr>
  </w:style>
  <w:style w:type="paragraph" w:customStyle="1" w:styleId="73">
    <w:name w:val="规划节1"/>
    <w:basedOn w:val="1"/>
    <w:qFormat/>
    <w:uiPriority w:val="0"/>
    <w:pPr>
      <w:spacing w:before="156" w:beforeLines="50" w:after="156" w:afterLines="50" w:line="540" w:lineRule="exact"/>
      <w:jc w:val="left"/>
      <w:outlineLvl w:val="1"/>
    </w:pPr>
    <w:rPr>
      <w:rFonts w:ascii="黑体" w:hAnsi="黑体" w:eastAsia="黑体"/>
      <w:sz w:val="32"/>
      <w:szCs w:val="32"/>
    </w:rPr>
  </w:style>
  <w:style w:type="paragraph" w:customStyle="1" w:styleId="74">
    <w:name w:val="5"/>
    <w:basedOn w:val="1"/>
    <w:qFormat/>
    <w:uiPriority w:val="0"/>
    <w:pPr>
      <w:widowControl/>
    </w:pPr>
    <w:rPr>
      <w:szCs w:val="20"/>
    </w:rPr>
  </w:style>
  <w:style w:type="character" w:customStyle="1" w:styleId="75">
    <w:name w:val="规划文 Char"/>
    <w:link w:val="72"/>
    <w:qFormat/>
    <w:uiPriority w:val="0"/>
    <w:rPr>
      <w:rFonts w:ascii="仿宋" w:hAnsi="仿宋" w:eastAsia="仿宋"/>
      <w:color w:val="FF0000"/>
      <w:kern w:val="2"/>
      <w:sz w:val="30"/>
      <w:szCs w:val="24"/>
      <w:lang w:val="en-US" w:eastAsia="zh-CN" w:bidi="ar-SA"/>
    </w:rPr>
  </w:style>
  <w:style w:type="character" w:customStyle="1" w:styleId="76">
    <w:name w:val="ziti21"/>
    <w:qFormat/>
    <w:uiPriority w:val="0"/>
    <w:rPr>
      <w:rFonts w:hint="default" w:ascii="ˎ̥" w:hAnsi="ˎ̥"/>
      <w:color w:val="000000"/>
      <w:sz w:val="21"/>
      <w:szCs w:val="21"/>
      <w:u w:val="none"/>
    </w:rPr>
  </w:style>
  <w:style w:type="paragraph" w:customStyle="1" w:styleId="77">
    <w:name w:val="标题 3 New"/>
    <w:basedOn w:val="78"/>
    <w:next w:val="78"/>
    <w:qFormat/>
    <w:uiPriority w:val="0"/>
    <w:pPr>
      <w:keepNext/>
      <w:keepLines/>
      <w:spacing w:before="260" w:after="260" w:line="416" w:lineRule="auto"/>
      <w:outlineLvl w:val="2"/>
    </w:pPr>
    <w:rPr>
      <w:b/>
      <w:bCs/>
      <w:sz w:val="32"/>
      <w:szCs w:val="32"/>
    </w:rPr>
  </w:style>
  <w:style w:type="paragraph" w:customStyle="1" w:styleId="78">
    <w:name w:val="正文 New"/>
    <w:qFormat/>
    <w:uiPriority w:val="0"/>
    <w:pPr>
      <w:widowControl w:val="0"/>
      <w:jc w:val="both"/>
    </w:pPr>
    <w:rPr>
      <w:rFonts w:ascii="Calibri" w:hAnsi="Calibri" w:eastAsia="宋体" w:cs="Times New Roman"/>
      <w:kern w:val="2"/>
      <w:sz w:val="21"/>
      <w:szCs w:val="22"/>
      <w:lang w:val="en-US" w:eastAsia="zh-CN" w:bidi="ar-SA"/>
    </w:rPr>
  </w:style>
  <w:style w:type="character" w:customStyle="1" w:styleId="79">
    <w:name w:val="页脚 字符"/>
    <w:link w:val="28"/>
    <w:qFormat/>
    <w:uiPriority w:val="99"/>
    <w:rPr>
      <w:rFonts w:ascii="Calibri" w:hAnsi="Calibri" w:eastAsia="宋体"/>
      <w:kern w:val="2"/>
      <w:sz w:val="18"/>
      <w:szCs w:val="18"/>
      <w:lang w:val="en-US" w:eastAsia="zh-CN" w:bidi="ar-SA"/>
    </w:rPr>
  </w:style>
  <w:style w:type="paragraph" w:customStyle="1" w:styleId="80">
    <w:name w:val="Char"/>
    <w:basedOn w:val="1"/>
    <w:qFormat/>
    <w:uiPriority w:val="0"/>
    <w:rPr>
      <w:sz w:val="32"/>
      <w:szCs w:val="32"/>
    </w:rPr>
  </w:style>
  <w:style w:type="character" w:customStyle="1" w:styleId="81">
    <w:name w:val="apple-style-span"/>
    <w:basedOn w:val="54"/>
    <w:qFormat/>
    <w:uiPriority w:val="0"/>
  </w:style>
  <w:style w:type="paragraph" w:customStyle="1" w:styleId="82">
    <w:name w:val="Char1"/>
    <w:basedOn w:val="1"/>
    <w:qFormat/>
    <w:uiPriority w:val="0"/>
    <w:rPr>
      <w:rFonts w:eastAsia="仿宋_GB2312"/>
      <w:sz w:val="32"/>
      <w:szCs w:val="32"/>
    </w:rPr>
  </w:style>
  <w:style w:type="paragraph" w:customStyle="1" w:styleId="83">
    <w:name w:val="Char2"/>
    <w:basedOn w:val="1"/>
    <w:qFormat/>
    <w:uiPriority w:val="0"/>
    <w:rPr>
      <w:sz w:val="32"/>
      <w:szCs w:val="32"/>
    </w:rPr>
  </w:style>
  <w:style w:type="character" w:customStyle="1" w:styleId="84">
    <w:name w:val="正文文本 字符"/>
    <w:link w:val="17"/>
    <w:qFormat/>
    <w:locked/>
    <w:uiPriority w:val="1"/>
    <w:rPr>
      <w:rFonts w:eastAsia="宋体"/>
      <w:kern w:val="2"/>
      <w:sz w:val="28"/>
      <w:szCs w:val="28"/>
      <w:lang w:val="zh-CN" w:eastAsia="zh-CN" w:bidi="ar-SA"/>
    </w:rPr>
  </w:style>
  <w:style w:type="paragraph" w:customStyle="1" w:styleId="85">
    <w:name w:val="Char3"/>
    <w:basedOn w:val="1"/>
    <w:qFormat/>
    <w:uiPriority w:val="0"/>
    <w:rPr>
      <w:sz w:val="32"/>
      <w:szCs w:val="32"/>
    </w:rPr>
  </w:style>
  <w:style w:type="character" w:customStyle="1" w:styleId="86">
    <w:name w:val="Char Char101"/>
    <w:qFormat/>
    <w:uiPriority w:val="0"/>
    <w:rPr>
      <w:rFonts w:ascii="Times New Roman" w:hAnsi="Times New Roman" w:cs="Times New Roman"/>
      <w:kern w:val="2"/>
      <w:sz w:val="28"/>
      <w:szCs w:val="28"/>
    </w:rPr>
  </w:style>
  <w:style w:type="character" w:customStyle="1" w:styleId="87">
    <w:name w:val="TOC 2 字符"/>
    <w:link w:val="37"/>
    <w:qFormat/>
    <w:locked/>
    <w:uiPriority w:val="39"/>
    <w:rPr>
      <w:rFonts w:ascii="等线" w:eastAsia="等线"/>
      <w:smallCaps/>
      <w:kern w:val="2"/>
    </w:rPr>
  </w:style>
  <w:style w:type="paragraph" w:customStyle="1" w:styleId="88">
    <w:name w:val="Char4"/>
    <w:basedOn w:val="1"/>
    <w:qFormat/>
    <w:uiPriority w:val="0"/>
    <w:rPr>
      <w:sz w:val="32"/>
      <w:szCs w:val="32"/>
    </w:rPr>
  </w:style>
  <w:style w:type="paragraph" w:customStyle="1" w:styleId="89">
    <w:name w:val="Char5"/>
    <w:basedOn w:val="1"/>
    <w:qFormat/>
    <w:uiPriority w:val="0"/>
    <w:rPr>
      <w:sz w:val="32"/>
      <w:szCs w:val="32"/>
    </w:rPr>
  </w:style>
  <w:style w:type="paragraph" w:customStyle="1" w:styleId="90">
    <w:name w:val="Char6"/>
    <w:basedOn w:val="1"/>
    <w:qFormat/>
    <w:uiPriority w:val="0"/>
    <w:rPr>
      <w:sz w:val="32"/>
      <w:szCs w:val="32"/>
    </w:rPr>
  </w:style>
  <w:style w:type="paragraph" w:customStyle="1" w:styleId="91">
    <w:name w:val="Char7"/>
    <w:basedOn w:val="1"/>
    <w:qFormat/>
    <w:uiPriority w:val="0"/>
    <w:rPr>
      <w:sz w:val="32"/>
      <w:szCs w:val="32"/>
    </w:rPr>
  </w:style>
  <w:style w:type="character" w:customStyle="1" w:styleId="92">
    <w:name w:val="mod-title ml-5"/>
    <w:basedOn w:val="54"/>
    <w:qFormat/>
    <w:uiPriority w:val="0"/>
  </w:style>
  <w:style w:type="paragraph" w:customStyle="1" w:styleId="93">
    <w:name w:val="Char8"/>
    <w:basedOn w:val="1"/>
    <w:qFormat/>
    <w:uiPriority w:val="0"/>
    <w:rPr>
      <w:sz w:val="32"/>
      <w:szCs w:val="32"/>
    </w:rPr>
  </w:style>
  <w:style w:type="paragraph" w:customStyle="1" w:styleId="94">
    <w:name w:val="样式 标题 4 +"/>
    <w:basedOn w:val="5"/>
    <w:qFormat/>
    <w:uiPriority w:val="0"/>
    <w:rPr>
      <w:b w:val="0"/>
      <w:bCs w:val="0"/>
      <w:kern w:val="0"/>
      <w:szCs w:val="24"/>
    </w:rPr>
  </w:style>
  <w:style w:type="paragraph" w:customStyle="1" w:styleId="95">
    <w:name w:val="样式 标题 5 +"/>
    <w:basedOn w:val="6"/>
    <w:qFormat/>
    <w:uiPriority w:val="0"/>
    <w:pPr>
      <w:spacing w:before="120" w:after="120" w:line="240" w:lineRule="auto"/>
    </w:pPr>
    <w:rPr>
      <w:b w:val="0"/>
      <w:bCs w:val="0"/>
      <w:kern w:val="0"/>
      <w:sz w:val="24"/>
      <w:szCs w:val="24"/>
    </w:rPr>
  </w:style>
  <w:style w:type="paragraph" w:customStyle="1" w:styleId="96">
    <w:name w:val="Char9"/>
    <w:basedOn w:val="1"/>
    <w:qFormat/>
    <w:uiPriority w:val="0"/>
    <w:rPr>
      <w:sz w:val="32"/>
      <w:szCs w:val="20"/>
    </w:rPr>
  </w:style>
  <w:style w:type="character" w:customStyle="1" w:styleId="97">
    <w:name w:val="已访问的超链接1"/>
    <w:qFormat/>
    <w:uiPriority w:val="99"/>
    <w:rPr>
      <w:color w:val="800080"/>
      <w:u w:val="single"/>
    </w:rPr>
  </w:style>
  <w:style w:type="paragraph" w:customStyle="1" w:styleId="98">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99">
    <w:name w:val="font6"/>
    <w:basedOn w:val="1"/>
    <w:qFormat/>
    <w:uiPriority w:val="0"/>
    <w:pPr>
      <w:widowControl/>
      <w:spacing w:before="100" w:beforeAutospacing="1" w:after="100" w:afterAutospacing="1"/>
      <w:jc w:val="left"/>
    </w:pPr>
    <w:rPr>
      <w:kern w:val="0"/>
      <w:sz w:val="18"/>
      <w:szCs w:val="18"/>
    </w:rPr>
  </w:style>
  <w:style w:type="paragraph" w:customStyle="1" w:styleId="100">
    <w:name w:val="font7"/>
    <w:basedOn w:val="1"/>
    <w:qFormat/>
    <w:uiPriority w:val="0"/>
    <w:pPr>
      <w:widowControl/>
      <w:spacing w:before="100" w:beforeAutospacing="1" w:after="100" w:afterAutospacing="1"/>
      <w:jc w:val="left"/>
    </w:pPr>
    <w:rPr>
      <w:i/>
      <w:iCs/>
      <w:kern w:val="0"/>
      <w:sz w:val="18"/>
      <w:szCs w:val="18"/>
    </w:rPr>
  </w:style>
  <w:style w:type="paragraph" w:customStyle="1" w:styleId="101">
    <w:name w:val="font8"/>
    <w:basedOn w:val="1"/>
    <w:qFormat/>
    <w:uiPriority w:val="0"/>
    <w:pPr>
      <w:widowControl/>
      <w:spacing w:before="100" w:beforeAutospacing="1" w:after="100" w:afterAutospacing="1"/>
      <w:jc w:val="left"/>
    </w:pPr>
    <w:rPr>
      <w:rFonts w:ascii="宋体" w:hAnsi="宋体" w:cs="宋体"/>
      <w:i/>
      <w:iCs/>
      <w:kern w:val="0"/>
      <w:sz w:val="18"/>
      <w:szCs w:val="18"/>
    </w:rPr>
  </w:style>
  <w:style w:type="paragraph" w:customStyle="1" w:styleId="102">
    <w:name w:val="xl24"/>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b/>
      <w:bCs/>
      <w:kern w:val="0"/>
      <w:sz w:val="18"/>
      <w:szCs w:val="18"/>
    </w:rPr>
  </w:style>
  <w:style w:type="paragraph" w:customStyle="1" w:styleId="103">
    <w:name w:val="xl25"/>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b/>
      <w:bCs/>
      <w:color w:val="FF0000"/>
      <w:kern w:val="0"/>
      <w:sz w:val="18"/>
      <w:szCs w:val="18"/>
    </w:rPr>
  </w:style>
  <w:style w:type="paragraph" w:customStyle="1" w:styleId="104">
    <w:name w:val="xl26"/>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pPr>
    <w:rPr>
      <w:kern w:val="0"/>
      <w:sz w:val="18"/>
      <w:szCs w:val="18"/>
    </w:rPr>
  </w:style>
  <w:style w:type="paragraph" w:customStyle="1" w:styleId="105">
    <w:name w:val="xl27"/>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pPr>
    <w:rPr>
      <w:rFonts w:ascii="宋体" w:hAnsi="宋体" w:cs="宋体"/>
      <w:kern w:val="0"/>
      <w:sz w:val="18"/>
      <w:szCs w:val="18"/>
    </w:rPr>
  </w:style>
  <w:style w:type="paragraph" w:customStyle="1" w:styleId="106">
    <w:name w:val="xl28"/>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pPr>
    <w:rPr>
      <w:i/>
      <w:iCs/>
      <w:kern w:val="0"/>
      <w:sz w:val="18"/>
      <w:szCs w:val="18"/>
    </w:rPr>
  </w:style>
  <w:style w:type="paragraph" w:customStyle="1" w:styleId="107">
    <w:name w:val="xl29"/>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pPr>
    <w:rPr>
      <w:rFonts w:ascii="宋体" w:hAnsi="宋体" w:cs="宋体"/>
      <w:kern w:val="0"/>
      <w:sz w:val="18"/>
      <w:szCs w:val="18"/>
    </w:rPr>
  </w:style>
  <w:style w:type="paragraph" w:customStyle="1" w:styleId="108">
    <w:name w:val="xl30"/>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pPr>
    <w:rPr>
      <w:rFonts w:ascii="宋体" w:hAnsi="宋体" w:cs="宋体"/>
      <w:kern w:val="0"/>
      <w:sz w:val="18"/>
      <w:szCs w:val="18"/>
    </w:rPr>
  </w:style>
  <w:style w:type="paragraph" w:customStyle="1" w:styleId="109">
    <w:name w:val="xl31"/>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pPr>
    <w:rPr>
      <w:i/>
      <w:iCs/>
      <w:kern w:val="0"/>
      <w:sz w:val="18"/>
      <w:szCs w:val="18"/>
    </w:rPr>
  </w:style>
  <w:style w:type="paragraph" w:customStyle="1" w:styleId="110">
    <w:name w:val="xl32"/>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pPr>
    <w:rPr>
      <w:rFonts w:ascii="宋体" w:hAnsi="宋体" w:cs="宋体"/>
      <w:b/>
      <w:bCs/>
      <w:kern w:val="0"/>
      <w:sz w:val="18"/>
      <w:szCs w:val="18"/>
    </w:rPr>
  </w:style>
  <w:style w:type="paragraph" w:customStyle="1" w:styleId="111">
    <w:name w:val="xl33"/>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left"/>
    </w:pPr>
    <w:rPr>
      <w:i/>
      <w:iCs/>
      <w:kern w:val="0"/>
      <w:sz w:val="18"/>
      <w:szCs w:val="18"/>
    </w:rPr>
  </w:style>
  <w:style w:type="paragraph" w:customStyle="1" w:styleId="112">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18"/>
      <w:szCs w:val="18"/>
    </w:rPr>
  </w:style>
  <w:style w:type="paragraph" w:customStyle="1" w:styleId="113">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114">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i/>
      <w:iCs/>
      <w:kern w:val="0"/>
      <w:sz w:val="18"/>
      <w:szCs w:val="18"/>
    </w:rPr>
  </w:style>
  <w:style w:type="paragraph" w:customStyle="1" w:styleId="115">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116">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18"/>
      <w:szCs w:val="18"/>
    </w:rPr>
  </w:style>
  <w:style w:type="paragraph" w:customStyle="1" w:styleId="117">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i/>
      <w:iCs/>
      <w:kern w:val="0"/>
      <w:sz w:val="18"/>
      <w:szCs w:val="18"/>
    </w:rPr>
  </w:style>
  <w:style w:type="paragraph" w:customStyle="1" w:styleId="118">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119">
    <w:name w:val="xl41"/>
    <w:basedOn w:val="1"/>
    <w:qFormat/>
    <w:uiPriority w:val="0"/>
    <w:pPr>
      <w:widowControl/>
      <w:pBdr>
        <w:top w:val="single" w:color="auto" w:sz="4" w:space="0"/>
        <w:left w:val="single" w:color="auto" w:sz="4" w:space="0"/>
        <w:bottom w:val="single" w:color="auto" w:sz="4" w:space="0"/>
        <w:right w:val="single" w:color="auto" w:sz="4" w:space="0"/>
      </w:pBdr>
      <w:shd w:val="clear" w:color="auto" w:fill="0000FF"/>
      <w:spacing w:before="100" w:beforeAutospacing="1" w:after="100" w:afterAutospacing="1"/>
      <w:jc w:val="left"/>
    </w:pPr>
    <w:rPr>
      <w:rFonts w:ascii="宋体" w:hAnsi="宋体" w:cs="宋体"/>
      <w:kern w:val="0"/>
      <w:sz w:val="18"/>
      <w:szCs w:val="18"/>
    </w:rPr>
  </w:style>
  <w:style w:type="paragraph" w:customStyle="1" w:styleId="120">
    <w:name w:val="xl42"/>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pPr>
    <w:rPr>
      <w:kern w:val="0"/>
      <w:sz w:val="18"/>
      <w:szCs w:val="18"/>
    </w:rPr>
  </w:style>
  <w:style w:type="paragraph" w:customStyle="1" w:styleId="121">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122">
    <w:name w:val="xl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s="Arial"/>
      <w:kern w:val="0"/>
      <w:sz w:val="18"/>
      <w:szCs w:val="18"/>
    </w:rPr>
  </w:style>
  <w:style w:type="paragraph" w:customStyle="1" w:styleId="123">
    <w:name w:val="xl4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24">
    <w:name w:val="xl46"/>
    <w:basedOn w:val="1"/>
    <w:qFormat/>
    <w:uiPriority w:val="0"/>
    <w:pPr>
      <w:widowControl/>
      <w:spacing w:before="100" w:beforeAutospacing="1" w:after="100" w:afterAutospacing="1"/>
      <w:jc w:val="left"/>
    </w:pPr>
    <w:rPr>
      <w:i/>
      <w:iCs/>
      <w:kern w:val="0"/>
      <w:sz w:val="18"/>
      <w:szCs w:val="18"/>
    </w:rPr>
  </w:style>
  <w:style w:type="paragraph" w:customStyle="1" w:styleId="125">
    <w:name w:val="xl47"/>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26">
    <w:name w:val="xl48"/>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127">
    <w:name w:val="xl49"/>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128">
    <w:name w:val="xl50"/>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i/>
      <w:iCs/>
      <w:kern w:val="0"/>
      <w:sz w:val="18"/>
      <w:szCs w:val="18"/>
    </w:rPr>
  </w:style>
  <w:style w:type="paragraph" w:customStyle="1" w:styleId="129">
    <w:name w:val="英文图题"/>
    <w:qFormat/>
    <w:uiPriority w:val="0"/>
    <w:pPr>
      <w:widowControl w:val="0"/>
      <w:tabs>
        <w:tab w:val="left" w:pos="567"/>
      </w:tabs>
      <w:overflowPunct w:val="0"/>
      <w:autoSpaceDE w:val="0"/>
      <w:autoSpaceDN w:val="0"/>
      <w:adjustRightInd w:val="0"/>
      <w:snapToGrid w:val="0"/>
    </w:pPr>
    <w:rPr>
      <w:rFonts w:ascii="Times New Roman" w:hAnsi="Times New Roman" w:eastAsia="宋体" w:cs="Times New Roman"/>
      <w:kern w:val="18"/>
      <w:sz w:val="18"/>
      <w:lang w:val="en-US" w:eastAsia="zh-CN" w:bidi="ar-SA"/>
    </w:rPr>
  </w:style>
  <w:style w:type="character" w:customStyle="1" w:styleId="130">
    <w:name w:val="style1"/>
    <w:basedOn w:val="54"/>
    <w:qFormat/>
    <w:uiPriority w:val="0"/>
  </w:style>
  <w:style w:type="character" w:customStyle="1" w:styleId="131">
    <w:name w:val="标题 5 字符"/>
    <w:link w:val="6"/>
    <w:qFormat/>
    <w:locked/>
    <w:uiPriority w:val="0"/>
    <w:rPr>
      <w:rFonts w:eastAsia="宋体"/>
      <w:b/>
      <w:bCs/>
      <w:kern w:val="2"/>
      <w:sz w:val="28"/>
      <w:szCs w:val="28"/>
      <w:lang w:val="en-US" w:eastAsia="zh-CN" w:bidi="ar-SA"/>
    </w:rPr>
  </w:style>
  <w:style w:type="character" w:customStyle="1" w:styleId="132">
    <w:name w:val="标题 6 字符"/>
    <w:link w:val="7"/>
    <w:qFormat/>
    <w:locked/>
    <w:uiPriority w:val="0"/>
    <w:rPr>
      <w:rFonts w:ascii="Arial" w:hAnsi="Arial" w:eastAsia="黑体"/>
      <w:b/>
      <w:bCs/>
      <w:kern w:val="2"/>
      <w:sz w:val="24"/>
      <w:szCs w:val="24"/>
      <w:lang w:val="en-US" w:eastAsia="zh-CN" w:bidi="ar-SA"/>
    </w:rPr>
  </w:style>
  <w:style w:type="paragraph" w:customStyle="1" w:styleId="133">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134">
    <w:name w:val="标题 1 字符"/>
    <w:link w:val="2"/>
    <w:qFormat/>
    <w:uiPriority w:val="9"/>
    <w:rPr>
      <w:rFonts w:eastAsia="宋体"/>
      <w:b/>
      <w:bCs/>
      <w:kern w:val="44"/>
      <w:sz w:val="30"/>
      <w:szCs w:val="28"/>
      <w:lang w:val="en-US" w:eastAsia="zh-CN" w:bidi="ar-SA"/>
    </w:rPr>
  </w:style>
  <w:style w:type="character" w:customStyle="1" w:styleId="135">
    <w:name w:val="标题 字符"/>
    <w:link w:val="42"/>
    <w:qFormat/>
    <w:uiPriority w:val="10"/>
    <w:rPr>
      <w:rFonts w:ascii="Cambria" w:hAnsi="Cambria" w:eastAsia="宋体"/>
      <w:b/>
      <w:bCs/>
      <w:kern w:val="2"/>
      <w:sz w:val="32"/>
      <w:szCs w:val="32"/>
      <w:lang w:val="zh-CN" w:eastAsia="zh-CN" w:bidi="ar-SA"/>
    </w:rPr>
  </w:style>
  <w:style w:type="paragraph" w:customStyle="1" w:styleId="136">
    <w:name w:val="reader-word-layer"/>
    <w:basedOn w:val="1"/>
    <w:qFormat/>
    <w:uiPriority w:val="0"/>
    <w:pPr>
      <w:widowControl/>
      <w:spacing w:before="100" w:beforeAutospacing="1" w:after="100" w:afterAutospacing="1"/>
      <w:jc w:val="left"/>
    </w:pPr>
    <w:rPr>
      <w:rFonts w:ascii="宋体" w:hAnsi="宋体" w:cs="宋体"/>
      <w:kern w:val="0"/>
      <w:sz w:val="24"/>
    </w:rPr>
  </w:style>
  <w:style w:type="character" w:customStyle="1" w:styleId="137">
    <w:name w:val="Char Char32"/>
    <w:qFormat/>
    <w:uiPriority w:val="0"/>
    <w:rPr>
      <w:rFonts w:eastAsia="宋体"/>
      <w:kern w:val="2"/>
      <w:sz w:val="18"/>
      <w:szCs w:val="18"/>
      <w:lang w:val="en-US" w:eastAsia="zh-CN" w:bidi="ar-SA"/>
    </w:rPr>
  </w:style>
  <w:style w:type="character" w:customStyle="1" w:styleId="138">
    <w:name w:val="副标题 字符"/>
    <w:link w:val="32"/>
    <w:qFormat/>
    <w:uiPriority w:val="0"/>
    <w:rPr>
      <w:rFonts w:ascii="Cambria" w:hAnsi="Cambria" w:eastAsia="宋体"/>
      <w:b/>
      <w:bCs/>
      <w:kern w:val="28"/>
      <w:sz w:val="32"/>
      <w:szCs w:val="32"/>
      <w:lang w:val="en-US" w:eastAsia="zh-CN" w:bidi="ar-SA"/>
    </w:rPr>
  </w:style>
  <w:style w:type="character" w:customStyle="1" w:styleId="139">
    <w:name w:val="不明显强调1"/>
    <w:qFormat/>
    <w:uiPriority w:val="0"/>
    <w:rPr>
      <w:i/>
      <w:iCs/>
      <w:color w:val="808080"/>
    </w:rPr>
  </w:style>
  <w:style w:type="paragraph" w:customStyle="1" w:styleId="140">
    <w:name w:val="TOC 标题1"/>
    <w:basedOn w:val="2"/>
    <w:next w:val="1"/>
    <w:qFormat/>
    <w:uiPriority w:val="39"/>
    <w:pPr>
      <w:widowControl/>
      <w:spacing w:before="480" w:line="276" w:lineRule="auto"/>
      <w:outlineLvl w:val="9"/>
    </w:pPr>
    <w:rPr>
      <w:rFonts w:ascii="Cambria" w:hAnsi="Cambria"/>
      <w:color w:val="365F91"/>
      <w:kern w:val="0"/>
    </w:rPr>
  </w:style>
  <w:style w:type="character" w:customStyle="1" w:styleId="141">
    <w:name w:val="Body Text Char"/>
    <w:qFormat/>
    <w:locked/>
    <w:uiPriority w:val="0"/>
    <w:rPr>
      <w:rFonts w:eastAsia="宋体"/>
      <w:kern w:val="2"/>
      <w:sz w:val="28"/>
      <w:szCs w:val="28"/>
      <w:lang w:val="en-US" w:eastAsia="zh-CN" w:bidi="ar-SA"/>
    </w:rPr>
  </w:style>
  <w:style w:type="character" w:customStyle="1" w:styleId="142">
    <w:name w:val="Heading 1 Char"/>
    <w:qFormat/>
    <w:locked/>
    <w:uiPriority w:val="0"/>
    <w:rPr>
      <w:rFonts w:ascii="Times New Roman" w:hAnsi="Times New Roman" w:eastAsia="宋体" w:cs="Times New Roman"/>
      <w:b/>
      <w:bCs/>
      <w:kern w:val="44"/>
      <w:sz w:val="28"/>
      <w:szCs w:val="28"/>
    </w:rPr>
  </w:style>
  <w:style w:type="character" w:customStyle="1" w:styleId="143">
    <w:name w:val="标题 2 字符"/>
    <w:link w:val="3"/>
    <w:qFormat/>
    <w:locked/>
    <w:uiPriority w:val="9"/>
    <w:rPr>
      <w:rFonts w:ascii="Arial" w:hAnsi="Arial" w:eastAsia="宋体" w:cs="Arial"/>
      <w:b/>
      <w:bCs/>
      <w:kern w:val="2"/>
      <w:sz w:val="24"/>
      <w:szCs w:val="24"/>
      <w:lang w:val="en-US" w:eastAsia="zh-CN" w:bidi="ar-SA"/>
    </w:rPr>
  </w:style>
  <w:style w:type="character" w:customStyle="1" w:styleId="144">
    <w:name w:val="标题 3 字符"/>
    <w:link w:val="4"/>
    <w:qFormat/>
    <w:locked/>
    <w:uiPriority w:val="9"/>
    <w:rPr>
      <w:rFonts w:eastAsia="宋体"/>
      <w:b/>
      <w:bCs/>
      <w:kern w:val="2"/>
      <w:sz w:val="24"/>
      <w:szCs w:val="24"/>
      <w:lang w:val="en-US" w:eastAsia="zh-CN" w:bidi="ar-SA"/>
    </w:rPr>
  </w:style>
  <w:style w:type="character" w:customStyle="1" w:styleId="145">
    <w:name w:val="标题 4 字符"/>
    <w:link w:val="5"/>
    <w:qFormat/>
    <w:locked/>
    <w:uiPriority w:val="0"/>
    <w:rPr>
      <w:rFonts w:ascii="Arial" w:hAnsi="Arial" w:eastAsia="楷体_GB2312" w:cs="Arial"/>
      <w:b/>
      <w:bCs/>
      <w:color w:val="0000FF"/>
      <w:kern w:val="2"/>
      <w:sz w:val="36"/>
      <w:szCs w:val="28"/>
    </w:rPr>
  </w:style>
  <w:style w:type="paragraph" w:customStyle="1" w:styleId="146">
    <w:name w:val="列出段落1"/>
    <w:basedOn w:val="1"/>
    <w:qFormat/>
    <w:uiPriority w:val="0"/>
    <w:pPr>
      <w:spacing w:line="312" w:lineRule="auto"/>
      <w:ind w:firstLine="420" w:firstLineChars="200"/>
    </w:pPr>
    <w:rPr>
      <w:rFonts w:ascii="Calibri" w:hAnsi="Calibri"/>
      <w:sz w:val="24"/>
      <w:szCs w:val="22"/>
    </w:rPr>
  </w:style>
  <w:style w:type="paragraph" w:customStyle="1" w:styleId="147">
    <w:name w:val="TOC 标题11"/>
    <w:basedOn w:val="2"/>
    <w:next w:val="1"/>
    <w:qFormat/>
    <w:uiPriority w:val="0"/>
    <w:pPr>
      <w:widowControl/>
      <w:spacing w:beforeLines="50" w:afterLines="50" w:line="276" w:lineRule="auto"/>
      <w:outlineLvl w:val="9"/>
    </w:pPr>
    <w:rPr>
      <w:rFonts w:ascii="Cambria" w:hAnsi="Cambria"/>
      <w:color w:val="365F91"/>
      <w:kern w:val="0"/>
    </w:rPr>
  </w:style>
  <w:style w:type="paragraph" w:customStyle="1" w:styleId="148">
    <w:name w:val="样式 小四 黑色 段前: 0 磅 段后: 0 磅 首行缩进:  2 字符1"/>
    <w:basedOn w:val="1"/>
    <w:qFormat/>
    <w:uiPriority w:val="0"/>
    <w:pPr>
      <w:spacing w:line="312" w:lineRule="auto"/>
      <w:ind w:firstLine="480" w:firstLineChars="200"/>
    </w:pPr>
    <w:rPr>
      <w:rFonts w:cs="宋体"/>
      <w:color w:val="000000"/>
      <w:sz w:val="24"/>
      <w:szCs w:val="20"/>
    </w:rPr>
  </w:style>
  <w:style w:type="paragraph" w:customStyle="1" w:styleId="149">
    <w:name w:val="图头"/>
    <w:basedOn w:val="1"/>
    <w:qFormat/>
    <w:uiPriority w:val="0"/>
    <w:pPr>
      <w:spacing w:afterLines="100" w:line="312" w:lineRule="auto"/>
      <w:jc w:val="center"/>
    </w:pPr>
    <w:rPr>
      <w:rFonts w:eastAsia="黑体"/>
      <w:bCs/>
      <w:sz w:val="24"/>
    </w:rPr>
  </w:style>
  <w:style w:type="character" w:customStyle="1" w:styleId="150">
    <w:name w:val="页眉 字符"/>
    <w:link w:val="29"/>
    <w:qFormat/>
    <w:locked/>
    <w:uiPriority w:val="99"/>
    <w:rPr>
      <w:rFonts w:eastAsia="宋体"/>
      <w:kern w:val="2"/>
      <w:sz w:val="18"/>
      <w:szCs w:val="18"/>
      <w:lang w:val="en-US" w:eastAsia="zh-CN" w:bidi="ar-SA"/>
    </w:rPr>
  </w:style>
  <w:style w:type="character" w:customStyle="1" w:styleId="151">
    <w:name w:val="Footer Char"/>
    <w:qFormat/>
    <w:locked/>
    <w:uiPriority w:val="0"/>
    <w:rPr>
      <w:rFonts w:ascii="Times New Roman" w:hAnsi="Times New Roman" w:eastAsia="宋体" w:cs="Times New Roman"/>
      <w:bCs/>
      <w:sz w:val="18"/>
      <w:szCs w:val="18"/>
    </w:rPr>
  </w:style>
  <w:style w:type="paragraph" w:customStyle="1" w:styleId="152">
    <w:name w:val="表内正文"/>
    <w:basedOn w:val="1"/>
    <w:qFormat/>
    <w:uiPriority w:val="0"/>
    <w:pPr>
      <w:widowControl/>
      <w:jc w:val="center"/>
    </w:pPr>
    <w:rPr>
      <w:color w:val="000000"/>
      <w:kern w:val="0"/>
      <w:sz w:val="18"/>
      <w:szCs w:val="18"/>
    </w:rPr>
  </w:style>
  <w:style w:type="paragraph" w:customStyle="1" w:styleId="153">
    <w:name w:val="表头"/>
    <w:basedOn w:val="1"/>
    <w:qFormat/>
    <w:uiPriority w:val="0"/>
    <w:pPr>
      <w:spacing w:beforeLines="50" w:line="312" w:lineRule="auto"/>
      <w:jc w:val="center"/>
    </w:pPr>
    <w:rPr>
      <w:rFonts w:eastAsia="黑体"/>
      <w:bCs/>
      <w:color w:val="000000"/>
      <w:sz w:val="24"/>
    </w:rPr>
  </w:style>
  <w:style w:type="character" w:customStyle="1" w:styleId="154">
    <w:name w:val="文档结构图 字符"/>
    <w:link w:val="14"/>
    <w:semiHidden/>
    <w:qFormat/>
    <w:locked/>
    <w:uiPriority w:val="99"/>
    <w:rPr>
      <w:rFonts w:eastAsia="宋体"/>
      <w:kern w:val="2"/>
      <w:sz w:val="21"/>
      <w:szCs w:val="21"/>
      <w:lang w:val="en-US" w:eastAsia="zh-CN" w:bidi="ar-SA"/>
    </w:rPr>
  </w:style>
  <w:style w:type="character" w:customStyle="1" w:styleId="155">
    <w:name w:val="纯文本 字符"/>
    <w:link w:val="23"/>
    <w:qFormat/>
    <w:locked/>
    <w:uiPriority w:val="0"/>
    <w:rPr>
      <w:rFonts w:ascii="宋体" w:hAnsi="Courier New" w:eastAsia="宋体"/>
      <w:kern w:val="2"/>
      <w:sz w:val="24"/>
      <w:lang w:val="en-US" w:eastAsia="zh-CN" w:bidi="ar-SA"/>
    </w:rPr>
  </w:style>
  <w:style w:type="paragraph" w:customStyle="1" w:styleId="156">
    <w:name w:val="5号表内正文"/>
    <w:basedOn w:val="152"/>
    <w:next w:val="1"/>
    <w:qFormat/>
    <w:uiPriority w:val="0"/>
    <w:rPr>
      <w:sz w:val="21"/>
    </w:rPr>
  </w:style>
  <w:style w:type="paragraph" w:customStyle="1" w:styleId="157">
    <w:name w:val="图"/>
    <w:basedOn w:val="23"/>
    <w:qFormat/>
    <w:uiPriority w:val="0"/>
    <w:pPr>
      <w:spacing w:line="240" w:lineRule="auto"/>
      <w:ind w:firstLine="0" w:firstLineChars="0"/>
      <w:jc w:val="center"/>
    </w:pPr>
    <w:rPr>
      <w:rFonts w:ascii="Times New Roman" w:hAnsi="Times New Roman"/>
    </w:rPr>
  </w:style>
  <w:style w:type="character" w:customStyle="1" w:styleId="158">
    <w:name w:val="正文文本缩进 字符"/>
    <w:link w:val="18"/>
    <w:qFormat/>
    <w:locked/>
    <w:uiPriority w:val="0"/>
    <w:rPr>
      <w:rFonts w:ascii="宋体" w:hAnsi="宋体" w:eastAsia="仿宋_GB2312"/>
      <w:kern w:val="2"/>
      <w:sz w:val="28"/>
      <w:szCs w:val="24"/>
      <w:lang w:val="en-US" w:eastAsia="zh-CN" w:bidi="ar-SA"/>
    </w:rPr>
  </w:style>
  <w:style w:type="paragraph" w:customStyle="1" w:styleId="159">
    <w:name w:val="默认段落字体 Para Char Char Char Char"/>
    <w:basedOn w:val="1"/>
    <w:qFormat/>
    <w:uiPriority w:val="0"/>
    <w:pPr>
      <w:spacing w:line="360" w:lineRule="auto"/>
      <w:ind w:firstLine="200" w:firstLineChars="200"/>
    </w:pPr>
    <w:rPr>
      <w:rFonts w:ascii="宋体" w:hAnsi="宋体" w:cs="宋体"/>
      <w:sz w:val="24"/>
    </w:rPr>
  </w:style>
  <w:style w:type="paragraph" w:customStyle="1" w:styleId="160">
    <w:name w:val="Char Char Char Char"/>
    <w:basedOn w:val="1"/>
    <w:qFormat/>
    <w:uiPriority w:val="0"/>
  </w:style>
  <w:style w:type="table" w:customStyle="1" w:styleId="161">
    <w:name w:val="Table Grid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2">
    <w:name w:val="表格样式1"/>
    <w:basedOn w:val="48"/>
    <w:qFormat/>
    <w:uiPriority w:val="0"/>
  </w:style>
  <w:style w:type="paragraph" w:customStyle="1" w:styleId="163">
    <w:name w:val="表1"/>
    <w:basedOn w:val="1"/>
    <w:qFormat/>
    <w:uiPriority w:val="0"/>
    <w:pPr>
      <w:spacing w:before="40" w:after="120" w:line="240" w:lineRule="atLeast"/>
      <w:jc w:val="center"/>
    </w:pPr>
    <w:rPr>
      <w:szCs w:val="20"/>
    </w:rPr>
  </w:style>
  <w:style w:type="character" w:customStyle="1" w:styleId="164">
    <w:name w:val="日期 字符"/>
    <w:link w:val="25"/>
    <w:qFormat/>
    <w:locked/>
    <w:uiPriority w:val="99"/>
    <w:rPr>
      <w:rFonts w:eastAsia="宋体"/>
      <w:kern w:val="2"/>
      <w:sz w:val="21"/>
      <w:szCs w:val="21"/>
      <w:lang w:val="en-US" w:eastAsia="zh-CN" w:bidi="ar-SA"/>
    </w:rPr>
  </w:style>
  <w:style w:type="character" w:customStyle="1" w:styleId="165">
    <w:name w:val="正文文本缩进 2 字符"/>
    <w:link w:val="26"/>
    <w:qFormat/>
    <w:locked/>
    <w:uiPriority w:val="0"/>
    <w:rPr>
      <w:rFonts w:ascii="宋体" w:hAnsi="宋体" w:eastAsia="宋体"/>
      <w:kern w:val="2"/>
      <w:sz w:val="24"/>
      <w:szCs w:val="24"/>
      <w:lang w:val="en-US" w:eastAsia="zh-CN" w:bidi="ar-SA"/>
    </w:rPr>
  </w:style>
  <w:style w:type="character" w:customStyle="1" w:styleId="166">
    <w:name w:val="Char Char7"/>
    <w:qFormat/>
    <w:uiPriority w:val="0"/>
    <w:rPr>
      <w:rFonts w:cs="Times New Roman"/>
      <w:kern w:val="2"/>
      <w:sz w:val="18"/>
      <w:szCs w:val="18"/>
    </w:rPr>
  </w:style>
  <w:style w:type="character" w:customStyle="1" w:styleId="167">
    <w:name w:val="批注框文本 字符"/>
    <w:link w:val="27"/>
    <w:semiHidden/>
    <w:qFormat/>
    <w:locked/>
    <w:uiPriority w:val="99"/>
    <w:rPr>
      <w:rFonts w:eastAsia="宋体"/>
      <w:kern w:val="2"/>
      <w:sz w:val="18"/>
      <w:szCs w:val="18"/>
      <w:lang w:val="en-US" w:eastAsia="zh-CN" w:bidi="ar-SA"/>
    </w:rPr>
  </w:style>
  <w:style w:type="paragraph" w:customStyle="1" w:styleId="168">
    <w:name w:val="xl65"/>
    <w:basedOn w:val="1"/>
    <w:qFormat/>
    <w:uiPriority w:val="0"/>
    <w:pPr>
      <w:widowControl/>
      <w:spacing w:before="100" w:beforeAutospacing="1" w:after="100" w:afterAutospacing="1" w:line="312" w:lineRule="auto"/>
      <w:jc w:val="center"/>
    </w:pPr>
    <w:rPr>
      <w:rFonts w:ascii="Arial" w:hAnsi="Arial" w:cs="Arial"/>
      <w:color w:val="000000"/>
      <w:kern w:val="0"/>
      <w:sz w:val="20"/>
      <w:szCs w:val="20"/>
    </w:rPr>
  </w:style>
  <w:style w:type="paragraph" w:customStyle="1" w:styleId="169">
    <w:name w:val="xl66"/>
    <w:basedOn w:val="1"/>
    <w:qFormat/>
    <w:uiPriority w:val="0"/>
    <w:pPr>
      <w:widowControl/>
      <w:spacing w:before="100" w:beforeAutospacing="1" w:after="100" w:afterAutospacing="1" w:line="312" w:lineRule="auto"/>
    </w:pPr>
    <w:rPr>
      <w:rFonts w:ascii="Arial" w:hAnsi="Arial" w:cs="Arial"/>
      <w:i/>
      <w:iCs/>
      <w:color w:val="000000"/>
      <w:kern w:val="0"/>
      <w:sz w:val="20"/>
      <w:szCs w:val="20"/>
    </w:rPr>
  </w:style>
  <w:style w:type="paragraph" w:customStyle="1" w:styleId="170">
    <w:name w:val="xl67"/>
    <w:basedOn w:val="1"/>
    <w:qFormat/>
    <w:uiPriority w:val="0"/>
    <w:pPr>
      <w:widowControl/>
      <w:spacing w:before="100" w:beforeAutospacing="1" w:after="100" w:afterAutospacing="1" w:line="312" w:lineRule="auto"/>
      <w:jc w:val="left"/>
    </w:pPr>
    <w:rPr>
      <w:rFonts w:ascii="宋体" w:hAnsi="宋体" w:cs="宋体"/>
      <w:kern w:val="0"/>
      <w:sz w:val="20"/>
      <w:szCs w:val="20"/>
    </w:rPr>
  </w:style>
  <w:style w:type="paragraph" w:customStyle="1" w:styleId="171">
    <w:name w:val="xl68"/>
    <w:basedOn w:val="1"/>
    <w:qFormat/>
    <w:uiPriority w:val="0"/>
    <w:pPr>
      <w:widowControl/>
      <w:spacing w:before="100" w:beforeAutospacing="1" w:after="100" w:afterAutospacing="1" w:line="312" w:lineRule="auto"/>
      <w:ind w:firstLine="200" w:firstLineChars="200"/>
      <w:jc w:val="left"/>
    </w:pPr>
    <w:rPr>
      <w:rFonts w:ascii="宋体" w:hAnsi="宋体" w:cs="宋体"/>
      <w:color w:val="000000"/>
      <w:kern w:val="0"/>
      <w:sz w:val="20"/>
      <w:szCs w:val="20"/>
    </w:rPr>
  </w:style>
  <w:style w:type="paragraph" w:customStyle="1" w:styleId="172">
    <w:name w:val="xl69"/>
    <w:basedOn w:val="1"/>
    <w:qFormat/>
    <w:uiPriority w:val="0"/>
    <w:pPr>
      <w:widowControl/>
      <w:spacing w:before="100" w:beforeAutospacing="1" w:after="100" w:afterAutospacing="1" w:line="312" w:lineRule="auto"/>
      <w:jc w:val="center"/>
    </w:pPr>
    <w:rPr>
      <w:rFonts w:ascii="宋体" w:hAnsi="宋体" w:cs="宋体"/>
      <w:color w:val="000000"/>
      <w:kern w:val="0"/>
      <w:sz w:val="20"/>
      <w:szCs w:val="20"/>
    </w:rPr>
  </w:style>
  <w:style w:type="paragraph" w:customStyle="1" w:styleId="173">
    <w:name w:val="xl70"/>
    <w:basedOn w:val="1"/>
    <w:qFormat/>
    <w:uiPriority w:val="0"/>
    <w:pPr>
      <w:widowControl/>
      <w:pBdr>
        <w:bottom w:val="single" w:color="auto" w:sz="8" w:space="0"/>
      </w:pBdr>
      <w:spacing w:before="100" w:beforeAutospacing="1" w:after="100" w:afterAutospacing="1" w:line="312" w:lineRule="auto"/>
      <w:jc w:val="center"/>
    </w:pPr>
    <w:rPr>
      <w:rFonts w:ascii="宋体" w:hAnsi="宋体" w:cs="宋体"/>
      <w:color w:val="000000"/>
      <w:kern w:val="0"/>
      <w:sz w:val="20"/>
      <w:szCs w:val="20"/>
    </w:rPr>
  </w:style>
  <w:style w:type="paragraph" w:customStyle="1" w:styleId="174">
    <w:name w:val="xl71"/>
    <w:basedOn w:val="1"/>
    <w:qFormat/>
    <w:uiPriority w:val="0"/>
    <w:pPr>
      <w:widowControl/>
      <w:pBdr>
        <w:top w:val="single" w:color="auto" w:sz="8" w:space="0"/>
      </w:pBdr>
      <w:spacing w:before="100" w:beforeAutospacing="1" w:after="100" w:afterAutospacing="1" w:line="312" w:lineRule="auto"/>
      <w:jc w:val="center"/>
    </w:pPr>
    <w:rPr>
      <w:rFonts w:ascii="宋体" w:hAnsi="宋体" w:cs="宋体"/>
      <w:color w:val="000000"/>
      <w:kern w:val="0"/>
      <w:sz w:val="20"/>
      <w:szCs w:val="20"/>
    </w:rPr>
  </w:style>
  <w:style w:type="paragraph" w:customStyle="1" w:styleId="175">
    <w:name w:val="xl72"/>
    <w:basedOn w:val="1"/>
    <w:qFormat/>
    <w:uiPriority w:val="0"/>
    <w:pPr>
      <w:widowControl/>
      <w:pBdr>
        <w:top w:val="single" w:color="auto" w:sz="8" w:space="0"/>
      </w:pBdr>
      <w:spacing w:before="100" w:beforeAutospacing="1" w:after="100" w:afterAutospacing="1" w:line="312" w:lineRule="auto"/>
      <w:ind w:firstLine="200" w:firstLineChars="200"/>
      <w:jc w:val="left"/>
    </w:pPr>
    <w:rPr>
      <w:rFonts w:ascii="宋体" w:hAnsi="宋体" w:cs="宋体"/>
      <w:color w:val="000000"/>
      <w:kern w:val="0"/>
      <w:sz w:val="20"/>
      <w:szCs w:val="20"/>
    </w:rPr>
  </w:style>
  <w:style w:type="paragraph" w:customStyle="1" w:styleId="176">
    <w:name w:val="xl73"/>
    <w:basedOn w:val="1"/>
    <w:qFormat/>
    <w:uiPriority w:val="0"/>
    <w:pPr>
      <w:widowControl/>
      <w:pBdr>
        <w:bottom w:val="single" w:color="auto" w:sz="8" w:space="0"/>
      </w:pBdr>
      <w:spacing w:before="100" w:beforeAutospacing="1" w:after="100" w:afterAutospacing="1" w:line="312" w:lineRule="auto"/>
      <w:ind w:firstLine="200" w:firstLineChars="200"/>
      <w:jc w:val="left"/>
    </w:pPr>
    <w:rPr>
      <w:rFonts w:ascii="宋体" w:hAnsi="宋体" w:cs="宋体"/>
      <w:color w:val="000000"/>
      <w:kern w:val="0"/>
      <w:sz w:val="20"/>
      <w:szCs w:val="20"/>
    </w:rPr>
  </w:style>
  <w:style w:type="paragraph" w:customStyle="1" w:styleId="177">
    <w:name w:val="xl74"/>
    <w:basedOn w:val="1"/>
    <w:qFormat/>
    <w:uiPriority w:val="0"/>
    <w:pPr>
      <w:widowControl/>
      <w:pBdr>
        <w:bottom w:val="single" w:color="auto" w:sz="8" w:space="0"/>
      </w:pBdr>
      <w:spacing w:before="100" w:beforeAutospacing="1" w:after="100" w:afterAutospacing="1" w:line="312" w:lineRule="auto"/>
      <w:jc w:val="center"/>
    </w:pPr>
    <w:rPr>
      <w:rFonts w:ascii="Arial" w:hAnsi="Arial" w:cs="Arial"/>
      <w:color w:val="000000"/>
      <w:kern w:val="0"/>
      <w:sz w:val="20"/>
      <w:szCs w:val="20"/>
    </w:rPr>
  </w:style>
  <w:style w:type="paragraph" w:customStyle="1" w:styleId="178">
    <w:name w:val="xl75"/>
    <w:basedOn w:val="1"/>
    <w:qFormat/>
    <w:uiPriority w:val="0"/>
    <w:pPr>
      <w:widowControl/>
      <w:pBdr>
        <w:bottom w:val="single" w:color="auto" w:sz="8" w:space="0"/>
      </w:pBdr>
      <w:spacing w:before="100" w:beforeAutospacing="1" w:after="100" w:afterAutospacing="1" w:line="312" w:lineRule="auto"/>
    </w:pPr>
    <w:rPr>
      <w:rFonts w:ascii="Arial" w:hAnsi="Arial" w:cs="Arial"/>
      <w:i/>
      <w:iCs/>
      <w:color w:val="000000"/>
      <w:kern w:val="0"/>
      <w:sz w:val="20"/>
      <w:szCs w:val="20"/>
    </w:rPr>
  </w:style>
  <w:style w:type="paragraph" w:customStyle="1" w:styleId="179">
    <w:name w:val="xl76"/>
    <w:basedOn w:val="1"/>
    <w:qFormat/>
    <w:uiPriority w:val="0"/>
    <w:pPr>
      <w:widowControl/>
      <w:pBdr>
        <w:top w:val="single" w:color="auto" w:sz="8" w:space="0"/>
      </w:pBdr>
      <w:spacing w:before="100" w:beforeAutospacing="1" w:after="100" w:afterAutospacing="1" w:line="312" w:lineRule="auto"/>
      <w:jc w:val="center"/>
    </w:pPr>
    <w:rPr>
      <w:rFonts w:ascii="宋体" w:hAnsi="宋体" w:cs="宋体"/>
      <w:kern w:val="0"/>
      <w:sz w:val="20"/>
      <w:szCs w:val="20"/>
    </w:rPr>
  </w:style>
  <w:style w:type="paragraph" w:customStyle="1" w:styleId="180">
    <w:name w:val="xl77"/>
    <w:basedOn w:val="1"/>
    <w:qFormat/>
    <w:uiPriority w:val="0"/>
    <w:pPr>
      <w:widowControl/>
      <w:spacing w:before="100" w:beforeAutospacing="1" w:after="100" w:afterAutospacing="1" w:line="312" w:lineRule="auto"/>
      <w:jc w:val="left"/>
    </w:pPr>
    <w:rPr>
      <w:rFonts w:ascii="宋体" w:hAnsi="宋体" w:cs="宋体"/>
      <w:kern w:val="0"/>
      <w:sz w:val="20"/>
      <w:szCs w:val="20"/>
    </w:rPr>
  </w:style>
  <w:style w:type="paragraph" w:customStyle="1" w:styleId="181">
    <w:name w:val="xl78"/>
    <w:basedOn w:val="1"/>
    <w:qFormat/>
    <w:uiPriority w:val="0"/>
    <w:pPr>
      <w:widowControl/>
      <w:pBdr>
        <w:bottom w:val="single" w:color="auto" w:sz="8" w:space="0"/>
      </w:pBdr>
      <w:spacing w:before="100" w:beforeAutospacing="1" w:after="100" w:afterAutospacing="1" w:line="312" w:lineRule="auto"/>
      <w:jc w:val="left"/>
    </w:pPr>
    <w:rPr>
      <w:rFonts w:ascii="宋体" w:hAnsi="宋体" w:cs="宋体"/>
      <w:kern w:val="0"/>
      <w:sz w:val="20"/>
      <w:szCs w:val="20"/>
    </w:rPr>
  </w:style>
  <w:style w:type="paragraph" w:customStyle="1" w:styleId="182">
    <w:name w:val="xl79"/>
    <w:basedOn w:val="1"/>
    <w:qFormat/>
    <w:uiPriority w:val="0"/>
    <w:pPr>
      <w:widowControl/>
      <w:spacing w:before="100" w:beforeAutospacing="1" w:after="100" w:afterAutospacing="1" w:line="312" w:lineRule="auto"/>
      <w:jc w:val="center"/>
    </w:pPr>
    <w:rPr>
      <w:rFonts w:ascii="宋体" w:hAnsi="宋体" w:cs="宋体"/>
      <w:kern w:val="0"/>
      <w:sz w:val="24"/>
    </w:rPr>
  </w:style>
  <w:style w:type="paragraph" w:customStyle="1" w:styleId="183">
    <w:name w:val="xl80"/>
    <w:basedOn w:val="1"/>
    <w:qFormat/>
    <w:uiPriority w:val="0"/>
    <w:pPr>
      <w:widowControl/>
      <w:pBdr>
        <w:bottom w:val="single" w:color="auto" w:sz="8" w:space="0"/>
      </w:pBdr>
      <w:spacing w:before="100" w:beforeAutospacing="1" w:after="100" w:afterAutospacing="1" w:line="312" w:lineRule="auto"/>
      <w:jc w:val="center"/>
    </w:pPr>
    <w:rPr>
      <w:rFonts w:ascii="宋体" w:hAnsi="宋体" w:cs="宋体"/>
      <w:kern w:val="0"/>
      <w:sz w:val="24"/>
    </w:rPr>
  </w:style>
  <w:style w:type="paragraph" w:customStyle="1" w:styleId="184">
    <w:name w:val="xl81"/>
    <w:basedOn w:val="1"/>
    <w:qFormat/>
    <w:uiPriority w:val="0"/>
    <w:pPr>
      <w:widowControl/>
      <w:pBdr>
        <w:top w:val="single" w:color="auto" w:sz="8" w:space="0"/>
        <w:bottom w:val="single" w:color="auto" w:sz="4" w:space="0"/>
      </w:pBdr>
      <w:spacing w:before="100" w:beforeAutospacing="1" w:after="100" w:afterAutospacing="1" w:line="312" w:lineRule="auto"/>
      <w:jc w:val="center"/>
    </w:pPr>
    <w:rPr>
      <w:rFonts w:ascii="Arial" w:hAnsi="Arial" w:cs="Arial"/>
      <w:kern w:val="0"/>
      <w:sz w:val="20"/>
      <w:szCs w:val="20"/>
    </w:rPr>
  </w:style>
  <w:style w:type="paragraph" w:customStyle="1" w:styleId="185">
    <w:name w:val="xl82"/>
    <w:basedOn w:val="1"/>
    <w:qFormat/>
    <w:uiPriority w:val="0"/>
    <w:pPr>
      <w:widowControl/>
      <w:spacing w:before="100" w:beforeAutospacing="1" w:after="100" w:afterAutospacing="1" w:line="312" w:lineRule="auto"/>
      <w:jc w:val="center"/>
    </w:pPr>
    <w:rPr>
      <w:rFonts w:ascii="Arial" w:hAnsi="Arial" w:cs="Arial"/>
      <w:kern w:val="0"/>
      <w:sz w:val="20"/>
      <w:szCs w:val="20"/>
    </w:rPr>
  </w:style>
  <w:style w:type="paragraph" w:customStyle="1" w:styleId="186">
    <w:name w:val="xl83"/>
    <w:basedOn w:val="1"/>
    <w:qFormat/>
    <w:uiPriority w:val="0"/>
    <w:pPr>
      <w:widowControl/>
      <w:pBdr>
        <w:bottom w:val="single" w:color="auto" w:sz="8" w:space="0"/>
      </w:pBdr>
      <w:spacing w:before="100" w:beforeAutospacing="1" w:after="100" w:afterAutospacing="1" w:line="312" w:lineRule="auto"/>
      <w:jc w:val="center"/>
    </w:pPr>
    <w:rPr>
      <w:rFonts w:ascii="Arial" w:hAnsi="Arial" w:cs="Arial"/>
      <w:kern w:val="0"/>
      <w:sz w:val="20"/>
      <w:szCs w:val="20"/>
    </w:rPr>
  </w:style>
  <w:style w:type="paragraph" w:customStyle="1" w:styleId="187">
    <w:name w:val="xl84"/>
    <w:basedOn w:val="1"/>
    <w:qFormat/>
    <w:uiPriority w:val="0"/>
    <w:pPr>
      <w:widowControl/>
      <w:spacing w:before="100" w:beforeAutospacing="1" w:after="100" w:afterAutospacing="1" w:line="312" w:lineRule="auto"/>
      <w:jc w:val="center"/>
    </w:pPr>
    <w:rPr>
      <w:rFonts w:ascii="Arial" w:hAnsi="Arial" w:cs="Arial"/>
      <w:kern w:val="0"/>
      <w:sz w:val="20"/>
      <w:szCs w:val="20"/>
    </w:rPr>
  </w:style>
  <w:style w:type="paragraph" w:customStyle="1" w:styleId="188">
    <w:name w:val="xl85"/>
    <w:basedOn w:val="1"/>
    <w:qFormat/>
    <w:uiPriority w:val="0"/>
    <w:pPr>
      <w:widowControl/>
      <w:spacing w:before="100" w:beforeAutospacing="1" w:after="100" w:afterAutospacing="1" w:line="312" w:lineRule="auto"/>
      <w:jc w:val="center"/>
    </w:pPr>
    <w:rPr>
      <w:rFonts w:ascii="Arial" w:hAnsi="Arial" w:cs="Arial"/>
      <w:kern w:val="0"/>
      <w:sz w:val="20"/>
      <w:szCs w:val="20"/>
    </w:rPr>
  </w:style>
  <w:style w:type="paragraph" w:customStyle="1" w:styleId="189">
    <w:name w:val="xl86"/>
    <w:basedOn w:val="1"/>
    <w:qFormat/>
    <w:uiPriority w:val="0"/>
    <w:pPr>
      <w:widowControl/>
      <w:pBdr>
        <w:bottom w:val="single" w:color="auto" w:sz="8" w:space="0"/>
      </w:pBdr>
      <w:spacing w:before="100" w:beforeAutospacing="1" w:after="100" w:afterAutospacing="1" w:line="312" w:lineRule="auto"/>
      <w:jc w:val="center"/>
    </w:pPr>
    <w:rPr>
      <w:rFonts w:ascii="Arial" w:hAnsi="Arial" w:cs="Arial"/>
      <w:kern w:val="0"/>
      <w:sz w:val="20"/>
      <w:szCs w:val="20"/>
    </w:rPr>
  </w:style>
  <w:style w:type="paragraph" w:customStyle="1" w:styleId="190">
    <w:name w:val="xl87"/>
    <w:basedOn w:val="1"/>
    <w:qFormat/>
    <w:uiPriority w:val="0"/>
    <w:pPr>
      <w:widowControl/>
      <w:pBdr>
        <w:bottom w:val="single" w:color="auto" w:sz="8" w:space="0"/>
      </w:pBdr>
      <w:spacing w:before="100" w:beforeAutospacing="1" w:after="100" w:afterAutospacing="1" w:line="312" w:lineRule="auto"/>
      <w:jc w:val="center"/>
    </w:pPr>
    <w:rPr>
      <w:rFonts w:ascii="Arial" w:hAnsi="Arial" w:cs="Arial"/>
      <w:kern w:val="0"/>
      <w:sz w:val="20"/>
      <w:szCs w:val="20"/>
    </w:rPr>
  </w:style>
  <w:style w:type="table" w:customStyle="1" w:styleId="191">
    <w:name w:val="表格样式2"/>
    <w:basedOn w:val="162"/>
    <w:qFormat/>
    <w:uiPriority w:val="0"/>
    <w:pPr>
      <w:jc w:val="center"/>
    </w:pPr>
    <w:tblPr>
      <w:tblBorders>
        <w:top w:val="single" w:color="auto" w:sz="12" w:space="0"/>
        <w:bottom w:val="single" w:color="auto" w:sz="12" w:space="0"/>
      </w:tblBorders>
    </w:tblPr>
  </w:style>
  <w:style w:type="character" w:customStyle="1" w:styleId="192">
    <w:name w:val="脚注文本 字符"/>
    <w:link w:val="34"/>
    <w:qFormat/>
    <w:locked/>
    <w:uiPriority w:val="0"/>
    <w:rPr>
      <w:rFonts w:eastAsia="宋体"/>
      <w:kern w:val="2"/>
      <w:sz w:val="18"/>
      <w:szCs w:val="18"/>
      <w:lang w:val="en-US" w:eastAsia="zh-CN" w:bidi="ar-SA"/>
    </w:rPr>
  </w:style>
  <w:style w:type="paragraph" w:customStyle="1" w:styleId="193">
    <w:name w:val="样式 正文－大吉　仿宋_GB2312 四号 黑色 行距: 固定值 25 磅 首行缩进:  2 字符 + 首行缩进:  2 字符 ..."/>
    <w:basedOn w:val="1"/>
    <w:qFormat/>
    <w:uiPriority w:val="0"/>
    <w:pPr>
      <w:tabs>
        <w:tab w:val="left" w:pos="0"/>
      </w:tabs>
      <w:spacing w:line="400" w:lineRule="exact"/>
      <w:ind w:firstLine="480" w:firstLineChars="200"/>
    </w:pPr>
    <w:rPr>
      <w:rFonts w:ascii="仿宋_GB2312" w:eastAsia="仿宋_GB2312"/>
      <w:color w:val="000000"/>
      <w:sz w:val="24"/>
      <w:szCs w:val="20"/>
    </w:rPr>
  </w:style>
  <w:style w:type="paragraph" w:customStyle="1" w:styleId="194">
    <w:name w:val="xl63"/>
    <w:basedOn w:val="1"/>
    <w:qFormat/>
    <w:uiPriority w:val="0"/>
    <w:pPr>
      <w:widowControl/>
      <w:spacing w:before="100" w:beforeAutospacing="1" w:after="100" w:afterAutospacing="1"/>
      <w:jc w:val="center"/>
    </w:pPr>
    <w:rPr>
      <w:rFonts w:ascii="微软雅黑" w:hAnsi="微软雅黑" w:eastAsia="微软雅黑" w:cs="宋体"/>
      <w:kern w:val="0"/>
      <w:sz w:val="20"/>
      <w:szCs w:val="20"/>
    </w:rPr>
  </w:style>
  <w:style w:type="paragraph" w:customStyle="1" w:styleId="195">
    <w:name w:val="xl64"/>
    <w:basedOn w:val="1"/>
    <w:qFormat/>
    <w:uiPriority w:val="0"/>
    <w:pPr>
      <w:widowControl/>
      <w:pBdr>
        <w:bottom w:val="single" w:color="FF0000" w:sz="4" w:space="0"/>
      </w:pBdr>
      <w:spacing w:before="100" w:beforeAutospacing="1" w:after="100" w:afterAutospacing="1"/>
      <w:jc w:val="center"/>
    </w:pPr>
    <w:rPr>
      <w:rFonts w:ascii="微软雅黑" w:hAnsi="微软雅黑" w:eastAsia="微软雅黑" w:cs="宋体"/>
      <w:kern w:val="0"/>
      <w:sz w:val="20"/>
      <w:szCs w:val="20"/>
    </w:rPr>
  </w:style>
  <w:style w:type="table" w:customStyle="1" w:styleId="196">
    <w:name w:val="123"/>
    <w:qFormat/>
    <w:uiPriority w:val="0"/>
    <w:pPr>
      <w:widowControl w:val="0"/>
      <w:jc w:val="both"/>
    </w:pPr>
    <w:tblPr>
      <w:tblCellMar>
        <w:top w:w="0" w:type="dxa"/>
        <w:left w:w="108" w:type="dxa"/>
        <w:bottom w:w="0" w:type="dxa"/>
        <w:right w:w="108" w:type="dxa"/>
      </w:tblCellMar>
    </w:tblPr>
  </w:style>
  <w:style w:type="character" w:customStyle="1" w:styleId="197">
    <w:name w:val="批注文字 字符"/>
    <w:link w:val="15"/>
    <w:semiHidden/>
    <w:qFormat/>
    <w:locked/>
    <w:uiPriority w:val="0"/>
    <w:rPr>
      <w:rFonts w:eastAsia="宋体"/>
      <w:kern w:val="2"/>
      <w:sz w:val="21"/>
      <w:szCs w:val="21"/>
      <w:lang w:val="en-US" w:eastAsia="zh-CN" w:bidi="ar-SA"/>
    </w:rPr>
  </w:style>
  <w:style w:type="character" w:customStyle="1" w:styleId="198">
    <w:name w:val="批注主题 字符"/>
    <w:link w:val="43"/>
    <w:semiHidden/>
    <w:qFormat/>
    <w:locked/>
    <w:uiPriority w:val="0"/>
    <w:rPr>
      <w:rFonts w:eastAsia="宋体"/>
      <w:b/>
      <w:bCs/>
      <w:kern w:val="2"/>
      <w:sz w:val="21"/>
      <w:szCs w:val="21"/>
      <w:lang w:val="en-US" w:eastAsia="zh-CN" w:bidi="ar-SA"/>
    </w:rPr>
  </w:style>
  <w:style w:type="paragraph" w:customStyle="1" w:styleId="199">
    <w:name w:val="CM24"/>
    <w:basedOn w:val="1"/>
    <w:next w:val="1"/>
    <w:qFormat/>
    <w:uiPriority w:val="0"/>
    <w:pPr>
      <w:autoSpaceDE w:val="0"/>
      <w:autoSpaceDN w:val="0"/>
      <w:adjustRightInd w:val="0"/>
      <w:spacing w:line="313" w:lineRule="atLeast"/>
      <w:jc w:val="left"/>
    </w:pPr>
    <w:rPr>
      <w:kern w:val="0"/>
      <w:sz w:val="24"/>
    </w:rPr>
  </w:style>
  <w:style w:type="paragraph" w:customStyle="1" w:styleId="200">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201">
    <w:name w:val="正文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202">
    <w:name w:val="标题4"/>
    <w:basedOn w:val="1"/>
    <w:next w:val="1"/>
    <w:qFormat/>
    <w:uiPriority w:val="0"/>
    <w:pPr>
      <w:wordWrap w:val="0"/>
      <w:autoSpaceDE w:val="0"/>
      <w:adjustRightInd w:val="0"/>
      <w:spacing w:line="400" w:lineRule="atLeast"/>
      <w:ind w:firstLine="567"/>
      <w:textAlignment w:val="bottom"/>
    </w:pPr>
    <w:rPr>
      <w:rFonts w:ascii="宋体"/>
      <w:b/>
      <w:kern w:val="0"/>
      <w:sz w:val="24"/>
      <w:szCs w:val="20"/>
    </w:rPr>
  </w:style>
  <w:style w:type="paragraph" w:customStyle="1" w:styleId="203">
    <w:name w:val="1"/>
    <w:basedOn w:val="4"/>
    <w:link w:val="205"/>
    <w:qFormat/>
    <w:uiPriority w:val="0"/>
    <w:rPr>
      <w:rFonts w:ascii="Calibri" w:hAnsi="Calibri"/>
      <w:sz w:val="28"/>
      <w:szCs w:val="28"/>
    </w:rPr>
  </w:style>
  <w:style w:type="paragraph" w:customStyle="1" w:styleId="204">
    <w:name w:val="2"/>
    <w:basedOn w:val="5"/>
    <w:link w:val="207"/>
    <w:qFormat/>
    <w:uiPriority w:val="0"/>
    <w:rPr>
      <w:rFonts w:ascii="Cambria" w:hAnsi="Cambria" w:eastAsia="宋体" w:cs="Arial"/>
      <w:color w:val="auto"/>
      <w:sz w:val="24"/>
      <w:szCs w:val="24"/>
      <w:lang w:val="en-US"/>
    </w:rPr>
  </w:style>
  <w:style w:type="character" w:customStyle="1" w:styleId="205">
    <w:name w:val="1 Char"/>
    <w:link w:val="203"/>
    <w:qFormat/>
    <w:locked/>
    <w:uiPriority w:val="0"/>
    <w:rPr>
      <w:rFonts w:ascii="Calibri" w:hAnsi="Calibri" w:eastAsia="宋体"/>
      <w:b/>
      <w:bCs/>
      <w:kern w:val="2"/>
      <w:sz w:val="28"/>
      <w:szCs w:val="28"/>
      <w:lang w:val="en-US" w:eastAsia="zh-CN" w:bidi="ar-SA"/>
    </w:rPr>
  </w:style>
  <w:style w:type="paragraph" w:customStyle="1" w:styleId="206">
    <w:name w:val="3"/>
    <w:basedOn w:val="6"/>
    <w:link w:val="208"/>
    <w:qFormat/>
    <w:uiPriority w:val="0"/>
    <w:pPr>
      <w:spacing w:before="0" w:after="0" w:line="240" w:lineRule="auto"/>
    </w:pPr>
    <w:rPr>
      <w:rFonts w:ascii="Calibri" w:hAnsi="Calibri"/>
      <w:sz w:val="21"/>
      <w:szCs w:val="21"/>
    </w:rPr>
  </w:style>
  <w:style w:type="character" w:customStyle="1" w:styleId="207">
    <w:name w:val="2 Char"/>
    <w:link w:val="204"/>
    <w:qFormat/>
    <w:locked/>
    <w:uiPriority w:val="0"/>
    <w:rPr>
      <w:rFonts w:ascii="Cambria" w:hAnsi="Cambria" w:eastAsia="宋体" w:cs="Arial"/>
      <w:b/>
      <w:bCs/>
      <w:kern w:val="2"/>
      <w:sz w:val="24"/>
      <w:szCs w:val="24"/>
      <w:lang w:val="en-US" w:eastAsia="zh-CN" w:bidi="ar-SA"/>
    </w:rPr>
  </w:style>
  <w:style w:type="character" w:customStyle="1" w:styleId="208">
    <w:name w:val="3 Char"/>
    <w:link w:val="206"/>
    <w:qFormat/>
    <w:locked/>
    <w:uiPriority w:val="0"/>
    <w:rPr>
      <w:rFonts w:ascii="Calibri" w:hAnsi="Calibri" w:eastAsia="宋体"/>
      <w:b/>
      <w:bCs/>
      <w:kern w:val="2"/>
      <w:sz w:val="21"/>
      <w:szCs w:val="21"/>
      <w:lang w:val="en-US" w:eastAsia="zh-CN" w:bidi="ar-SA"/>
    </w:rPr>
  </w:style>
  <w:style w:type="character" w:customStyle="1" w:styleId="209">
    <w:name w:val="apple-converted-space"/>
    <w:qFormat/>
    <w:uiPriority w:val="0"/>
  </w:style>
  <w:style w:type="character" w:customStyle="1" w:styleId="210">
    <w:name w:val="Title Char"/>
    <w:qFormat/>
    <w:locked/>
    <w:uiPriority w:val="0"/>
    <w:rPr>
      <w:rFonts w:ascii="Cambria" w:hAnsi="Cambria" w:eastAsia="宋体" w:cs="Times New Roman"/>
      <w:b/>
      <w:bCs/>
      <w:sz w:val="32"/>
      <w:szCs w:val="32"/>
      <w:lang w:val="zh-CN" w:eastAsia="zh-CN"/>
    </w:rPr>
  </w:style>
  <w:style w:type="character" w:customStyle="1" w:styleId="211">
    <w:name w:val="Char Char9"/>
    <w:semiHidden/>
    <w:qFormat/>
    <w:locked/>
    <w:uiPriority w:val="0"/>
    <w:rPr>
      <w:rFonts w:eastAsia="宋体"/>
      <w:kern w:val="2"/>
      <w:sz w:val="21"/>
      <w:szCs w:val="21"/>
      <w:lang w:val="en-US" w:eastAsia="zh-CN" w:bidi="ar-SA"/>
    </w:rPr>
  </w:style>
  <w:style w:type="character" w:customStyle="1" w:styleId="212">
    <w:name w:val="Char Char12"/>
    <w:qFormat/>
    <w:locked/>
    <w:uiPriority w:val="0"/>
    <w:rPr>
      <w:rFonts w:eastAsia="宋体"/>
      <w:kern w:val="2"/>
      <w:sz w:val="28"/>
      <w:szCs w:val="28"/>
      <w:lang w:val="zh-CN" w:eastAsia="zh-CN" w:bidi="ar-SA"/>
    </w:rPr>
  </w:style>
  <w:style w:type="character" w:customStyle="1" w:styleId="213">
    <w:name w:val="Char Char11"/>
    <w:qFormat/>
    <w:locked/>
    <w:uiPriority w:val="0"/>
    <w:rPr>
      <w:rFonts w:eastAsia="宋体"/>
      <w:smallCaps/>
      <w:kern w:val="2"/>
      <w:lang w:val="en-US" w:eastAsia="zh-CN" w:bidi="ar-SA"/>
    </w:rPr>
  </w:style>
  <w:style w:type="character" w:customStyle="1" w:styleId="214">
    <w:name w:val="Char Char17"/>
    <w:qFormat/>
    <w:locked/>
    <w:uiPriority w:val="0"/>
    <w:rPr>
      <w:rFonts w:eastAsia="宋体"/>
      <w:b/>
      <w:bCs/>
      <w:kern w:val="2"/>
      <w:sz w:val="28"/>
      <w:szCs w:val="28"/>
      <w:lang w:val="en-US" w:eastAsia="zh-CN" w:bidi="ar-SA"/>
    </w:rPr>
  </w:style>
  <w:style w:type="character" w:customStyle="1" w:styleId="215">
    <w:name w:val="Char Char16"/>
    <w:qFormat/>
    <w:locked/>
    <w:uiPriority w:val="0"/>
    <w:rPr>
      <w:rFonts w:ascii="Arial" w:hAnsi="Arial" w:eastAsia="黑体"/>
      <w:b/>
      <w:bCs/>
      <w:kern w:val="2"/>
      <w:sz w:val="24"/>
      <w:szCs w:val="24"/>
      <w:lang w:val="en-US" w:eastAsia="zh-CN" w:bidi="ar-SA"/>
    </w:rPr>
  </w:style>
  <w:style w:type="character" w:customStyle="1" w:styleId="216">
    <w:name w:val="Char Char21"/>
    <w:qFormat/>
    <w:uiPriority w:val="0"/>
    <w:rPr>
      <w:rFonts w:eastAsia="宋体"/>
      <w:b/>
      <w:bCs/>
      <w:kern w:val="44"/>
      <w:sz w:val="28"/>
      <w:szCs w:val="28"/>
      <w:lang w:val="en-US" w:eastAsia="zh-CN" w:bidi="ar-SA"/>
    </w:rPr>
  </w:style>
  <w:style w:type="character" w:customStyle="1" w:styleId="217">
    <w:name w:val="Char Char4"/>
    <w:qFormat/>
    <w:uiPriority w:val="0"/>
    <w:rPr>
      <w:rFonts w:ascii="Cambria" w:hAnsi="Cambria" w:eastAsia="宋体"/>
      <w:b/>
      <w:bCs/>
      <w:kern w:val="2"/>
      <w:sz w:val="32"/>
      <w:szCs w:val="32"/>
      <w:lang w:val="zh-CN" w:eastAsia="zh-CN" w:bidi="ar-SA"/>
    </w:rPr>
  </w:style>
  <w:style w:type="character" w:customStyle="1" w:styleId="218">
    <w:name w:val="Char Char14"/>
    <w:qFormat/>
    <w:uiPriority w:val="0"/>
    <w:rPr>
      <w:rFonts w:eastAsia="宋体"/>
      <w:kern w:val="2"/>
      <w:sz w:val="18"/>
      <w:szCs w:val="18"/>
      <w:lang w:val="en-US" w:eastAsia="zh-CN" w:bidi="ar-SA"/>
    </w:rPr>
  </w:style>
  <w:style w:type="character" w:customStyle="1" w:styleId="219">
    <w:name w:val="Char Char20"/>
    <w:qFormat/>
    <w:locked/>
    <w:uiPriority w:val="0"/>
    <w:rPr>
      <w:rFonts w:ascii="Arial" w:hAnsi="Arial" w:eastAsia="宋体" w:cs="Arial"/>
      <w:b/>
      <w:bCs/>
      <w:kern w:val="2"/>
      <w:sz w:val="24"/>
      <w:szCs w:val="24"/>
      <w:lang w:val="en-US" w:eastAsia="zh-CN" w:bidi="ar-SA"/>
    </w:rPr>
  </w:style>
  <w:style w:type="character" w:customStyle="1" w:styleId="220">
    <w:name w:val="Char Char19"/>
    <w:qFormat/>
    <w:locked/>
    <w:uiPriority w:val="0"/>
    <w:rPr>
      <w:rFonts w:eastAsia="宋体"/>
      <w:b/>
      <w:bCs/>
      <w:kern w:val="2"/>
      <w:sz w:val="24"/>
      <w:szCs w:val="24"/>
      <w:lang w:val="en-US" w:eastAsia="zh-CN" w:bidi="ar-SA"/>
    </w:rPr>
  </w:style>
  <w:style w:type="character" w:customStyle="1" w:styleId="221">
    <w:name w:val="Char Char18"/>
    <w:qFormat/>
    <w:locked/>
    <w:uiPriority w:val="0"/>
    <w:rPr>
      <w:rFonts w:ascii="Arial" w:hAnsi="Arial" w:eastAsia="黑体" w:cs="Arial"/>
      <w:b/>
      <w:bCs/>
      <w:kern w:val="2"/>
      <w:sz w:val="28"/>
      <w:szCs w:val="28"/>
      <w:lang w:val="en-US" w:eastAsia="zh-CN" w:bidi="ar-SA"/>
    </w:rPr>
  </w:style>
  <w:style w:type="paragraph" w:customStyle="1" w:styleId="222">
    <w:name w:val="List Paragraph1"/>
    <w:basedOn w:val="1"/>
    <w:qFormat/>
    <w:uiPriority w:val="0"/>
    <w:pPr>
      <w:spacing w:line="312" w:lineRule="auto"/>
      <w:ind w:firstLine="420" w:firstLineChars="200"/>
    </w:pPr>
    <w:rPr>
      <w:rFonts w:ascii="Calibri" w:hAnsi="Calibri"/>
      <w:sz w:val="24"/>
      <w:szCs w:val="22"/>
    </w:rPr>
  </w:style>
  <w:style w:type="paragraph" w:customStyle="1" w:styleId="223">
    <w:name w:val="TOC Heading1"/>
    <w:basedOn w:val="2"/>
    <w:next w:val="1"/>
    <w:qFormat/>
    <w:uiPriority w:val="0"/>
    <w:pPr>
      <w:widowControl/>
      <w:spacing w:beforeLines="50" w:afterLines="50" w:line="276" w:lineRule="auto"/>
      <w:ind w:firstLine="200" w:firstLineChars="200"/>
      <w:jc w:val="left"/>
      <w:outlineLvl w:val="9"/>
    </w:pPr>
    <w:rPr>
      <w:rFonts w:ascii="Cambria" w:hAnsi="Cambria"/>
      <w:color w:val="365F91"/>
      <w:kern w:val="0"/>
      <w:sz w:val="28"/>
    </w:rPr>
  </w:style>
  <w:style w:type="character" w:customStyle="1" w:styleId="224">
    <w:name w:val="Char Char10"/>
    <w:qFormat/>
    <w:locked/>
    <w:uiPriority w:val="0"/>
    <w:rPr>
      <w:rFonts w:eastAsia="宋体"/>
      <w:kern w:val="2"/>
      <w:sz w:val="18"/>
      <w:szCs w:val="18"/>
      <w:lang w:val="en-US" w:eastAsia="zh-CN" w:bidi="ar-SA"/>
    </w:rPr>
  </w:style>
  <w:style w:type="character" w:customStyle="1" w:styleId="225">
    <w:name w:val="Char Char13"/>
    <w:semiHidden/>
    <w:qFormat/>
    <w:locked/>
    <w:uiPriority w:val="0"/>
    <w:rPr>
      <w:rFonts w:eastAsia="宋体"/>
      <w:kern w:val="2"/>
      <w:sz w:val="21"/>
      <w:szCs w:val="21"/>
      <w:lang w:val="en-US" w:eastAsia="zh-CN" w:bidi="ar-SA"/>
    </w:rPr>
  </w:style>
  <w:style w:type="character" w:customStyle="1" w:styleId="226">
    <w:name w:val="Char Char71"/>
    <w:qFormat/>
    <w:locked/>
    <w:uiPriority w:val="0"/>
    <w:rPr>
      <w:rFonts w:eastAsia="宋体"/>
      <w:kern w:val="2"/>
      <w:sz w:val="21"/>
      <w:szCs w:val="21"/>
      <w:lang w:val="en-US" w:eastAsia="zh-CN" w:bidi="ar-SA"/>
    </w:rPr>
  </w:style>
  <w:style w:type="character" w:customStyle="1" w:styleId="227">
    <w:name w:val="Char Char5"/>
    <w:qFormat/>
    <w:locked/>
    <w:uiPriority w:val="0"/>
    <w:rPr>
      <w:rFonts w:eastAsia="宋体"/>
      <w:kern w:val="2"/>
      <w:sz w:val="21"/>
      <w:szCs w:val="21"/>
      <w:lang w:val="en-US" w:eastAsia="zh-CN" w:bidi="ar-SA"/>
    </w:rPr>
  </w:style>
  <w:style w:type="character" w:customStyle="1" w:styleId="228">
    <w:name w:val="Char Char15"/>
    <w:semiHidden/>
    <w:qFormat/>
    <w:locked/>
    <w:uiPriority w:val="0"/>
    <w:rPr>
      <w:rFonts w:eastAsia="宋体"/>
      <w:kern w:val="2"/>
      <w:sz w:val="18"/>
      <w:szCs w:val="18"/>
      <w:lang w:val="en-US" w:eastAsia="zh-CN" w:bidi="ar-SA"/>
    </w:rPr>
  </w:style>
  <w:style w:type="character" w:customStyle="1" w:styleId="229">
    <w:name w:val="Char Char6"/>
    <w:qFormat/>
    <w:locked/>
    <w:uiPriority w:val="0"/>
    <w:rPr>
      <w:rFonts w:eastAsia="宋体"/>
      <w:kern w:val="2"/>
      <w:sz w:val="18"/>
      <w:szCs w:val="18"/>
      <w:lang w:val="en-US" w:eastAsia="zh-CN" w:bidi="ar-SA"/>
    </w:rPr>
  </w:style>
  <w:style w:type="character" w:customStyle="1" w:styleId="230">
    <w:name w:val="Char Char8"/>
    <w:semiHidden/>
    <w:qFormat/>
    <w:locked/>
    <w:uiPriority w:val="0"/>
    <w:rPr>
      <w:rFonts w:eastAsia="宋体"/>
      <w:b/>
      <w:bCs/>
      <w:kern w:val="2"/>
      <w:sz w:val="21"/>
      <w:szCs w:val="21"/>
      <w:lang w:val="en-US" w:eastAsia="zh-CN" w:bidi="ar-SA"/>
    </w:rPr>
  </w:style>
  <w:style w:type="character" w:customStyle="1" w:styleId="231">
    <w:name w:val="word"/>
    <w:basedOn w:val="54"/>
    <w:uiPriority w:val="0"/>
  </w:style>
  <w:style w:type="paragraph" w:customStyle="1" w:styleId="232">
    <w:name w:val="Char Char34"/>
    <w:basedOn w:val="1"/>
    <w:qFormat/>
    <w:uiPriority w:val="0"/>
    <w:rPr>
      <w:sz w:val="32"/>
      <w:szCs w:val="32"/>
    </w:rPr>
  </w:style>
  <w:style w:type="character" w:customStyle="1" w:styleId="233">
    <w:name w:val="Heading 1 Char1"/>
    <w:qFormat/>
    <w:locked/>
    <w:uiPriority w:val="0"/>
    <w:rPr>
      <w:rFonts w:ascii="Times New Roman" w:hAnsi="Times New Roman" w:eastAsia="宋体" w:cs="Times New Roman"/>
      <w:b/>
      <w:bCs/>
      <w:kern w:val="44"/>
      <w:sz w:val="28"/>
      <w:szCs w:val="28"/>
    </w:rPr>
  </w:style>
  <w:style w:type="paragraph" w:customStyle="1" w:styleId="234">
    <w:name w:val="font9"/>
    <w:basedOn w:val="1"/>
    <w:qFormat/>
    <w:uiPriority w:val="0"/>
    <w:pPr>
      <w:widowControl/>
      <w:spacing w:before="100" w:beforeAutospacing="1" w:after="100" w:afterAutospacing="1"/>
      <w:jc w:val="left"/>
    </w:pPr>
    <w:rPr>
      <w:kern w:val="0"/>
      <w:szCs w:val="21"/>
    </w:rPr>
  </w:style>
  <w:style w:type="character" w:customStyle="1" w:styleId="235">
    <w:name w:val="Char Char38"/>
    <w:qFormat/>
    <w:locked/>
    <w:uiPriority w:val="0"/>
    <w:rPr>
      <w:rFonts w:eastAsia="宋体"/>
      <w:b/>
      <w:bCs/>
      <w:kern w:val="2"/>
      <w:sz w:val="24"/>
      <w:szCs w:val="24"/>
      <w:lang w:val="en-US" w:eastAsia="zh-CN" w:bidi="ar-SA"/>
    </w:rPr>
  </w:style>
  <w:style w:type="paragraph" w:customStyle="1" w:styleId="236">
    <w:name w:val="reader-word-layer reader-word-s2-5 reader-word-s2-10"/>
    <w:basedOn w:val="1"/>
    <w:qFormat/>
    <w:uiPriority w:val="0"/>
    <w:pPr>
      <w:widowControl/>
      <w:spacing w:before="100" w:beforeAutospacing="1" w:after="100" w:afterAutospacing="1"/>
      <w:jc w:val="left"/>
    </w:pPr>
    <w:rPr>
      <w:rFonts w:ascii="宋体" w:hAnsi="宋体" w:cs="宋体"/>
      <w:kern w:val="0"/>
      <w:sz w:val="24"/>
    </w:rPr>
  </w:style>
  <w:style w:type="paragraph" w:customStyle="1" w:styleId="237">
    <w:name w:val="reader-word-layer reader-word-s3-25"/>
    <w:basedOn w:val="1"/>
    <w:qFormat/>
    <w:uiPriority w:val="0"/>
    <w:pPr>
      <w:widowControl/>
      <w:spacing w:before="100" w:beforeAutospacing="1" w:after="100" w:afterAutospacing="1"/>
      <w:jc w:val="left"/>
    </w:pPr>
    <w:rPr>
      <w:rFonts w:ascii="宋体" w:hAnsi="宋体" w:cs="宋体"/>
      <w:kern w:val="0"/>
      <w:sz w:val="24"/>
    </w:rPr>
  </w:style>
  <w:style w:type="paragraph" w:customStyle="1" w:styleId="238">
    <w:name w:val="reader-word-layer reader-word-s3-30"/>
    <w:basedOn w:val="1"/>
    <w:qFormat/>
    <w:uiPriority w:val="0"/>
    <w:pPr>
      <w:widowControl/>
      <w:spacing w:before="100" w:beforeAutospacing="1" w:after="100" w:afterAutospacing="1"/>
      <w:jc w:val="left"/>
    </w:pPr>
    <w:rPr>
      <w:rFonts w:ascii="宋体" w:hAnsi="宋体" w:cs="宋体"/>
      <w:kern w:val="0"/>
      <w:sz w:val="24"/>
    </w:rPr>
  </w:style>
  <w:style w:type="paragraph" w:customStyle="1" w:styleId="239">
    <w:name w:val="font0"/>
    <w:basedOn w:val="1"/>
    <w:qFormat/>
    <w:uiPriority w:val="0"/>
    <w:pPr>
      <w:widowControl/>
      <w:spacing w:before="100" w:beforeAutospacing="1" w:after="100" w:afterAutospacing="1"/>
      <w:jc w:val="left"/>
    </w:pPr>
    <w:rPr>
      <w:rFonts w:ascii="宋体" w:hAnsi="宋体" w:cs="宋体"/>
      <w:kern w:val="0"/>
      <w:sz w:val="24"/>
    </w:rPr>
  </w:style>
  <w:style w:type="paragraph" w:customStyle="1" w:styleId="240">
    <w:name w:val="Char Char Char Char Char Char Char Char Char Char"/>
    <w:basedOn w:val="1"/>
    <w:uiPriority w:val="0"/>
    <w:rPr>
      <w:rFonts w:ascii="仿宋_GB2312" w:eastAsia="仿宋_GB2312"/>
      <w:b/>
      <w:sz w:val="32"/>
      <w:szCs w:val="32"/>
    </w:rPr>
  </w:style>
  <w:style w:type="paragraph" w:customStyle="1" w:styleId="241">
    <w:name w:val="p16"/>
    <w:basedOn w:val="1"/>
    <w:qFormat/>
    <w:uiPriority w:val="0"/>
    <w:pPr>
      <w:widowControl/>
      <w:spacing w:line="560" w:lineRule="atLeast"/>
    </w:pPr>
    <w:rPr>
      <w:rFonts w:eastAsia="仿宋_GB2312"/>
      <w:kern w:val="0"/>
      <w:sz w:val="32"/>
      <w:szCs w:val="32"/>
    </w:rPr>
  </w:style>
  <w:style w:type="paragraph" w:customStyle="1" w:styleId="242">
    <w:name w:val="普通(网站)1"/>
    <w:basedOn w:val="78"/>
    <w:qFormat/>
    <w:uiPriority w:val="0"/>
    <w:pPr>
      <w:widowControl/>
      <w:spacing w:line="480" w:lineRule="auto"/>
      <w:jc w:val="left"/>
    </w:pPr>
    <w:rPr>
      <w:rFonts w:ascii="Arial" w:hAnsi="Arial" w:cs="Arial"/>
      <w:color w:val="000000"/>
      <w:kern w:val="0"/>
      <w:szCs w:val="21"/>
    </w:rPr>
  </w:style>
  <w:style w:type="paragraph" w:customStyle="1" w:styleId="243">
    <w:name w:val="标题 4 New"/>
    <w:basedOn w:val="78"/>
    <w:next w:val="78"/>
    <w:qFormat/>
    <w:uiPriority w:val="0"/>
    <w:pPr>
      <w:keepNext/>
      <w:keepLines/>
      <w:spacing w:before="280" w:after="290" w:line="376" w:lineRule="auto"/>
      <w:outlineLvl w:val="3"/>
    </w:pPr>
    <w:rPr>
      <w:rFonts w:ascii="Calibri Light" w:hAnsi="Calibri Light"/>
      <w:b/>
      <w:bCs/>
      <w:sz w:val="28"/>
      <w:szCs w:val="28"/>
    </w:rPr>
  </w:style>
  <w:style w:type="character" w:customStyle="1" w:styleId="244">
    <w:name w:val="正文缩进 字符"/>
    <w:link w:val="12"/>
    <w:qFormat/>
    <w:uiPriority w:val="0"/>
    <w:rPr>
      <w:rFonts w:eastAsia="宋体"/>
      <w:kern w:val="2"/>
      <w:sz w:val="21"/>
      <w:szCs w:val="24"/>
      <w:lang w:val="en-US" w:eastAsia="zh-CN" w:bidi="ar-SA"/>
    </w:rPr>
  </w:style>
  <w:style w:type="paragraph" w:customStyle="1" w:styleId="245">
    <w:name w:val="正文文本样式"/>
    <w:basedOn w:val="1"/>
    <w:qFormat/>
    <w:uiPriority w:val="0"/>
    <w:pPr>
      <w:adjustRightInd w:val="0"/>
      <w:snapToGrid w:val="0"/>
      <w:spacing w:line="360" w:lineRule="auto"/>
      <w:ind w:firstLine="480" w:firstLineChars="200"/>
      <w:jc w:val="left"/>
    </w:pPr>
    <w:rPr>
      <w:rFonts w:ascii="宋体" w:hAnsi="宋体"/>
      <w:sz w:val="24"/>
    </w:rPr>
  </w:style>
  <w:style w:type="paragraph" w:customStyle="1" w:styleId="246">
    <w:name w:val="正文tan"/>
    <w:basedOn w:val="1"/>
    <w:link w:val="247"/>
    <w:qFormat/>
    <w:uiPriority w:val="0"/>
    <w:pPr>
      <w:spacing w:line="480" w:lineRule="exact"/>
      <w:ind w:firstLine="480" w:firstLineChars="200"/>
    </w:pPr>
    <w:rPr>
      <w:rFonts w:hAnsi="宋体" w:cs="宋体"/>
      <w:color w:val="0000FF"/>
      <w:sz w:val="24"/>
    </w:rPr>
  </w:style>
  <w:style w:type="character" w:customStyle="1" w:styleId="247">
    <w:name w:val="正文tan Char"/>
    <w:link w:val="246"/>
    <w:qFormat/>
    <w:uiPriority w:val="0"/>
    <w:rPr>
      <w:rFonts w:hAnsi="宋体" w:eastAsia="宋体" w:cs="宋体"/>
      <w:color w:val="0000FF"/>
      <w:kern w:val="2"/>
      <w:sz w:val="24"/>
      <w:szCs w:val="24"/>
      <w:lang w:val="en-US" w:eastAsia="zh-CN" w:bidi="ar-SA"/>
    </w:rPr>
  </w:style>
  <w:style w:type="character" w:customStyle="1" w:styleId="248">
    <w:name w:val="zhengw1"/>
    <w:qFormat/>
    <w:uiPriority w:val="0"/>
    <w:rPr>
      <w:rFonts w:hint="default"/>
      <w:sz w:val="24"/>
      <w:szCs w:val="24"/>
    </w:rPr>
  </w:style>
  <w:style w:type="paragraph" w:customStyle="1" w:styleId="249">
    <w:name w:val="zhengwen"/>
    <w:basedOn w:val="1"/>
    <w:qFormat/>
    <w:uiPriority w:val="0"/>
    <w:pPr>
      <w:widowControl/>
      <w:spacing w:before="100" w:beforeAutospacing="1" w:after="100" w:afterAutospacing="1"/>
      <w:jc w:val="left"/>
    </w:pPr>
    <w:rPr>
      <w:rFonts w:ascii="Arial Unicode MS" w:hAnsi="Arial Unicode MS"/>
      <w:color w:val="000000"/>
      <w:kern w:val="0"/>
      <w:sz w:val="24"/>
    </w:rPr>
  </w:style>
  <w:style w:type="character" w:customStyle="1" w:styleId="250">
    <w:name w:val="bb1"/>
    <w:qFormat/>
    <w:uiPriority w:val="0"/>
  </w:style>
  <w:style w:type="paragraph" w:customStyle="1" w:styleId="251">
    <w:name w:val="二级标题"/>
    <w:basedOn w:val="1"/>
    <w:qFormat/>
    <w:uiPriority w:val="0"/>
    <w:pPr>
      <w:ind w:firstLine="562" w:firstLineChars="200"/>
      <w:outlineLvl w:val="0"/>
    </w:pPr>
    <w:rPr>
      <w:bCs/>
      <w:color w:val="000000"/>
      <w:sz w:val="28"/>
      <w:szCs w:val="28"/>
    </w:rPr>
  </w:style>
  <w:style w:type="paragraph" w:customStyle="1" w:styleId="252">
    <w:name w:val="一级标题"/>
    <w:basedOn w:val="1"/>
    <w:qFormat/>
    <w:uiPriority w:val="0"/>
    <w:pPr>
      <w:ind w:left="600" w:hanging="600" w:hangingChars="200"/>
      <w:outlineLvl w:val="0"/>
    </w:pPr>
    <w:rPr>
      <w:sz w:val="30"/>
      <w:szCs w:val="28"/>
    </w:rPr>
  </w:style>
  <w:style w:type="character" w:customStyle="1" w:styleId="253">
    <w:name w:val="zhengw11"/>
    <w:qFormat/>
    <w:uiPriority w:val="0"/>
    <w:rPr>
      <w:rFonts w:hint="default"/>
      <w:sz w:val="21"/>
      <w:szCs w:val="21"/>
    </w:rPr>
  </w:style>
  <w:style w:type="character" w:customStyle="1" w:styleId="254">
    <w:name w:val="liuy1"/>
    <w:qFormat/>
    <w:uiPriority w:val="0"/>
    <w:rPr>
      <w:rFonts w:hint="eastAsia" w:ascii="宋体" w:hAnsi="宋体" w:eastAsia="宋体"/>
      <w:color w:val="0033CC"/>
      <w:sz w:val="21"/>
      <w:szCs w:val="21"/>
    </w:rPr>
  </w:style>
  <w:style w:type="character" w:customStyle="1" w:styleId="255">
    <w:name w:val="标题1"/>
    <w:basedOn w:val="54"/>
    <w:qFormat/>
    <w:uiPriority w:val="0"/>
  </w:style>
  <w:style w:type="paragraph" w:customStyle="1" w:styleId="256">
    <w:name w:val="font10"/>
    <w:basedOn w:val="1"/>
    <w:qFormat/>
    <w:uiPriority w:val="0"/>
    <w:pPr>
      <w:widowControl/>
      <w:spacing w:before="100" w:beforeAutospacing="1" w:after="100" w:afterAutospacing="1"/>
      <w:jc w:val="left"/>
    </w:pPr>
    <w:rPr>
      <w:kern w:val="0"/>
      <w:sz w:val="22"/>
      <w:szCs w:val="22"/>
    </w:rPr>
  </w:style>
  <w:style w:type="paragraph" w:customStyle="1" w:styleId="257">
    <w:name w:val="font11"/>
    <w:basedOn w:val="1"/>
    <w:qFormat/>
    <w:uiPriority w:val="0"/>
    <w:pPr>
      <w:widowControl/>
      <w:spacing w:before="100" w:beforeAutospacing="1" w:after="100" w:afterAutospacing="1"/>
      <w:jc w:val="left"/>
    </w:pPr>
    <w:rPr>
      <w:kern w:val="0"/>
      <w:sz w:val="22"/>
      <w:szCs w:val="22"/>
    </w:rPr>
  </w:style>
  <w:style w:type="paragraph" w:customStyle="1" w:styleId="258">
    <w:name w:val="标题11"/>
    <w:basedOn w:val="2"/>
    <w:qFormat/>
    <w:uiPriority w:val="0"/>
    <w:pPr>
      <w:spacing w:before="240" w:after="240"/>
      <w:jc w:val="both"/>
    </w:pPr>
    <w:rPr>
      <w:rFonts w:ascii="黑体" w:eastAsia="黑体"/>
      <w:b w:val="0"/>
      <w:szCs w:val="30"/>
    </w:rPr>
  </w:style>
  <w:style w:type="paragraph" w:customStyle="1" w:styleId="259">
    <w:name w:val="正文新"/>
    <w:basedOn w:val="17"/>
    <w:link w:val="260"/>
    <w:qFormat/>
    <w:uiPriority w:val="0"/>
    <w:pPr>
      <w:spacing w:line="360" w:lineRule="auto"/>
      <w:ind w:firstLine="0" w:firstLineChars="0"/>
      <w:jc w:val="left"/>
    </w:pPr>
    <w:rPr>
      <w:rFonts w:ascii="宋体" w:hAnsi="宋体"/>
      <w:sz w:val="24"/>
      <w:szCs w:val="24"/>
      <w:lang w:val="en-US"/>
    </w:rPr>
  </w:style>
  <w:style w:type="character" w:customStyle="1" w:styleId="260">
    <w:name w:val="正文新 Char"/>
    <w:link w:val="259"/>
    <w:qFormat/>
    <w:uiPriority w:val="0"/>
    <w:rPr>
      <w:rFonts w:ascii="宋体" w:hAnsi="宋体" w:eastAsia="宋体"/>
      <w:kern w:val="2"/>
      <w:sz w:val="24"/>
      <w:szCs w:val="24"/>
      <w:lang w:val="en-US" w:eastAsia="zh-CN" w:bidi="ar-SA"/>
    </w:rPr>
  </w:style>
  <w:style w:type="paragraph" w:customStyle="1" w:styleId="261">
    <w:name w:val="标题3地下水"/>
    <w:basedOn w:val="17"/>
    <w:next w:val="17"/>
    <w:qFormat/>
    <w:uiPriority w:val="0"/>
    <w:pPr>
      <w:spacing w:before="100" w:after="100" w:line="360" w:lineRule="auto"/>
      <w:ind w:firstLine="200"/>
      <w:outlineLvl w:val="2"/>
    </w:pPr>
    <w:rPr>
      <w:b/>
      <w:szCs w:val="24"/>
      <w:lang w:val="en-US"/>
    </w:rPr>
  </w:style>
  <w:style w:type="paragraph" w:customStyle="1" w:styleId="262">
    <w:name w:val="标题2地下水"/>
    <w:basedOn w:val="17"/>
    <w:next w:val="17"/>
    <w:qFormat/>
    <w:uiPriority w:val="0"/>
    <w:pPr>
      <w:spacing w:before="100" w:after="100" w:line="360" w:lineRule="auto"/>
      <w:ind w:firstLine="0" w:firstLineChars="0"/>
      <w:jc w:val="center"/>
      <w:outlineLvl w:val="1"/>
    </w:pPr>
    <w:rPr>
      <w:rFonts w:eastAsia="黑体" w:cs="宋体"/>
      <w:b/>
      <w:kern w:val="0"/>
      <w:sz w:val="32"/>
      <w:szCs w:val="20"/>
      <w:lang w:val="en-US"/>
    </w:rPr>
  </w:style>
  <w:style w:type="paragraph" w:customStyle="1" w:styleId="263">
    <w:name w:val="Char1 Char Char Char Char Char Char Char Char Char Char Char Char Char Char Char"/>
    <w:basedOn w:val="1"/>
    <w:qFormat/>
    <w:uiPriority w:val="0"/>
    <w:pPr>
      <w:spacing w:line="180" w:lineRule="auto"/>
      <w:ind w:firstLine="200" w:firstLineChars="200"/>
    </w:pPr>
    <w:rPr>
      <w:sz w:val="24"/>
    </w:rPr>
  </w:style>
  <w:style w:type="paragraph" w:customStyle="1" w:styleId="264">
    <w:name w:val="标2"/>
    <w:basedOn w:val="3"/>
    <w:next w:val="1"/>
    <w:qFormat/>
    <w:uiPriority w:val="0"/>
    <w:pPr>
      <w:spacing w:before="120" w:beforeLines="0" w:after="120" w:afterLines="0"/>
      <w:ind w:firstLine="602" w:firstLineChars="200"/>
      <w:jc w:val="both"/>
    </w:pPr>
    <w:rPr>
      <w:rFonts w:ascii="宋体" w:hAnsi="宋体" w:cs="Times New Roman"/>
      <w:sz w:val="30"/>
      <w:szCs w:val="28"/>
    </w:rPr>
  </w:style>
  <w:style w:type="paragraph" w:customStyle="1" w:styleId="265">
    <w:name w:val="正文中表格"/>
    <w:basedOn w:val="1"/>
    <w:next w:val="1"/>
    <w:qFormat/>
    <w:uiPriority w:val="0"/>
    <w:pPr>
      <w:topLinePunct/>
    </w:pPr>
    <w:rPr>
      <w:rFonts w:ascii="宋体" w:hAnsi="宋体"/>
      <w:b/>
      <w:sz w:val="24"/>
    </w:rPr>
  </w:style>
  <w:style w:type="paragraph" w:customStyle="1" w:styleId="266">
    <w:name w:val="表格文字"/>
    <w:basedOn w:val="1"/>
    <w:qFormat/>
    <w:uiPriority w:val="0"/>
    <w:pPr>
      <w:spacing w:line="260" w:lineRule="exact"/>
      <w:jc w:val="center"/>
    </w:pPr>
    <w:rPr>
      <w:rFonts w:eastAsia="新宋体"/>
      <w:sz w:val="18"/>
      <w:szCs w:val="20"/>
    </w:rPr>
  </w:style>
  <w:style w:type="paragraph" w:customStyle="1" w:styleId="267">
    <w:name w:val="公式"/>
    <w:basedOn w:val="1"/>
    <w:qFormat/>
    <w:uiPriority w:val="0"/>
    <w:pPr>
      <w:spacing w:after="156" w:afterLines="50" w:line="480" w:lineRule="exact"/>
      <w:ind w:right="420" w:rightChars="200" w:firstLine="480" w:firstLineChars="200"/>
    </w:pPr>
    <w:rPr>
      <w:position w:val="-14"/>
      <w:sz w:val="24"/>
      <w:szCs w:val="20"/>
    </w:rPr>
  </w:style>
  <w:style w:type="paragraph" w:customStyle="1" w:styleId="268">
    <w:name w:val="正文hh"/>
    <w:qFormat/>
    <w:uiPriority w:val="0"/>
    <w:pPr>
      <w:ind w:firstLine="560" w:firstLineChars="200"/>
      <w:jc w:val="both"/>
    </w:pPr>
    <w:rPr>
      <w:rFonts w:ascii="Times New Roman" w:hAnsi="Times New Roman" w:eastAsia="宋体" w:cs="Times New Roman"/>
      <w:sz w:val="28"/>
      <w:szCs w:val="24"/>
      <w:lang w:val="en-US" w:eastAsia="zh-CN" w:bidi="ar-SA"/>
    </w:rPr>
  </w:style>
  <w:style w:type="paragraph" w:customStyle="1" w:styleId="269">
    <w:name w:val="正文hh Char Char Char"/>
    <w:qFormat/>
    <w:uiPriority w:val="0"/>
    <w:pPr>
      <w:widowControl w:val="0"/>
      <w:spacing w:line="360" w:lineRule="auto"/>
      <w:ind w:firstLine="480" w:firstLineChars="200"/>
      <w:jc w:val="both"/>
    </w:pPr>
    <w:rPr>
      <w:rFonts w:ascii="Times New Roman" w:hAnsi="Times New Roman" w:eastAsia="宋体" w:cs="Times New Roman"/>
      <w:sz w:val="24"/>
      <w:szCs w:val="24"/>
      <w:lang w:val="en-US" w:eastAsia="zh-CN" w:bidi="ar-SA"/>
    </w:rPr>
  </w:style>
  <w:style w:type="paragraph" w:customStyle="1" w:styleId="270">
    <w:name w:val="表标题hh Char"/>
    <w:qFormat/>
    <w:uiPriority w:val="0"/>
    <w:pPr>
      <w:spacing w:before="200"/>
      <w:jc w:val="center"/>
    </w:pPr>
    <w:rPr>
      <w:rFonts w:ascii="Times New Roman" w:hAnsi="Times New Roman" w:eastAsia="黑体" w:cs="Times New Roman"/>
      <w:b/>
      <w:kern w:val="2"/>
      <w:sz w:val="24"/>
      <w:szCs w:val="24"/>
      <w:lang w:val="en-US" w:eastAsia="zh-CN" w:bidi="ar-SA"/>
    </w:rPr>
  </w:style>
  <w:style w:type="paragraph" w:customStyle="1" w:styleId="271">
    <w:name w:val="正文论文"/>
    <w:basedOn w:val="1"/>
    <w:qFormat/>
    <w:uiPriority w:val="0"/>
    <w:pPr>
      <w:autoSpaceDE w:val="0"/>
      <w:autoSpaceDN w:val="0"/>
      <w:adjustRightInd w:val="0"/>
      <w:spacing w:line="440" w:lineRule="exact"/>
      <w:ind w:firstLine="480" w:firstLineChars="200"/>
    </w:pPr>
    <w:rPr>
      <w:rFonts w:ascii="宋体" w:hAnsi="宋体" w:cs="宋体"/>
      <w:kern w:val="0"/>
      <w:sz w:val="24"/>
      <w:szCs w:val="28"/>
    </w:rPr>
  </w:style>
  <w:style w:type="paragraph" w:customStyle="1" w:styleId="272">
    <w:name w:val="图中文字"/>
    <w:qFormat/>
    <w:uiPriority w:val="0"/>
    <w:pPr>
      <w:adjustRightInd w:val="0"/>
      <w:snapToGrid w:val="0"/>
      <w:spacing w:line="240" w:lineRule="exact"/>
      <w:jc w:val="center"/>
    </w:pPr>
    <w:rPr>
      <w:rFonts w:ascii="宋体" w:hAnsi="Times New Roman" w:eastAsia="宋体" w:cs="Times New Roman"/>
      <w:sz w:val="21"/>
      <w:lang w:val="en-US" w:eastAsia="zh-CN" w:bidi="ar-SA"/>
    </w:rPr>
  </w:style>
  <w:style w:type="paragraph" w:customStyle="1" w:styleId="273">
    <w:name w:val="图名"/>
    <w:qFormat/>
    <w:uiPriority w:val="0"/>
    <w:pPr>
      <w:widowControl w:val="0"/>
      <w:topLinePunct/>
      <w:spacing w:line="540" w:lineRule="exact"/>
      <w:jc w:val="center"/>
    </w:pPr>
    <w:rPr>
      <w:rFonts w:ascii="Times New Roman" w:hAnsi="Times New Roman" w:eastAsia="黑体" w:cs="Times New Roman"/>
      <w:b/>
      <w:sz w:val="24"/>
      <w:szCs w:val="24"/>
      <w:lang w:val="en-US" w:eastAsia="zh-CN" w:bidi="ar-SA"/>
    </w:rPr>
  </w:style>
  <w:style w:type="paragraph" w:customStyle="1" w:styleId="274">
    <w:name w:val="表格"/>
    <w:basedOn w:val="1"/>
    <w:qFormat/>
    <w:uiPriority w:val="0"/>
    <w:pPr>
      <w:jc w:val="center"/>
    </w:pPr>
    <w:rPr>
      <w:rFonts w:eastAsia="黑体"/>
      <w:bCs/>
    </w:rPr>
  </w:style>
  <w:style w:type="paragraph" w:customStyle="1" w:styleId="275">
    <w:name w:val="图框中文字格式"/>
    <w:basedOn w:val="23"/>
    <w:next w:val="23"/>
    <w:qFormat/>
    <w:uiPriority w:val="0"/>
    <w:pPr>
      <w:adjustRightInd w:val="0"/>
      <w:snapToGrid w:val="0"/>
      <w:spacing w:line="240" w:lineRule="atLeast"/>
      <w:ind w:firstLine="0" w:firstLineChars="0"/>
      <w:textAlignment w:val="center"/>
    </w:pPr>
    <w:rPr>
      <w:rFonts w:ascii="黑体" w:eastAsia="黑体" w:cs="Courier New"/>
      <w:snapToGrid w:val="0"/>
      <w:kern w:val="0"/>
      <w:szCs w:val="24"/>
    </w:rPr>
  </w:style>
  <w:style w:type="paragraph" w:customStyle="1" w:styleId="276">
    <w:name w:val="样式 正文（首行缩进两字） + 首行缩进:  2 字符"/>
    <w:basedOn w:val="12"/>
    <w:qFormat/>
    <w:uiPriority w:val="0"/>
    <w:pPr>
      <w:spacing w:before="93" w:beforeLines="30" w:after="93" w:afterLines="30" w:line="480" w:lineRule="exact"/>
      <w:ind w:firstLine="470" w:firstLineChars="196"/>
      <w:outlineLvl w:val="0"/>
    </w:pPr>
    <w:rPr>
      <w:rFonts w:ascii="宋体" w:hAnsi="宋体"/>
      <w:bCs/>
      <w:sz w:val="24"/>
    </w:rPr>
  </w:style>
  <w:style w:type="paragraph" w:customStyle="1" w:styleId="277">
    <w:name w:val="font12"/>
    <w:basedOn w:val="1"/>
    <w:qFormat/>
    <w:uiPriority w:val="0"/>
    <w:pPr>
      <w:widowControl/>
      <w:spacing w:before="100" w:beforeAutospacing="1" w:after="100" w:afterAutospacing="1"/>
      <w:jc w:val="left"/>
    </w:pPr>
    <w:rPr>
      <w:rFonts w:ascii="宋体" w:hAnsi="宋体" w:cs="宋体"/>
      <w:kern w:val="0"/>
      <w:sz w:val="16"/>
      <w:szCs w:val="16"/>
    </w:rPr>
  </w:style>
  <w:style w:type="paragraph" w:customStyle="1" w:styleId="278">
    <w:name w:val="font13"/>
    <w:basedOn w:val="1"/>
    <w:qFormat/>
    <w:uiPriority w:val="0"/>
    <w:pPr>
      <w:widowControl/>
      <w:spacing w:before="100" w:beforeAutospacing="1" w:after="100" w:afterAutospacing="1"/>
      <w:jc w:val="left"/>
    </w:pPr>
    <w:rPr>
      <w:kern w:val="0"/>
      <w:sz w:val="16"/>
      <w:szCs w:val="16"/>
    </w:rPr>
  </w:style>
  <w:style w:type="paragraph" w:customStyle="1" w:styleId="279">
    <w:name w:val="font14"/>
    <w:basedOn w:val="1"/>
    <w:qFormat/>
    <w:uiPriority w:val="0"/>
    <w:pPr>
      <w:widowControl/>
      <w:spacing w:before="100" w:beforeAutospacing="1" w:after="100" w:afterAutospacing="1"/>
      <w:jc w:val="left"/>
    </w:pPr>
    <w:rPr>
      <w:rFonts w:ascii="宋体" w:hAnsi="宋体" w:cs="宋体"/>
      <w:kern w:val="0"/>
      <w:sz w:val="16"/>
      <w:szCs w:val="16"/>
    </w:rPr>
  </w:style>
  <w:style w:type="paragraph" w:customStyle="1" w:styleId="280">
    <w:name w:val="xl51"/>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6"/>
      <w:szCs w:val="16"/>
    </w:rPr>
  </w:style>
  <w:style w:type="paragraph" w:customStyle="1" w:styleId="281">
    <w:name w:val="xl5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cs="宋体"/>
      <w:kern w:val="0"/>
      <w:sz w:val="16"/>
      <w:szCs w:val="16"/>
    </w:rPr>
  </w:style>
  <w:style w:type="paragraph" w:customStyle="1" w:styleId="282">
    <w:name w:val="xl53"/>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cs="宋体"/>
      <w:kern w:val="0"/>
      <w:sz w:val="16"/>
      <w:szCs w:val="16"/>
    </w:rPr>
  </w:style>
  <w:style w:type="paragraph" w:customStyle="1" w:styleId="283">
    <w:name w:val="xl54"/>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6"/>
      <w:szCs w:val="16"/>
    </w:rPr>
  </w:style>
  <w:style w:type="paragraph" w:customStyle="1" w:styleId="284">
    <w:name w:val="xl55"/>
    <w:basedOn w:val="1"/>
    <w:qFormat/>
    <w:uiPriority w:val="0"/>
    <w:pPr>
      <w:widowControl/>
      <w:pBdr>
        <w:bottom w:val="single" w:color="auto" w:sz="4" w:space="0"/>
      </w:pBdr>
      <w:spacing w:before="100" w:beforeAutospacing="1" w:after="100" w:afterAutospacing="1"/>
      <w:jc w:val="center"/>
      <w:textAlignment w:val="center"/>
    </w:pPr>
    <w:rPr>
      <w:rFonts w:ascii="宋体" w:hAnsi="宋体" w:cs="宋体"/>
      <w:b/>
      <w:bCs/>
      <w:kern w:val="0"/>
      <w:sz w:val="24"/>
    </w:rPr>
  </w:style>
  <w:style w:type="paragraph" w:customStyle="1" w:styleId="285">
    <w:name w:val="样式 标题 1 + 加粗"/>
    <w:basedOn w:val="2"/>
    <w:qFormat/>
    <w:uiPriority w:val="0"/>
    <w:pPr>
      <w:spacing w:before="400" w:beforeLines="400" w:after="200" w:afterLines="200" w:line="240" w:lineRule="auto"/>
      <w:ind w:firstLine="200" w:firstLineChars="200"/>
    </w:pPr>
    <w:rPr>
      <w:rFonts w:eastAsia="黑体"/>
      <w:color w:val="FF0000"/>
      <w:sz w:val="44"/>
      <w:szCs w:val="44"/>
    </w:rPr>
  </w:style>
  <w:style w:type="paragraph" w:customStyle="1" w:styleId="286">
    <w:name w:val="样式 标题 2 + 首行缩进:  2 字符"/>
    <w:basedOn w:val="3"/>
    <w:qFormat/>
    <w:uiPriority w:val="0"/>
    <w:pPr>
      <w:spacing w:before="350" w:beforeLines="350" w:after="200" w:afterLines="200" w:line="415" w:lineRule="auto"/>
      <w:jc w:val="center"/>
    </w:pPr>
    <w:rPr>
      <w:rFonts w:cs="宋体"/>
      <w:color w:val="00FF00"/>
      <w:sz w:val="32"/>
      <w:szCs w:val="20"/>
    </w:rPr>
  </w:style>
  <w:style w:type="paragraph" w:customStyle="1" w:styleId="287">
    <w:name w:val="样式 正文文字缩进 + 宋体 小五"/>
    <w:basedOn w:val="18"/>
    <w:qFormat/>
    <w:uiPriority w:val="0"/>
    <w:pPr>
      <w:topLinePunct/>
      <w:ind w:firstLine="0"/>
    </w:pPr>
    <w:rPr>
      <w:rFonts w:ascii="Times New Roman" w:hAnsi="Times New Roman" w:eastAsia="宋体"/>
      <w:color w:val="000000"/>
      <w:sz w:val="24"/>
    </w:rPr>
  </w:style>
  <w:style w:type="paragraph" w:customStyle="1" w:styleId="288">
    <w:name w:val="样式 标题 3 + 首行缩进:  2 字符"/>
    <w:basedOn w:val="4"/>
    <w:qFormat/>
    <w:uiPriority w:val="0"/>
    <w:pPr>
      <w:spacing w:before="200" w:beforeLines="100"/>
      <w:ind w:firstLine="200" w:firstLineChars="200"/>
      <w:jc w:val="both"/>
    </w:pPr>
    <w:rPr>
      <w:rFonts w:cs="宋体"/>
      <w:color w:val="800080"/>
      <w:sz w:val="28"/>
      <w:szCs w:val="20"/>
    </w:rPr>
  </w:style>
  <w:style w:type="paragraph" w:customStyle="1" w:styleId="289">
    <w:name w:val="正文1"/>
    <w:basedOn w:val="17"/>
    <w:next w:val="17"/>
    <w:qFormat/>
    <w:uiPriority w:val="0"/>
    <w:pPr>
      <w:spacing w:line="480" w:lineRule="exact"/>
      <w:ind w:firstLine="480"/>
    </w:pPr>
    <w:rPr>
      <w:sz w:val="24"/>
      <w:szCs w:val="24"/>
      <w:lang w:val="en-US"/>
    </w:rPr>
  </w:style>
  <w:style w:type="paragraph" w:customStyle="1" w:styleId="290">
    <w:name w:val="表中文字"/>
    <w:qFormat/>
    <w:uiPriority w:val="0"/>
    <w:pPr>
      <w:adjustRightInd w:val="0"/>
      <w:snapToGrid w:val="0"/>
      <w:spacing w:line="300" w:lineRule="exact"/>
      <w:jc w:val="center"/>
    </w:pPr>
    <w:rPr>
      <w:rFonts w:ascii="Times New Roman" w:hAnsi="Times New Roman" w:eastAsia="华文中宋" w:cs="Times New Roman"/>
      <w:sz w:val="18"/>
      <w:lang w:val="en-US" w:eastAsia="zh-CN" w:bidi="ar-SA"/>
    </w:rPr>
  </w:style>
  <w:style w:type="paragraph" w:customStyle="1" w:styleId="291">
    <w:name w:val="zi Char"/>
    <w:basedOn w:val="1"/>
    <w:link w:val="292"/>
    <w:qFormat/>
    <w:uiPriority w:val="0"/>
    <w:pPr>
      <w:spacing w:line="480" w:lineRule="exact"/>
      <w:ind w:firstLine="480" w:firstLineChars="200"/>
    </w:pPr>
    <w:rPr>
      <w:rFonts w:cs="宋体"/>
      <w:sz w:val="24"/>
    </w:rPr>
  </w:style>
  <w:style w:type="character" w:customStyle="1" w:styleId="292">
    <w:name w:val="zi Char Char"/>
    <w:link w:val="291"/>
    <w:uiPriority w:val="0"/>
    <w:rPr>
      <w:rFonts w:eastAsia="宋体" w:cs="宋体"/>
      <w:kern w:val="2"/>
      <w:sz w:val="24"/>
      <w:szCs w:val="24"/>
      <w:lang w:val="en-US" w:eastAsia="zh-CN" w:bidi="ar-SA"/>
    </w:rPr>
  </w:style>
  <w:style w:type="paragraph" w:customStyle="1" w:styleId="293">
    <w:name w:val="样式 标题 3 + 四号 非加粗 行距: 1.5 倍行距"/>
    <w:basedOn w:val="4"/>
    <w:uiPriority w:val="0"/>
    <w:pPr>
      <w:keepNext w:val="0"/>
      <w:spacing w:before="240" w:beforeLines="100" w:after="240"/>
      <w:ind w:firstLine="540" w:firstLineChars="192"/>
      <w:jc w:val="both"/>
    </w:pPr>
    <w:rPr>
      <w:rFonts w:eastAsia="仿宋_GB2312" w:cs="宋体"/>
      <w:b w:val="0"/>
      <w:bCs w:val="0"/>
      <w:color w:val="800080"/>
      <w:sz w:val="30"/>
      <w:szCs w:val="20"/>
    </w:rPr>
  </w:style>
  <w:style w:type="paragraph" w:customStyle="1" w:styleId="294">
    <w:name w:val="样式 标题 2 + Times New Roman 加粗 居中 行距: 1.5 倍行距"/>
    <w:basedOn w:val="2"/>
    <w:next w:val="2"/>
    <w:qFormat/>
    <w:uiPriority w:val="0"/>
    <w:pPr>
      <w:spacing w:before="400" w:beforeLines="400" w:after="200" w:afterLines="200"/>
      <w:ind w:left="420" w:leftChars="200"/>
    </w:pPr>
    <w:rPr>
      <w:rFonts w:ascii="黑体" w:hAnsi="宋体" w:eastAsia="黑体" w:cs="宋体"/>
      <w:bCs w:val="0"/>
      <w:color w:val="FF0000"/>
      <w:sz w:val="32"/>
      <w:szCs w:val="20"/>
    </w:rPr>
  </w:style>
  <w:style w:type="paragraph" w:customStyle="1" w:styleId="295">
    <w:name w:val="正文表格"/>
    <w:basedOn w:val="1"/>
    <w:qFormat/>
    <w:uiPriority w:val="0"/>
    <w:pPr>
      <w:jc w:val="center"/>
    </w:pPr>
    <w:rPr>
      <w:szCs w:val="20"/>
    </w:rPr>
  </w:style>
  <w:style w:type="paragraph" w:customStyle="1" w:styleId="296">
    <w:name w:val="single"/>
    <w:basedOn w:val="1"/>
    <w:qFormat/>
    <w:uiPriority w:val="0"/>
    <w:pPr>
      <w:jc w:val="center"/>
    </w:pPr>
  </w:style>
  <w:style w:type="paragraph" w:customStyle="1" w:styleId="297">
    <w:name w:val="table-tilte"/>
    <w:basedOn w:val="1"/>
    <w:qFormat/>
    <w:uiPriority w:val="0"/>
    <w:pPr>
      <w:jc w:val="center"/>
    </w:pPr>
    <w:rPr>
      <w:rFonts w:ascii="宋体" w:hAnsi="宋体"/>
      <w:b/>
      <w:bCs/>
      <w:szCs w:val="20"/>
    </w:rPr>
  </w:style>
  <w:style w:type="paragraph" w:customStyle="1" w:styleId="298">
    <w:name w:val="xl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cs="Arial Unicode MS"/>
      <w:kern w:val="0"/>
      <w:sz w:val="24"/>
    </w:rPr>
  </w:style>
  <w:style w:type="paragraph" w:customStyle="1" w:styleId="299">
    <w:name w:val="xl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宋体" w:hAnsi="宋体" w:cs="Arial Unicode MS"/>
      <w:kern w:val="0"/>
      <w:sz w:val="24"/>
    </w:rPr>
  </w:style>
  <w:style w:type="paragraph" w:customStyle="1" w:styleId="300">
    <w:name w:val="5 Char"/>
    <w:basedOn w:val="1"/>
    <w:link w:val="322"/>
    <w:qFormat/>
    <w:uiPriority w:val="0"/>
  </w:style>
  <w:style w:type="paragraph" w:customStyle="1" w:styleId="301">
    <w:name w:val="样式 标题 2 + Times New Roman"/>
    <w:basedOn w:val="3"/>
    <w:qFormat/>
    <w:uiPriority w:val="0"/>
    <w:pPr>
      <w:spacing w:before="350" w:beforeLines="350" w:after="200" w:afterLines="200"/>
      <w:jc w:val="center"/>
    </w:pPr>
    <w:rPr>
      <w:rFonts w:ascii="Times New Roman" w:hAnsi="Times New Roman" w:cs="Times New Roman"/>
      <w:color w:val="00FF00"/>
      <w:sz w:val="32"/>
      <w:szCs w:val="32"/>
    </w:rPr>
  </w:style>
  <w:style w:type="paragraph" w:customStyle="1" w:styleId="302">
    <w:name w:val="zi"/>
    <w:basedOn w:val="1"/>
    <w:qFormat/>
    <w:uiPriority w:val="0"/>
    <w:pPr>
      <w:spacing w:line="480" w:lineRule="exact"/>
      <w:ind w:firstLine="480" w:firstLineChars="200"/>
    </w:pPr>
    <w:rPr>
      <w:rFonts w:cs="宋体"/>
      <w:sz w:val="24"/>
    </w:rPr>
  </w:style>
  <w:style w:type="paragraph" w:customStyle="1" w:styleId="303">
    <w:name w:val="tan正文"/>
    <w:basedOn w:val="246"/>
    <w:qFormat/>
    <w:uiPriority w:val="0"/>
    <w:rPr>
      <w:color w:val="000000"/>
    </w:rPr>
  </w:style>
  <w:style w:type="paragraph" w:customStyle="1" w:styleId="304">
    <w:name w:val="样式 正文tan"/>
    <w:basedOn w:val="246"/>
    <w:qFormat/>
    <w:uiPriority w:val="0"/>
    <w:rPr>
      <w:rFonts w:ascii="宋体"/>
      <w:b/>
      <w:bCs/>
      <w:color w:val="000000"/>
      <w:kern w:val="0"/>
    </w:rPr>
  </w:style>
  <w:style w:type="paragraph" w:customStyle="1" w:styleId="305">
    <w:name w:val="新正文"/>
    <w:basedOn w:val="1"/>
    <w:qFormat/>
    <w:uiPriority w:val="0"/>
    <w:pPr>
      <w:spacing w:before="156" w:beforeLines="50" w:line="360" w:lineRule="auto"/>
      <w:jc w:val="center"/>
    </w:pPr>
    <w:rPr>
      <w:rFonts w:ascii="宋体" w:hAnsi="宋体"/>
      <w:sz w:val="30"/>
      <w:szCs w:val="30"/>
    </w:rPr>
  </w:style>
  <w:style w:type="paragraph" w:customStyle="1" w:styleId="306">
    <w:name w:val="样式 新正文 + 首行缩进:  2 字符 段前: 0.5 行"/>
    <w:basedOn w:val="305"/>
    <w:qFormat/>
    <w:uiPriority w:val="0"/>
    <w:pPr>
      <w:spacing w:before="50"/>
      <w:ind w:firstLine="200"/>
    </w:pPr>
  </w:style>
  <w:style w:type="paragraph" w:customStyle="1" w:styleId="307">
    <w:name w:val="表名"/>
    <w:basedOn w:val="1"/>
    <w:qFormat/>
    <w:uiPriority w:val="0"/>
    <w:pPr>
      <w:autoSpaceDE w:val="0"/>
      <w:autoSpaceDN w:val="0"/>
      <w:adjustRightInd w:val="0"/>
      <w:snapToGrid w:val="0"/>
      <w:spacing w:before="78" w:beforeLines="25"/>
      <w:jc w:val="center"/>
      <w:textAlignment w:val="bottom"/>
    </w:pPr>
    <w:rPr>
      <w:rFonts w:eastAsia="华文中宋"/>
      <w:b/>
      <w:bCs/>
    </w:rPr>
  </w:style>
  <w:style w:type="paragraph" w:customStyle="1" w:styleId="308">
    <w:name w:val="论文段落"/>
    <w:basedOn w:val="1"/>
    <w:qFormat/>
    <w:uiPriority w:val="0"/>
    <w:pPr>
      <w:tabs>
        <w:tab w:val="left" w:pos="6165"/>
      </w:tabs>
    </w:pPr>
    <w:rPr>
      <w:rFonts w:ascii="宋体" w:hAnsi="CG Times (W1)"/>
      <w:bCs/>
      <w:szCs w:val="20"/>
    </w:rPr>
  </w:style>
  <w:style w:type="character" w:customStyle="1" w:styleId="309">
    <w:name w:val="标题 4 Char"/>
    <w:qFormat/>
    <w:uiPriority w:val="0"/>
    <w:rPr>
      <w:rFonts w:ascii="Arial" w:hAnsi="Arial" w:eastAsia="黑体"/>
      <w:b/>
      <w:bCs/>
      <w:kern w:val="2"/>
      <w:sz w:val="28"/>
      <w:szCs w:val="28"/>
      <w:lang w:val="en-US" w:eastAsia="zh-CN" w:bidi="ar-SA"/>
    </w:rPr>
  </w:style>
  <w:style w:type="paragraph" w:customStyle="1" w:styleId="310">
    <w:name w:val="表后"/>
    <w:basedOn w:val="1"/>
    <w:qFormat/>
    <w:uiPriority w:val="0"/>
    <w:pPr>
      <w:spacing w:line="400" w:lineRule="exact"/>
      <w:ind w:firstLine="200" w:firstLineChars="200"/>
    </w:pPr>
    <w:rPr>
      <w:sz w:val="24"/>
      <w:szCs w:val="20"/>
    </w:rPr>
  </w:style>
  <w:style w:type="paragraph" w:customStyle="1" w:styleId="311">
    <w:name w:val="表格注释"/>
    <w:basedOn w:val="1"/>
    <w:qFormat/>
    <w:uiPriority w:val="0"/>
    <w:pPr>
      <w:spacing w:line="400" w:lineRule="exact"/>
    </w:pPr>
    <w:rPr>
      <w:rFonts w:hAnsi="宋体"/>
      <w:szCs w:val="20"/>
    </w:rPr>
  </w:style>
  <w:style w:type="paragraph" w:customStyle="1" w:styleId="312">
    <w:name w:val="正文小四"/>
    <w:qFormat/>
    <w:uiPriority w:val="0"/>
    <w:pPr>
      <w:spacing w:line="560" w:lineRule="atLeast"/>
      <w:ind w:firstLine="200" w:firstLineChars="200"/>
      <w:jc w:val="both"/>
    </w:pPr>
    <w:rPr>
      <w:rFonts w:ascii="Times New Roman" w:hAnsi="Times New Roman" w:eastAsia="仿宋_GB2312" w:cs="Times New Roman"/>
      <w:sz w:val="32"/>
      <w:lang w:val="en-US" w:eastAsia="zh-CN" w:bidi="ar-SA"/>
    </w:rPr>
  </w:style>
  <w:style w:type="paragraph" w:customStyle="1" w:styleId="313">
    <w:name w:val="正文文本 小4"/>
    <w:basedOn w:val="17"/>
    <w:qFormat/>
    <w:uiPriority w:val="0"/>
    <w:pPr>
      <w:autoSpaceDE w:val="0"/>
      <w:autoSpaceDN w:val="0"/>
      <w:adjustRightInd w:val="0"/>
      <w:ind w:firstLine="420"/>
    </w:pPr>
    <w:rPr>
      <w:rFonts w:ascii="宋体" w:hAnsi="宋体" w:cs="宋体"/>
      <w:color w:val="000000"/>
      <w:kern w:val="0"/>
      <w:sz w:val="21"/>
      <w:szCs w:val="21"/>
      <w:lang w:val="en-US"/>
    </w:rPr>
  </w:style>
  <w:style w:type="paragraph" w:customStyle="1" w:styleId="314">
    <w:name w:val="样式 表内容小五 + 首行缩进:  11 字符"/>
    <w:basedOn w:val="1"/>
    <w:qFormat/>
    <w:uiPriority w:val="0"/>
    <w:pPr>
      <w:autoSpaceDE w:val="0"/>
      <w:autoSpaceDN w:val="0"/>
      <w:adjustRightInd w:val="0"/>
      <w:spacing w:line="220" w:lineRule="exact"/>
      <w:jc w:val="center"/>
    </w:pPr>
    <w:rPr>
      <w:rFonts w:cs="宋体"/>
      <w:color w:val="000000"/>
      <w:kern w:val="0"/>
      <w:sz w:val="18"/>
      <w:szCs w:val="20"/>
    </w:rPr>
  </w:style>
  <w:style w:type="paragraph" w:customStyle="1" w:styleId="315">
    <w:name w:val="p0"/>
    <w:basedOn w:val="1"/>
    <w:qFormat/>
    <w:uiPriority w:val="0"/>
    <w:pPr>
      <w:widowControl/>
    </w:pPr>
    <w:rPr>
      <w:kern w:val="0"/>
      <w:szCs w:val="21"/>
    </w:rPr>
  </w:style>
  <w:style w:type="paragraph" w:customStyle="1" w:styleId="316">
    <w:name w:val="p17"/>
    <w:basedOn w:val="1"/>
    <w:qFormat/>
    <w:uiPriority w:val="0"/>
    <w:pPr>
      <w:widowControl/>
      <w:snapToGrid w:val="0"/>
      <w:spacing w:line="220" w:lineRule="atLeast"/>
      <w:jc w:val="center"/>
    </w:pPr>
    <w:rPr>
      <w:color w:val="000000"/>
      <w:kern w:val="0"/>
      <w:sz w:val="18"/>
      <w:szCs w:val="18"/>
    </w:rPr>
  </w:style>
  <w:style w:type="paragraph" w:customStyle="1" w:styleId="317">
    <w:name w:val="p21"/>
    <w:basedOn w:val="1"/>
    <w:qFormat/>
    <w:uiPriority w:val="0"/>
    <w:pPr>
      <w:widowControl/>
      <w:topLinePunct/>
      <w:spacing w:before="156" w:line="400" w:lineRule="atLeast"/>
      <w:ind w:hanging="525"/>
      <w:jc w:val="center"/>
    </w:pPr>
    <w:rPr>
      <w:rFonts w:ascii="黑体" w:hAnsi="黑体" w:eastAsia="黑体" w:cs="宋体"/>
      <w:kern w:val="0"/>
      <w:szCs w:val="21"/>
    </w:rPr>
  </w:style>
  <w:style w:type="character" w:customStyle="1" w:styleId="318">
    <w:name w:val="font01"/>
    <w:qFormat/>
    <w:uiPriority w:val="0"/>
    <w:rPr>
      <w:rFonts w:hint="eastAsia" w:ascii="宋体" w:hAnsi="宋体" w:eastAsia="宋体"/>
      <w:color w:val="000000"/>
      <w:sz w:val="20"/>
      <w:szCs w:val="20"/>
      <w:u w:val="none"/>
      <w:vertAlign w:val="superscript"/>
    </w:rPr>
  </w:style>
  <w:style w:type="character" w:customStyle="1" w:styleId="319">
    <w:name w:val="font21"/>
    <w:qFormat/>
    <w:uiPriority w:val="0"/>
    <w:rPr>
      <w:rFonts w:hint="eastAsia" w:ascii="宋体" w:hAnsi="宋体" w:eastAsia="宋体"/>
      <w:color w:val="000000"/>
      <w:sz w:val="20"/>
      <w:szCs w:val="20"/>
      <w:u w:val="none"/>
    </w:rPr>
  </w:style>
  <w:style w:type="paragraph" w:customStyle="1" w:styleId="320">
    <w:name w:val="p18"/>
    <w:basedOn w:val="1"/>
    <w:qFormat/>
    <w:uiPriority w:val="0"/>
    <w:pPr>
      <w:widowControl/>
      <w:snapToGrid w:val="0"/>
      <w:spacing w:line="220" w:lineRule="atLeast"/>
      <w:jc w:val="center"/>
    </w:pPr>
    <w:rPr>
      <w:color w:val="000000"/>
      <w:kern w:val="0"/>
      <w:sz w:val="18"/>
      <w:szCs w:val="18"/>
    </w:rPr>
  </w:style>
  <w:style w:type="character" w:customStyle="1" w:styleId="321">
    <w:name w:val="标题 4 Char Char Char Char Char Char Char Char Char Char Char Char Char Char Char Char Char Char"/>
    <w:qFormat/>
    <w:uiPriority w:val="0"/>
    <w:rPr>
      <w:rFonts w:hint="default" w:ascii="Arial" w:hAnsi="Arial" w:eastAsia="黑体" w:cs="Arial"/>
      <w:b/>
      <w:bCs/>
      <w:kern w:val="2"/>
      <w:sz w:val="28"/>
      <w:szCs w:val="28"/>
      <w:lang w:val="en-US" w:eastAsia="zh-CN" w:bidi="ar-SA"/>
    </w:rPr>
  </w:style>
  <w:style w:type="character" w:customStyle="1" w:styleId="322">
    <w:name w:val="5 Char Char"/>
    <w:link w:val="300"/>
    <w:qFormat/>
    <w:uiPriority w:val="0"/>
    <w:rPr>
      <w:rFonts w:eastAsia="宋体"/>
      <w:kern w:val="2"/>
      <w:sz w:val="21"/>
      <w:szCs w:val="24"/>
      <w:lang w:val="en-US" w:eastAsia="zh-CN" w:bidi="ar-SA"/>
    </w:rPr>
  </w:style>
  <w:style w:type="paragraph" w:customStyle="1" w:styleId="323">
    <w:name w:val="Default"/>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324">
    <w:name w:val="Char1 Char Char Char Char Char Char"/>
    <w:basedOn w:val="1"/>
    <w:qFormat/>
    <w:uiPriority w:val="0"/>
    <w:pPr>
      <w:widowControl/>
    </w:pPr>
    <w:rPr>
      <w:szCs w:val="20"/>
    </w:rPr>
  </w:style>
  <w:style w:type="paragraph" w:styleId="325">
    <w:name w:val="List Paragraph"/>
    <w:basedOn w:val="1"/>
    <w:qFormat/>
    <w:uiPriority w:val="1"/>
    <w:pPr>
      <w:ind w:firstLine="420" w:firstLineChars="200"/>
    </w:pPr>
    <w:rPr>
      <w:rFonts w:ascii="Calibri" w:hAnsi="Calibri"/>
      <w:szCs w:val="22"/>
    </w:rPr>
  </w:style>
  <w:style w:type="paragraph" w:customStyle="1" w:styleId="326">
    <w:name w:val="4"/>
    <w:basedOn w:val="1"/>
    <w:qFormat/>
    <w:uiPriority w:val="0"/>
    <w:pPr>
      <w:widowControl/>
    </w:pPr>
    <w:rPr>
      <w:szCs w:val="20"/>
    </w:rPr>
  </w:style>
  <w:style w:type="paragraph" w:customStyle="1" w:styleId="327">
    <w:name w:val="no22"/>
    <w:basedOn w:val="3"/>
    <w:qFormat/>
    <w:uiPriority w:val="0"/>
    <w:pPr>
      <w:spacing w:before="260" w:beforeLines="0" w:after="260" w:afterLines="0" w:line="416" w:lineRule="auto"/>
      <w:jc w:val="center"/>
    </w:pPr>
    <w:rPr>
      <w:rFonts w:ascii="黑体" w:eastAsia="黑体" w:cs="Times New Roman"/>
      <w:b w:val="0"/>
      <w:sz w:val="32"/>
      <w:szCs w:val="32"/>
    </w:rPr>
  </w:style>
  <w:style w:type="paragraph" w:customStyle="1" w:styleId="328">
    <w:name w:val="Char Char31"/>
    <w:basedOn w:val="1"/>
    <w:qFormat/>
    <w:uiPriority w:val="0"/>
    <w:pPr>
      <w:widowControl/>
      <w:spacing w:after="160" w:line="240" w:lineRule="exact"/>
      <w:jc w:val="left"/>
    </w:pPr>
    <w:rPr>
      <w:rFonts w:eastAsia="仿宋_GB2312"/>
      <w:kern w:val="0"/>
      <w:sz w:val="28"/>
      <w:szCs w:val="28"/>
      <w:lang w:eastAsia="en-US"/>
    </w:rPr>
  </w:style>
  <w:style w:type="paragraph" w:styleId="329">
    <w:name w:val="No Spacing"/>
    <w:basedOn w:val="1"/>
    <w:link w:val="330"/>
    <w:qFormat/>
    <w:uiPriority w:val="0"/>
    <w:pPr>
      <w:spacing w:line="360" w:lineRule="auto"/>
      <w:ind w:firstLine="200" w:firstLineChars="200"/>
    </w:pPr>
    <w:rPr>
      <w:rFonts w:ascii="Calibri" w:hAnsi="Calibri" w:eastAsia="仿宋_GB2312"/>
      <w:sz w:val="32"/>
      <w:szCs w:val="22"/>
    </w:rPr>
  </w:style>
  <w:style w:type="character" w:customStyle="1" w:styleId="330">
    <w:name w:val="无间隔 字符"/>
    <w:link w:val="329"/>
    <w:qFormat/>
    <w:uiPriority w:val="0"/>
    <w:rPr>
      <w:rFonts w:ascii="Calibri" w:hAnsi="Calibri" w:eastAsia="仿宋_GB2312"/>
      <w:kern w:val="2"/>
      <w:sz w:val="32"/>
      <w:szCs w:val="22"/>
      <w:lang w:val="en-US" w:eastAsia="zh-CN" w:bidi="ar-SA"/>
    </w:rPr>
  </w:style>
  <w:style w:type="paragraph" w:customStyle="1" w:styleId="331">
    <w:name w:val="样式6"/>
    <w:basedOn w:val="246"/>
    <w:link w:val="332"/>
    <w:qFormat/>
    <w:uiPriority w:val="0"/>
    <w:pPr>
      <w:spacing w:line="560" w:lineRule="exact"/>
      <w:ind w:firstLine="560"/>
    </w:pPr>
    <w:rPr>
      <w:rFonts w:ascii="仿宋_GB2312" w:eastAsia="仿宋_GB2312" w:cs="Times New Roman"/>
      <w:color w:val="FF0000"/>
      <w:sz w:val="28"/>
      <w:szCs w:val="36"/>
      <w:lang w:val="zh-CN"/>
    </w:rPr>
  </w:style>
  <w:style w:type="character" w:customStyle="1" w:styleId="332">
    <w:name w:val="样式6 Char"/>
    <w:link w:val="331"/>
    <w:qFormat/>
    <w:uiPriority w:val="0"/>
    <w:rPr>
      <w:rFonts w:ascii="仿宋_GB2312" w:hAnsi="宋体" w:eastAsia="仿宋_GB2312" w:cs="宋体"/>
      <w:color w:val="FF0000"/>
      <w:kern w:val="2"/>
      <w:sz w:val="28"/>
      <w:szCs w:val="36"/>
    </w:rPr>
  </w:style>
  <w:style w:type="paragraph" w:customStyle="1" w:styleId="333">
    <w:name w:val="样式7"/>
    <w:basedOn w:val="1"/>
    <w:link w:val="334"/>
    <w:qFormat/>
    <w:uiPriority w:val="0"/>
    <w:pPr>
      <w:spacing w:line="600" w:lineRule="exact"/>
      <w:ind w:firstLine="560" w:firstLineChars="200"/>
      <w:contextualSpacing/>
    </w:pPr>
    <w:rPr>
      <w:rFonts w:eastAsia="仿宋_GB2312"/>
      <w:sz w:val="28"/>
      <w:szCs w:val="36"/>
      <w:lang w:val="zh-CN"/>
    </w:rPr>
  </w:style>
  <w:style w:type="character" w:customStyle="1" w:styleId="334">
    <w:name w:val="样式7 Char"/>
    <w:link w:val="333"/>
    <w:qFormat/>
    <w:uiPriority w:val="0"/>
    <w:rPr>
      <w:rFonts w:eastAsia="仿宋_GB2312"/>
      <w:kern w:val="2"/>
      <w:sz w:val="28"/>
      <w:szCs w:val="36"/>
    </w:rPr>
  </w:style>
  <w:style w:type="character" w:customStyle="1" w:styleId="335">
    <w:name w:val="表tan Char"/>
    <w:link w:val="336"/>
    <w:qFormat/>
    <w:uiPriority w:val="0"/>
    <w:rPr>
      <w:snapToGrid w:val="0"/>
      <w:color w:val="4F6228"/>
      <w:szCs w:val="24"/>
    </w:rPr>
  </w:style>
  <w:style w:type="paragraph" w:customStyle="1" w:styleId="336">
    <w:name w:val="表tan"/>
    <w:basedOn w:val="1"/>
    <w:next w:val="42"/>
    <w:link w:val="335"/>
    <w:qFormat/>
    <w:uiPriority w:val="0"/>
    <w:pPr>
      <w:tabs>
        <w:tab w:val="left" w:pos="5940"/>
      </w:tabs>
      <w:adjustRightInd w:val="0"/>
      <w:snapToGrid w:val="0"/>
      <w:jc w:val="center"/>
    </w:pPr>
    <w:rPr>
      <w:snapToGrid w:val="0"/>
      <w:color w:val="4F6228"/>
      <w:kern w:val="0"/>
      <w:sz w:val="20"/>
      <w:lang w:val="zh-CN"/>
    </w:rPr>
  </w:style>
  <w:style w:type="character" w:customStyle="1" w:styleId="337">
    <w:name w:val="样式 +中文正文 两端对齐 首行缩进:  2 字符 Char"/>
    <w:link w:val="338"/>
    <w:qFormat/>
    <w:locked/>
    <w:uiPriority w:val="0"/>
    <w:rPr>
      <w:rFonts w:ascii="宋体" w:hAnsi="宋体" w:eastAsia="仿宋_GB2312" w:cs="宋体"/>
      <w:sz w:val="28"/>
    </w:rPr>
  </w:style>
  <w:style w:type="paragraph" w:customStyle="1" w:styleId="338">
    <w:name w:val="样式 +中文正文 两端对齐 首行缩进:  2 字符"/>
    <w:basedOn w:val="1"/>
    <w:link w:val="337"/>
    <w:qFormat/>
    <w:uiPriority w:val="0"/>
    <w:pPr>
      <w:ind w:firstLine="560" w:firstLineChars="200"/>
    </w:pPr>
    <w:rPr>
      <w:rFonts w:ascii="宋体" w:hAnsi="宋体" w:eastAsia="仿宋_GB2312"/>
      <w:kern w:val="0"/>
      <w:sz w:val="28"/>
      <w:szCs w:val="20"/>
      <w:lang w:val="zh-CN"/>
    </w:rPr>
  </w:style>
  <w:style w:type="paragraph" w:customStyle="1" w:styleId="339">
    <w:name w:val="Char11"/>
    <w:basedOn w:val="1"/>
    <w:qFormat/>
    <w:uiPriority w:val="0"/>
    <w:pPr>
      <w:widowControl/>
      <w:spacing w:after="160" w:line="240" w:lineRule="exact"/>
      <w:jc w:val="left"/>
    </w:pPr>
    <w:rPr>
      <w:rFonts w:eastAsia="仿宋_GB2312"/>
      <w:kern w:val="0"/>
      <w:sz w:val="28"/>
      <w:szCs w:val="28"/>
      <w:lang w:eastAsia="en-US"/>
    </w:rPr>
  </w:style>
  <w:style w:type="paragraph" w:customStyle="1" w:styleId="340">
    <w:name w:val="样式3"/>
    <w:basedOn w:val="1"/>
    <w:link w:val="342"/>
    <w:qFormat/>
    <w:uiPriority w:val="0"/>
    <w:pPr>
      <w:spacing w:line="600" w:lineRule="exact"/>
      <w:ind w:firstLine="723" w:firstLineChars="200"/>
      <w:jc w:val="left"/>
    </w:pPr>
    <w:rPr>
      <w:rFonts w:ascii="仿宋_GB2312" w:eastAsia="仿宋_GB2312"/>
      <w:sz w:val="36"/>
      <w:szCs w:val="36"/>
      <w:lang w:val="zh-CN"/>
    </w:rPr>
  </w:style>
  <w:style w:type="paragraph" w:customStyle="1" w:styleId="341">
    <w:name w:val="样式4"/>
    <w:basedOn w:val="1"/>
    <w:link w:val="344"/>
    <w:qFormat/>
    <w:uiPriority w:val="0"/>
    <w:pPr>
      <w:tabs>
        <w:tab w:val="left" w:pos="5400"/>
      </w:tabs>
      <w:spacing w:line="600" w:lineRule="exact"/>
      <w:ind w:firstLine="720" w:firstLineChars="200"/>
    </w:pPr>
    <w:rPr>
      <w:rFonts w:ascii="仿宋_GB2312" w:eastAsia="仿宋_GB2312"/>
      <w:color w:val="000000"/>
      <w:sz w:val="36"/>
      <w:szCs w:val="36"/>
      <w:lang w:val="zh-CN"/>
    </w:rPr>
  </w:style>
  <w:style w:type="character" w:customStyle="1" w:styleId="342">
    <w:name w:val="样式3 Char"/>
    <w:link w:val="340"/>
    <w:qFormat/>
    <w:uiPriority w:val="0"/>
    <w:rPr>
      <w:rFonts w:ascii="仿宋_GB2312" w:eastAsia="仿宋_GB2312"/>
      <w:kern w:val="2"/>
      <w:sz w:val="36"/>
      <w:szCs w:val="36"/>
    </w:rPr>
  </w:style>
  <w:style w:type="paragraph" w:customStyle="1" w:styleId="343">
    <w:name w:val="Char Char Char2 Char"/>
    <w:basedOn w:val="14"/>
    <w:qFormat/>
    <w:uiPriority w:val="0"/>
    <w:rPr>
      <w:szCs w:val="24"/>
    </w:rPr>
  </w:style>
  <w:style w:type="character" w:customStyle="1" w:styleId="344">
    <w:name w:val="样式4 Char"/>
    <w:link w:val="341"/>
    <w:qFormat/>
    <w:uiPriority w:val="0"/>
    <w:rPr>
      <w:rFonts w:ascii="仿宋_GB2312" w:eastAsia="仿宋_GB2312"/>
      <w:color w:val="000000"/>
      <w:kern w:val="2"/>
      <w:sz w:val="36"/>
      <w:szCs w:val="36"/>
    </w:rPr>
  </w:style>
  <w:style w:type="paragraph" w:customStyle="1" w:styleId="345">
    <w:name w:val="样式 样式2表格内容 + 两端对齐"/>
    <w:basedOn w:val="1"/>
    <w:qFormat/>
    <w:uiPriority w:val="0"/>
    <w:pPr>
      <w:widowControl/>
      <w:adjustRightInd w:val="0"/>
      <w:snapToGrid w:val="0"/>
      <w:jc w:val="center"/>
    </w:pPr>
    <w:rPr>
      <w:rFonts w:cs="宋体"/>
      <w:color w:val="000000"/>
      <w:kern w:val="0"/>
      <w:sz w:val="18"/>
      <w:szCs w:val="20"/>
      <w:lang w:val="zh-CN"/>
    </w:rPr>
  </w:style>
  <w:style w:type="character" w:customStyle="1" w:styleId="346">
    <w:name w:val="样式0表头 Char"/>
    <w:link w:val="347"/>
    <w:qFormat/>
    <w:uiPriority w:val="0"/>
    <w:rPr>
      <w:rFonts w:eastAsia="黑体"/>
      <w:snapToGrid w:val="0"/>
      <w:color w:val="000000"/>
      <w:sz w:val="24"/>
      <w:szCs w:val="28"/>
    </w:rPr>
  </w:style>
  <w:style w:type="paragraph" w:customStyle="1" w:styleId="347">
    <w:name w:val="样式0表头"/>
    <w:basedOn w:val="1"/>
    <w:link w:val="346"/>
    <w:qFormat/>
    <w:uiPriority w:val="0"/>
    <w:pPr>
      <w:adjustRightInd w:val="0"/>
      <w:snapToGrid w:val="0"/>
      <w:spacing w:line="600" w:lineRule="exact"/>
      <w:jc w:val="center"/>
    </w:pPr>
    <w:rPr>
      <w:rFonts w:eastAsia="黑体"/>
      <w:snapToGrid w:val="0"/>
      <w:color w:val="000000"/>
      <w:kern w:val="0"/>
      <w:sz w:val="24"/>
      <w:szCs w:val="28"/>
    </w:rPr>
  </w:style>
  <w:style w:type="paragraph" w:customStyle="1" w:styleId="348">
    <w:name w:val="table-name"/>
    <w:basedOn w:val="1"/>
    <w:qFormat/>
    <w:uiPriority w:val="0"/>
    <w:pPr>
      <w:spacing w:beforeLines="50" w:line="360" w:lineRule="auto"/>
      <w:jc w:val="center"/>
    </w:pPr>
    <w:rPr>
      <w:rFonts w:ascii="Calibri" w:hAnsi="Calibri" w:eastAsia="黑体"/>
      <w:sz w:val="24"/>
      <w:szCs w:val="28"/>
    </w:rPr>
  </w:style>
  <w:style w:type="paragraph" w:customStyle="1" w:styleId="349">
    <w:name w:val="02标题004"/>
    <w:basedOn w:val="5"/>
    <w:qFormat/>
    <w:uiPriority w:val="0"/>
    <w:pPr>
      <w:spacing w:before="93" w:beforeLines="30" w:after="62" w:afterLines="20" w:line="360" w:lineRule="auto"/>
      <w:ind w:firstLine="0" w:firstLineChars="0"/>
      <w:jc w:val="both"/>
    </w:pPr>
    <w:rPr>
      <w:rFonts w:ascii="Times New Roman" w:hAnsi="Times New Roman" w:eastAsia="宋体" w:cs="宋体"/>
      <w:color w:val="auto"/>
      <w:kern w:val="24"/>
      <w:sz w:val="28"/>
      <w:szCs w:val="20"/>
      <w:lang w:val="en-US"/>
    </w:rPr>
  </w:style>
  <w:style w:type="table" w:customStyle="1" w:styleId="350">
    <w:name w:val="Table Normal"/>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351">
    <w:name w:val="Table Paragraph"/>
    <w:basedOn w:val="1"/>
    <w:qFormat/>
    <w:uiPriority w:val="1"/>
    <w:pPr>
      <w:jc w:val="left"/>
    </w:pPr>
    <w:rPr>
      <w:rFonts w:asciiTheme="minorHAnsi" w:hAnsiTheme="minorHAnsi" w:eastAsiaTheme="minorEastAsia" w:cstheme="minorBidi"/>
      <w:kern w:val="0"/>
      <w:sz w:val="22"/>
      <w:szCs w:val="22"/>
      <w:lang w:eastAsia="en-US"/>
    </w:rPr>
  </w:style>
  <w:style w:type="paragraph" w:customStyle="1" w:styleId="352">
    <w:name w:val="TOC Heading"/>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E75B5" w:themeColor="accent1" w:themeShade="BF"/>
      <w:kern w:val="0"/>
      <w:sz w:val="32"/>
      <w:szCs w:val="32"/>
    </w:rPr>
  </w:style>
  <w:style w:type="character" w:customStyle="1" w:styleId="353">
    <w:name w:val="Unresolved Mention"/>
    <w:basedOn w:val="54"/>
    <w:semiHidden/>
    <w:unhideWhenUsed/>
    <w:qFormat/>
    <w:uiPriority w:val="99"/>
    <w:rPr>
      <w:color w:val="605E5C"/>
      <w:shd w:val="clear" w:color="auto" w:fill="E1DFDD"/>
    </w:rPr>
  </w:style>
  <w:style w:type="paragraph" w:customStyle="1" w:styleId="354">
    <w:name w:val="Revision"/>
    <w:hidden/>
    <w:semiHidden/>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header" Target="header2.xml"/><Relationship Id="rId43" Type="http://schemas.openxmlformats.org/officeDocument/2006/relationships/fontTable" Target="fontTable.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header" Target="header1.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er" Target="foot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microsoft.com/office/2007/relationships/hdphoto" Target="media/image6.wdp"/><Relationship Id="rId23" Type="http://schemas.openxmlformats.org/officeDocument/2006/relationships/image" Target="media/image5.png"/><Relationship Id="rId22" Type="http://schemas.openxmlformats.org/officeDocument/2006/relationships/chart" Target="charts/chart6.xml"/><Relationship Id="rId21" Type="http://schemas.openxmlformats.org/officeDocument/2006/relationships/chart" Target="charts/chart5.xml"/><Relationship Id="rId20" Type="http://schemas.openxmlformats.org/officeDocument/2006/relationships/chart" Target="charts/chart4.xml"/><Relationship Id="rId2" Type="http://schemas.openxmlformats.org/officeDocument/2006/relationships/settings" Target="settings.xml"/><Relationship Id="rId19" Type="http://schemas.openxmlformats.org/officeDocument/2006/relationships/chart" Target="charts/chart3.xml"/><Relationship Id="rId18" Type="http://schemas.openxmlformats.org/officeDocument/2006/relationships/chart" Target="charts/chart2.xml"/><Relationship Id="rId17" Type="http://schemas.openxmlformats.org/officeDocument/2006/relationships/chart" Target="charts/chart1.xml"/><Relationship Id="rId16" Type="http://schemas.openxmlformats.org/officeDocument/2006/relationships/image" Target="media/image4.png"/><Relationship Id="rId15" Type="http://schemas.openxmlformats.org/officeDocument/2006/relationships/image" Target="media/image3.png"/><Relationship Id="rId14" Type="http://schemas.microsoft.com/office/2007/relationships/hdphoto" Target="media/image2.wdp"/><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G:\&#29579;&#36890;\&#24037;&#20316;&#39033;&#30446;\2&#27700;&#36164;&#28304;&#35780;&#20215;&#25253;&#21578;\9-&#27700;&#36164;&#28304;&#25215;&#36733;&#33021;&#21147;\2-&#24037;&#20316;&#25991;&#20214;\0-&#24179;&#38452;&#27700;&#36164;&#28304;&#25215;&#36733;.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G:\&#29579;&#36890;\&#24037;&#20316;&#39033;&#30446;\2&#27700;&#36164;&#28304;&#35780;&#20215;&#25253;&#21578;\7&#33410;&#27700;&#22411;&#39033;&#30446;\13&#20877;&#29983;&#27700;&#21033;&#29992;&#35268;&#21010;\4-&#20250;&#21518;&#20462;&#25913;&#23436;&#21892;\0-&#20462;&#25913;&#25991;&#20214;\&#20250;&#21518;&#20462;&#25913;-&#34920;&#26684;.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G:\&#29579;&#36890;\&#24037;&#20316;&#39033;&#30446;\2&#27700;&#36164;&#28304;&#35780;&#20215;&#25253;&#21578;\9-&#27700;&#36164;&#28304;&#25215;&#36733;&#33021;&#21147;\2-&#24037;&#20316;&#25991;&#20214;\0-&#24179;&#38452;&#27700;&#36164;&#28304;&#25215;&#36733;.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G:\&#29579;&#36890;\&#24037;&#20316;&#39033;&#30446;\2&#27700;&#36164;&#28304;&#35780;&#20215;&#25253;&#21578;\7&#33410;&#27700;&#22411;&#39033;&#30446;\13&#20877;&#29983;&#27700;&#21033;&#29992;&#35268;&#21010;\4-&#20250;&#21518;&#20462;&#25913;&#23436;&#21892;\0-&#20462;&#25913;&#25991;&#20214;\&#20250;&#21518;&#20462;&#25913;-&#34920;&#26684;.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G:\&#29579;&#36890;\&#24037;&#20316;&#39033;&#30446;\2&#27700;&#36164;&#28304;&#35780;&#20215;&#25253;&#21578;\7&#33410;&#27700;&#22411;&#39033;&#30446;\13&#20877;&#29983;&#27700;&#21033;&#29992;&#35268;&#21010;\4-&#20250;&#21518;&#20462;&#25913;&#23436;&#21892;\0-&#20462;&#25913;&#25991;&#20214;\&#20250;&#21518;&#20462;&#25913;-&#34920;&#26684;%20-%20&#21103;&#26412;.xlsx" TargetMode="External"/></Relationships>
</file>

<file path=word/charts/_rels/chart6.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G:\&#29579;&#36890;\&#24037;&#20316;&#39033;&#30446;\2&#27700;&#36164;&#28304;&#35780;&#20215;&#25253;&#21578;\7&#33410;&#27700;&#22411;&#39033;&#30446;\13&#20877;&#29983;&#27700;&#21033;&#29992;&#35268;&#21010;\4-&#20250;&#21518;&#20462;&#25913;&#23436;&#21892;\0-&#20462;&#25913;&#25991;&#20214;\&#20250;&#21518;&#20462;&#25913;-&#34920;&#26684;%20-%20&#21103;&#264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32852143482"/>
          <c:y val="0.0509259259259259"/>
          <c:w val="0.844011592300962"/>
          <c:h val="0.80242125984252"/>
        </c:manualLayout>
      </c:layout>
      <c:barChart>
        <c:barDir val="col"/>
        <c:grouping val="clustered"/>
        <c:varyColors val="0"/>
        <c:ser>
          <c:idx val="0"/>
          <c:order val="0"/>
          <c:tx>
            <c:strRef>
              <c:f>第三章现状分析!$B$25</c:f>
              <c:strCache>
                <c:ptCount val="1"/>
                <c:pt idx="0">
                  <c:v>地表水</c:v>
                </c:pt>
              </c:strCache>
            </c:strRef>
          </c:tx>
          <c:spPr>
            <a:pattFill prst="pct5">
              <a:fgClr>
                <a:schemeClr val="tx1"/>
              </a:fgClr>
              <a:bgClr>
                <a:schemeClr val="bg1"/>
              </a:bgClr>
            </a:pattFill>
            <a:ln>
              <a:solidFill>
                <a:schemeClr val="tx1"/>
              </a:solidFill>
            </a:ln>
            <a:effectLst/>
          </c:spPr>
          <c:invertIfNegative val="0"/>
          <c:dLbls>
            <c:delete val="1"/>
          </c:dLbls>
          <c:cat>
            <c:numRef>
              <c:f>第三章现状分析!$A$26:$A$30</c:f>
              <c:numCache>
                <c:formatCode>General</c:formatCode>
                <c:ptCount val="5"/>
                <c:pt idx="0">
                  <c:v>2019</c:v>
                </c:pt>
                <c:pt idx="1">
                  <c:v>2020</c:v>
                </c:pt>
                <c:pt idx="2">
                  <c:v>2021</c:v>
                </c:pt>
                <c:pt idx="3">
                  <c:v>2022</c:v>
                </c:pt>
                <c:pt idx="4">
                  <c:v>2023</c:v>
                </c:pt>
              </c:numCache>
            </c:numRef>
          </c:cat>
          <c:val>
            <c:numRef>
              <c:f>第三章现状分析!$B$26:$B$30</c:f>
              <c:numCache>
                <c:formatCode>General</c:formatCode>
                <c:ptCount val="5"/>
                <c:pt idx="0">
                  <c:v>4823</c:v>
                </c:pt>
                <c:pt idx="1">
                  <c:v>3853</c:v>
                </c:pt>
                <c:pt idx="2">
                  <c:v>2518</c:v>
                </c:pt>
                <c:pt idx="3">
                  <c:v>2662</c:v>
                </c:pt>
                <c:pt idx="4" c:formatCode="0.0000">
                  <c:v>3525.2509</c:v>
                </c:pt>
              </c:numCache>
            </c:numRef>
          </c:val>
        </c:ser>
        <c:ser>
          <c:idx val="1"/>
          <c:order val="1"/>
          <c:tx>
            <c:strRef>
              <c:f>第三章现状分析!$C$25</c:f>
              <c:strCache>
                <c:ptCount val="1"/>
                <c:pt idx="0">
                  <c:v>地下水</c:v>
                </c:pt>
              </c:strCache>
            </c:strRef>
          </c:tx>
          <c:spPr>
            <a:pattFill prst="ltHorz">
              <a:fgClr>
                <a:schemeClr val="tx1"/>
              </a:fgClr>
              <a:bgClr>
                <a:schemeClr val="bg1"/>
              </a:bgClr>
            </a:pattFill>
            <a:ln>
              <a:solidFill>
                <a:schemeClr val="tx1"/>
              </a:solidFill>
            </a:ln>
            <a:effectLst/>
          </c:spPr>
          <c:invertIfNegative val="0"/>
          <c:dLbls>
            <c:delete val="1"/>
          </c:dLbls>
          <c:cat>
            <c:numRef>
              <c:f>第三章现状分析!$A$26:$A$30</c:f>
              <c:numCache>
                <c:formatCode>General</c:formatCode>
                <c:ptCount val="5"/>
                <c:pt idx="0">
                  <c:v>2019</c:v>
                </c:pt>
                <c:pt idx="1">
                  <c:v>2020</c:v>
                </c:pt>
                <c:pt idx="2">
                  <c:v>2021</c:v>
                </c:pt>
                <c:pt idx="3">
                  <c:v>2022</c:v>
                </c:pt>
                <c:pt idx="4">
                  <c:v>2023</c:v>
                </c:pt>
              </c:numCache>
            </c:numRef>
          </c:cat>
          <c:val>
            <c:numRef>
              <c:f>第三章现状分析!$C$26:$C$30</c:f>
              <c:numCache>
                <c:formatCode>General</c:formatCode>
                <c:ptCount val="5"/>
                <c:pt idx="0">
                  <c:v>5699</c:v>
                </c:pt>
                <c:pt idx="1">
                  <c:v>6300</c:v>
                </c:pt>
                <c:pt idx="2">
                  <c:v>5778</c:v>
                </c:pt>
                <c:pt idx="3">
                  <c:v>5847</c:v>
                </c:pt>
                <c:pt idx="4" c:formatCode="0.0000">
                  <c:v>6020.2197</c:v>
                </c:pt>
              </c:numCache>
            </c:numRef>
          </c:val>
        </c:ser>
        <c:ser>
          <c:idx val="2"/>
          <c:order val="2"/>
          <c:tx>
            <c:strRef>
              <c:f>第三章现状分析!$D$25</c:f>
              <c:strCache>
                <c:ptCount val="1"/>
                <c:pt idx="0">
                  <c:v>非常规水</c:v>
                </c:pt>
              </c:strCache>
            </c:strRef>
          </c:tx>
          <c:spPr>
            <a:pattFill prst="ltVert">
              <a:fgClr>
                <a:schemeClr val="tx1"/>
              </a:fgClr>
              <a:bgClr>
                <a:schemeClr val="bg1"/>
              </a:bgClr>
            </a:pattFill>
            <a:ln>
              <a:solidFill>
                <a:schemeClr val="tx1"/>
              </a:solidFill>
            </a:ln>
            <a:effectLst/>
          </c:spPr>
          <c:invertIfNegative val="0"/>
          <c:dLbls>
            <c:delete val="1"/>
          </c:dLbls>
          <c:cat>
            <c:numRef>
              <c:f>第三章现状分析!$A$26:$A$30</c:f>
              <c:numCache>
                <c:formatCode>General</c:formatCode>
                <c:ptCount val="5"/>
                <c:pt idx="0">
                  <c:v>2019</c:v>
                </c:pt>
                <c:pt idx="1">
                  <c:v>2020</c:v>
                </c:pt>
                <c:pt idx="2">
                  <c:v>2021</c:v>
                </c:pt>
                <c:pt idx="3">
                  <c:v>2022</c:v>
                </c:pt>
                <c:pt idx="4">
                  <c:v>2023</c:v>
                </c:pt>
              </c:numCache>
            </c:numRef>
          </c:cat>
          <c:val>
            <c:numRef>
              <c:f>第三章现状分析!$D$26:$D$30</c:f>
              <c:numCache>
                <c:formatCode>General</c:formatCode>
                <c:ptCount val="5"/>
                <c:pt idx="0">
                  <c:v>576</c:v>
                </c:pt>
                <c:pt idx="1">
                  <c:v>378</c:v>
                </c:pt>
                <c:pt idx="2">
                  <c:v>601</c:v>
                </c:pt>
                <c:pt idx="3">
                  <c:v>643</c:v>
                </c:pt>
                <c:pt idx="4" c:formatCode="0.0000">
                  <c:v>864.4281</c:v>
                </c:pt>
              </c:numCache>
            </c:numRef>
          </c:val>
        </c:ser>
        <c:dLbls>
          <c:showLegendKey val="0"/>
          <c:showVal val="0"/>
          <c:showCatName val="0"/>
          <c:showSerName val="0"/>
          <c:showPercent val="0"/>
          <c:showBubbleSize val="0"/>
        </c:dLbls>
        <c:gapWidth val="219"/>
        <c:overlap val="-27"/>
        <c:axId val="1831883776"/>
        <c:axId val="1831882336"/>
      </c:barChart>
      <c:catAx>
        <c:axId val="18318837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zh-CN" sz="9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p>
        </c:txPr>
        <c:crossAx val="1831882336"/>
        <c:crosses val="autoZero"/>
        <c:auto val="1"/>
        <c:lblAlgn val="ctr"/>
        <c:lblOffset val="100"/>
        <c:noMultiLvlLbl val="0"/>
      </c:catAx>
      <c:valAx>
        <c:axId val="1831882336"/>
        <c:scaling>
          <c:orientation val="minMax"/>
        </c:scaling>
        <c:delete val="0"/>
        <c:axPos val="l"/>
        <c:title>
          <c:tx>
            <c:rich>
              <a:bodyPr rot="-5400000" spcFirstLastPara="1" vertOverflow="ellipsis" vert="horz" wrap="square" anchor="ctr" anchorCtr="1"/>
              <a:lstStyle/>
              <a:p>
                <a:pPr>
                  <a:defRPr lang="zh-CN" sz="10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r>
                  <a:rPr lang="zh-CN" altLang="en-US"/>
                  <a:t>年供水量</a:t>
                </a:r>
                <a:r>
                  <a:rPr lang="en-US" altLang="zh-CN"/>
                  <a:t>/</a:t>
                </a:r>
                <a:r>
                  <a:rPr lang="zh-CN" altLang="en-US"/>
                  <a:t>万</a:t>
                </a:r>
                <a:r>
                  <a:rPr lang="en-US" altLang="zh-CN"/>
                  <a:t>m</a:t>
                </a:r>
                <a:r>
                  <a:rPr lang="en-US" altLang="zh-CN" baseline="30000"/>
                  <a:t>3</a:t>
                </a:r>
                <a:endParaRPr lang="zh-CN" altLang="en-US" baseline="30000"/>
              </a:p>
            </c:rich>
          </c:tx>
          <c:layout/>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lang="zh-CN" sz="9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p>
        </c:txPr>
        <c:crossAx val="1831883776"/>
        <c:crosses val="autoZero"/>
        <c:crossBetween val="between"/>
      </c:valAx>
      <c:spPr>
        <a:noFill/>
        <a:ln>
          <a:noFill/>
        </a:ln>
        <a:effectLst/>
      </c:spPr>
    </c:plotArea>
    <c:legend>
      <c:legendPos val="b"/>
      <c:layout>
        <c:manualLayout>
          <c:xMode val="edge"/>
          <c:yMode val="edge"/>
          <c:x val="0.305157480314961"/>
          <c:y val="0.926549285505978"/>
          <c:w val="0.389685039370079"/>
          <c:h val="0.0734507144940216"/>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6c469ae1-ce06-4c77-ab1d-1579912594a3}"/>
      </c:ext>
    </c:extLst>
  </c:chart>
  <c:spPr>
    <a:solidFill>
      <a:schemeClr val="bg1"/>
    </a:solidFill>
    <a:ln w="9525" cap="flat" cmpd="sng" algn="ctr">
      <a:noFill/>
      <a:round/>
    </a:ln>
    <a:effectLst/>
  </c:spPr>
  <c:txPr>
    <a:bodyPr/>
    <a:lstStyle/>
    <a:p>
      <a:pPr>
        <a:defRPr lang="zh-CN">
          <a:solidFill>
            <a:schemeClr val="tx1"/>
          </a:solidFill>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170879955795"/>
          <c:y val="0.0743992855738568"/>
          <c:w val="0.58021987383156"/>
          <c:h val="0.839759614263198"/>
        </c:manualLayout>
      </c:layout>
      <c:pieChart>
        <c:varyColors val="1"/>
        <c:ser>
          <c:idx val="0"/>
          <c:order val="0"/>
          <c:spPr>
            <a:ln w="6350">
              <a:solidFill>
                <a:schemeClr val="lt1"/>
              </a:solidFill>
            </a:ln>
          </c:spPr>
          <c:explosion val="0"/>
          <c:dPt>
            <c:idx val="0"/>
            <c:bubble3D val="0"/>
            <c:spPr>
              <a:pattFill prst="pct5">
                <a:fgClr>
                  <a:schemeClr val="tx1"/>
                </a:fgClr>
                <a:bgClr>
                  <a:schemeClr val="bg1"/>
                </a:bgClr>
              </a:pattFill>
              <a:ln w="6350">
                <a:solidFill>
                  <a:schemeClr val="tx1"/>
                </a:solidFill>
              </a:ln>
              <a:effectLst/>
            </c:spPr>
          </c:dPt>
          <c:dPt>
            <c:idx val="1"/>
            <c:bubble3D val="0"/>
            <c:spPr>
              <a:pattFill prst="ltHorz">
                <a:fgClr>
                  <a:schemeClr val="tx1"/>
                </a:fgClr>
                <a:bgClr>
                  <a:schemeClr val="bg1"/>
                </a:bgClr>
              </a:pattFill>
              <a:ln w="6350">
                <a:solidFill>
                  <a:schemeClr val="tx1"/>
                </a:solidFill>
              </a:ln>
              <a:effectLst/>
            </c:spPr>
          </c:dPt>
          <c:dPt>
            <c:idx val="2"/>
            <c:bubble3D val="0"/>
            <c:spPr>
              <a:pattFill prst="pct90">
                <a:fgClr>
                  <a:schemeClr val="tx1"/>
                </a:fgClr>
                <a:bgClr>
                  <a:schemeClr val="bg1"/>
                </a:bgClr>
              </a:pattFill>
              <a:ln w="6350">
                <a:solidFill>
                  <a:schemeClr val="tx1"/>
                </a:solidFill>
              </a:ln>
              <a:effectLst/>
            </c:spPr>
          </c:dPt>
          <c:dLbls>
            <c:dLbl>
              <c:idx val="0"/>
              <c:layout>
                <c:manualLayout>
                  <c:x val="0.0158669072615923"/>
                  <c:y val="-0.0501053514144065"/>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00515419947506562"/>
                  <c:y val="0.022151137357830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627707786526684"/>
                  <c:y val="0.0210130287112169"/>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zh-CN" sz="100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 (2)'!$B$26:$D$26</c:f>
              <c:strCache>
                <c:ptCount val="3"/>
                <c:pt idx="0">
                  <c:v>地表水</c:v>
                </c:pt>
                <c:pt idx="1">
                  <c:v>地下水</c:v>
                </c:pt>
                <c:pt idx="2">
                  <c:v>非常规水</c:v>
                </c:pt>
              </c:strCache>
            </c:strRef>
          </c:cat>
          <c:val>
            <c:numRef>
              <c:f>'Sheet1 (2)'!$B$34:$D$34</c:f>
              <c:numCache>
                <c:formatCode>0.0%</c:formatCode>
                <c:ptCount val="3"/>
                <c:pt idx="0">
                  <c:v>0.338644111877861</c:v>
                </c:pt>
                <c:pt idx="1">
                  <c:v>0.578316837991901</c:v>
                </c:pt>
                <c:pt idx="2">
                  <c:v>0.0830390501302381</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30612285306442"/>
          <c:y val="0.92187430231822"/>
          <c:w val="0.550975459643227"/>
          <c:h val="0.0734507144940216"/>
        </c:manualLayout>
      </c:layout>
      <c:overlay val="0"/>
      <c:spPr>
        <a:noFill/>
        <a:ln>
          <a:noFill/>
        </a:ln>
        <a:effectLst/>
      </c:spPr>
      <c:txPr>
        <a:bodyPr rot="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3e7d558d-bcef-459b-85dc-5ab6599ee9b5}"/>
      </c:ext>
    </c:extLst>
  </c:chart>
  <c:spPr>
    <a:solidFill>
      <a:schemeClr val="bg1"/>
    </a:solidFill>
    <a:ln w="9525" cap="flat" cmpd="sng" algn="ctr">
      <a:noFill/>
      <a:round/>
    </a:ln>
    <a:effectLst/>
  </c:spPr>
  <c:txPr>
    <a:bodyPr/>
    <a:lstStyle/>
    <a:p>
      <a:pPr>
        <a:defRPr lang="zh-CN" sz="1000">
          <a:solidFill>
            <a:sysClr val="windowText" lastClr="000000"/>
          </a:solidFill>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57156775071"/>
          <c:y val="0.0509259259259259"/>
          <c:w val="0.864787227081379"/>
          <c:h val="0.80242125984252"/>
        </c:manualLayout>
      </c:layout>
      <c:barChart>
        <c:barDir val="col"/>
        <c:grouping val="clustered"/>
        <c:varyColors val="0"/>
        <c:ser>
          <c:idx val="0"/>
          <c:order val="0"/>
          <c:tx>
            <c:strRef>
              <c:f>第三章现状分析!$B$53</c:f>
              <c:strCache>
                <c:ptCount val="1"/>
                <c:pt idx="0">
                  <c:v>农业用水量</c:v>
                </c:pt>
              </c:strCache>
            </c:strRef>
          </c:tx>
          <c:spPr>
            <a:pattFill prst="pct5">
              <a:fgClr>
                <a:schemeClr val="tx1"/>
              </a:fgClr>
              <a:bgClr>
                <a:schemeClr val="bg1"/>
              </a:bgClr>
            </a:pattFill>
            <a:ln>
              <a:solidFill>
                <a:schemeClr val="tx1"/>
              </a:solidFill>
            </a:ln>
            <a:effectLst/>
          </c:spPr>
          <c:invertIfNegative val="0"/>
          <c:dLbls>
            <c:delete val="1"/>
          </c:dLbls>
          <c:cat>
            <c:numRef>
              <c:f>第三章现状分析!$A$54:$A$58</c:f>
              <c:numCache>
                <c:formatCode>General</c:formatCode>
                <c:ptCount val="5"/>
                <c:pt idx="0">
                  <c:v>2019</c:v>
                </c:pt>
                <c:pt idx="1">
                  <c:v>2020</c:v>
                </c:pt>
                <c:pt idx="2">
                  <c:v>2021</c:v>
                </c:pt>
                <c:pt idx="3">
                  <c:v>2022</c:v>
                </c:pt>
                <c:pt idx="4">
                  <c:v>2023</c:v>
                </c:pt>
              </c:numCache>
            </c:numRef>
          </c:cat>
          <c:val>
            <c:numRef>
              <c:f>第三章现状分析!$B$54:$B$58</c:f>
              <c:numCache>
                <c:formatCode>General</c:formatCode>
                <c:ptCount val="5"/>
                <c:pt idx="0">
                  <c:v>7765</c:v>
                </c:pt>
                <c:pt idx="1">
                  <c:v>7912</c:v>
                </c:pt>
                <c:pt idx="2">
                  <c:v>5852</c:v>
                </c:pt>
                <c:pt idx="3" c:formatCode="0">
                  <c:v>6048</c:v>
                </c:pt>
                <c:pt idx="4" c:formatCode="0.0000">
                  <c:v>7248.151</c:v>
                </c:pt>
              </c:numCache>
            </c:numRef>
          </c:val>
        </c:ser>
        <c:ser>
          <c:idx val="1"/>
          <c:order val="1"/>
          <c:tx>
            <c:strRef>
              <c:f>第三章现状分析!$C$53</c:f>
              <c:strCache>
                <c:ptCount val="1"/>
                <c:pt idx="0">
                  <c:v>工业用水量</c:v>
                </c:pt>
              </c:strCache>
            </c:strRef>
          </c:tx>
          <c:spPr>
            <a:pattFill prst="pct25">
              <a:fgClr>
                <a:schemeClr val="tx1"/>
              </a:fgClr>
              <a:bgClr>
                <a:schemeClr val="bg1"/>
              </a:bgClr>
            </a:pattFill>
            <a:ln>
              <a:solidFill>
                <a:schemeClr val="tx1"/>
              </a:solidFill>
            </a:ln>
            <a:effectLst/>
          </c:spPr>
          <c:invertIfNegative val="0"/>
          <c:dLbls>
            <c:delete val="1"/>
          </c:dLbls>
          <c:cat>
            <c:numRef>
              <c:f>第三章现状分析!$A$54:$A$58</c:f>
              <c:numCache>
                <c:formatCode>General</c:formatCode>
                <c:ptCount val="5"/>
                <c:pt idx="0">
                  <c:v>2019</c:v>
                </c:pt>
                <c:pt idx="1">
                  <c:v>2020</c:v>
                </c:pt>
                <c:pt idx="2">
                  <c:v>2021</c:v>
                </c:pt>
                <c:pt idx="3">
                  <c:v>2022</c:v>
                </c:pt>
                <c:pt idx="4">
                  <c:v>2023</c:v>
                </c:pt>
              </c:numCache>
            </c:numRef>
          </c:cat>
          <c:val>
            <c:numRef>
              <c:f>第三章现状分析!$C$54:$C$58</c:f>
              <c:numCache>
                <c:formatCode>General</c:formatCode>
                <c:ptCount val="5"/>
                <c:pt idx="0">
                  <c:v>1068</c:v>
                </c:pt>
                <c:pt idx="1">
                  <c:v>1000</c:v>
                </c:pt>
                <c:pt idx="2">
                  <c:v>1044</c:v>
                </c:pt>
                <c:pt idx="3" c:formatCode="0">
                  <c:v>1033</c:v>
                </c:pt>
                <c:pt idx="4" c:formatCode="0.0000">
                  <c:v>1009.0455</c:v>
                </c:pt>
              </c:numCache>
            </c:numRef>
          </c:val>
        </c:ser>
        <c:ser>
          <c:idx val="2"/>
          <c:order val="2"/>
          <c:tx>
            <c:strRef>
              <c:f>第三章现状分析!$D$53</c:f>
              <c:strCache>
                <c:ptCount val="1"/>
                <c:pt idx="0">
                  <c:v>城镇公共用水量</c:v>
                </c:pt>
              </c:strCache>
            </c:strRef>
          </c:tx>
          <c:spPr>
            <a:pattFill prst="ltUpDiag">
              <a:fgClr>
                <a:schemeClr val="tx1"/>
              </a:fgClr>
              <a:bgClr>
                <a:schemeClr val="bg1"/>
              </a:bgClr>
            </a:pattFill>
            <a:ln>
              <a:solidFill>
                <a:schemeClr val="tx1"/>
              </a:solidFill>
            </a:ln>
            <a:effectLst/>
          </c:spPr>
          <c:invertIfNegative val="0"/>
          <c:dLbls>
            <c:delete val="1"/>
          </c:dLbls>
          <c:cat>
            <c:numRef>
              <c:f>第三章现状分析!$A$54:$A$58</c:f>
              <c:numCache>
                <c:formatCode>General</c:formatCode>
                <c:ptCount val="5"/>
                <c:pt idx="0">
                  <c:v>2019</c:v>
                </c:pt>
                <c:pt idx="1">
                  <c:v>2020</c:v>
                </c:pt>
                <c:pt idx="2">
                  <c:v>2021</c:v>
                </c:pt>
                <c:pt idx="3">
                  <c:v>2022</c:v>
                </c:pt>
                <c:pt idx="4">
                  <c:v>2023</c:v>
                </c:pt>
              </c:numCache>
            </c:numRef>
          </c:cat>
          <c:val>
            <c:numRef>
              <c:f>第三章现状分析!$D$54:$D$58</c:f>
              <c:numCache>
                <c:formatCode>General</c:formatCode>
                <c:ptCount val="5"/>
                <c:pt idx="0">
                  <c:v>273</c:v>
                </c:pt>
                <c:pt idx="1">
                  <c:v>167</c:v>
                </c:pt>
                <c:pt idx="2">
                  <c:v>246</c:v>
                </c:pt>
                <c:pt idx="3" c:formatCode="0">
                  <c:v>246</c:v>
                </c:pt>
                <c:pt idx="4" c:formatCode="0.0000">
                  <c:v>286.0036</c:v>
                </c:pt>
              </c:numCache>
            </c:numRef>
          </c:val>
        </c:ser>
        <c:ser>
          <c:idx val="3"/>
          <c:order val="3"/>
          <c:tx>
            <c:strRef>
              <c:f>第三章现状分析!$E$53</c:f>
              <c:strCache>
                <c:ptCount val="1"/>
                <c:pt idx="0">
                  <c:v>居民生活用水量</c:v>
                </c:pt>
              </c:strCache>
            </c:strRef>
          </c:tx>
          <c:spPr>
            <a:pattFill prst="ltHorz">
              <a:fgClr>
                <a:schemeClr val="tx1"/>
              </a:fgClr>
              <a:bgClr>
                <a:schemeClr val="bg1"/>
              </a:bgClr>
            </a:pattFill>
            <a:ln>
              <a:solidFill>
                <a:schemeClr val="tx1"/>
              </a:solidFill>
            </a:ln>
            <a:effectLst/>
          </c:spPr>
          <c:invertIfNegative val="0"/>
          <c:dLbls>
            <c:delete val="1"/>
          </c:dLbls>
          <c:cat>
            <c:numRef>
              <c:f>第三章现状分析!$A$54:$A$58</c:f>
              <c:numCache>
                <c:formatCode>General</c:formatCode>
                <c:ptCount val="5"/>
                <c:pt idx="0">
                  <c:v>2019</c:v>
                </c:pt>
                <c:pt idx="1">
                  <c:v>2020</c:v>
                </c:pt>
                <c:pt idx="2">
                  <c:v>2021</c:v>
                </c:pt>
                <c:pt idx="3">
                  <c:v>2022</c:v>
                </c:pt>
                <c:pt idx="4">
                  <c:v>2023</c:v>
                </c:pt>
              </c:numCache>
            </c:numRef>
          </c:cat>
          <c:val>
            <c:numRef>
              <c:f>第三章现状分析!$E$54:$E$58</c:f>
              <c:numCache>
                <c:formatCode>General</c:formatCode>
                <c:ptCount val="5"/>
                <c:pt idx="0">
                  <c:v>839</c:v>
                </c:pt>
                <c:pt idx="1">
                  <c:v>816</c:v>
                </c:pt>
                <c:pt idx="2">
                  <c:v>939</c:v>
                </c:pt>
                <c:pt idx="3" c:formatCode="0">
                  <c:v>947</c:v>
                </c:pt>
                <c:pt idx="4" c:formatCode="0.0000">
                  <c:v>942.3405</c:v>
                </c:pt>
              </c:numCache>
            </c:numRef>
          </c:val>
        </c:ser>
        <c:ser>
          <c:idx val="4"/>
          <c:order val="4"/>
          <c:tx>
            <c:strRef>
              <c:f>第三章现状分析!$F$53</c:f>
              <c:strCache>
                <c:ptCount val="1"/>
                <c:pt idx="0">
                  <c:v>生态与环境补水量</c:v>
                </c:pt>
              </c:strCache>
            </c:strRef>
          </c:tx>
          <c:spPr>
            <a:pattFill prst="ltVert">
              <a:fgClr>
                <a:schemeClr val="tx1"/>
              </a:fgClr>
              <a:bgClr>
                <a:schemeClr val="bg1"/>
              </a:bgClr>
            </a:pattFill>
            <a:ln>
              <a:solidFill>
                <a:schemeClr val="tx1"/>
              </a:solidFill>
            </a:ln>
            <a:effectLst/>
          </c:spPr>
          <c:invertIfNegative val="0"/>
          <c:dLbls>
            <c:delete val="1"/>
          </c:dLbls>
          <c:cat>
            <c:numRef>
              <c:f>第三章现状分析!$A$54:$A$58</c:f>
              <c:numCache>
                <c:formatCode>General</c:formatCode>
                <c:ptCount val="5"/>
                <c:pt idx="0">
                  <c:v>2019</c:v>
                </c:pt>
                <c:pt idx="1">
                  <c:v>2020</c:v>
                </c:pt>
                <c:pt idx="2">
                  <c:v>2021</c:v>
                </c:pt>
                <c:pt idx="3">
                  <c:v>2022</c:v>
                </c:pt>
                <c:pt idx="4">
                  <c:v>2023</c:v>
                </c:pt>
              </c:numCache>
            </c:numRef>
          </c:cat>
          <c:val>
            <c:numRef>
              <c:f>第三章现状分析!$F$54:$F$58</c:f>
              <c:numCache>
                <c:formatCode>General</c:formatCode>
                <c:ptCount val="5"/>
                <c:pt idx="0">
                  <c:v>1153</c:v>
                </c:pt>
                <c:pt idx="1">
                  <c:v>636</c:v>
                </c:pt>
                <c:pt idx="2">
                  <c:v>816</c:v>
                </c:pt>
                <c:pt idx="3" c:formatCode="0">
                  <c:v>878</c:v>
                </c:pt>
                <c:pt idx="4" c:formatCode="0.0000">
                  <c:v>924.3581</c:v>
                </c:pt>
              </c:numCache>
            </c:numRef>
          </c:val>
        </c:ser>
        <c:dLbls>
          <c:showLegendKey val="0"/>
          <c:showVal val="0"/>
          <c:showCatName val="0"/>
          <c:showSerName val="0"/>
          <c:showPercent val="0"/>
          <c:showBubbleSize val="0"/>
        </c:dLbls>
        <c:gapWidth val="219"/>
        <c:overlap val="-27"/>
        <c:axId val="1831883776"/>
        <c:axId val="1831882336"/>
      </c:barChart>
      <c:catAx>
        <c:axId val="18318837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lang="zh-CN" sz="9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p>
        </c:txPr>
        <c:crossAx val="1831882336"/>
        <c:crosses val="autoZero"/>
        <c:auto val="1"/>
        <c:lblAlgn val="ctr"/>
        <c:lblOffset val="100"/>
        <c:noMultiLvlLbl val="0"/>
      </c:catAx>
      <c:valAx>
        <c:axId val="1831882336"/>
        <c:scaling>
          <c:orientation val="minMax"/>
        </c:scaling>
        <c:delete val="0"/>
        <c:axPos val="l"/>
        <c:title>
          <c:tx>
            <c:rich>
              <a:bodyPr rot="-5400000" spcFirstLastPara="1" vertOverflow="ellipsis" vert="horz" wrap="square" anchor="ctr" anchorCtr="1"/>
              <a:lstStyle/>
              <a:p>
                <a:pPr>
                  <a:defRPr lang="zh-CN" sz="10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r>
                  <a:rPr lang="zh-CN" altLang="en-US"/>
                  <a:t>年用水量</a:t>
                </a:r>
                <a:r>
                  <a:rPr lang="en-US" altLang="zh-CN"/>
                  <a:t>/</a:t>
                </a:r>
                <a:r>
                  <a:rPr lang="zh-CN" altLang="en-US"/>
                  <a:t>万</a:t>
                </a:r>
                <a:r>
                  <a:rPr lang="en-US" altLang="zh-CN"/>
                  <a:t>m</a:t>
                </a:r>
                <a:r>
                  <a:rPr lang="en-US" altLang="zh-CN" baseline="30000"/>
                  <a:t>3</a:t>
                </a:r>
                <a:endParaRPr lang="zh-CN" altLang="en-US" baseline="30000"/>
              </a:p>
            </c:rich>
          </c:tx>
          <c:layout/>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lang="zh-CN" sz="9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p>
        </c:txPr>
        <c:crossAx val="1831883776"/>
        <c:crosses val="autoZero"/>
        <c:crossBetween val="between"/>
      </c:valAx>
      <c:spPr>
        <a:noFill/>
        <a:ln>
          <a:noFill/>
        </a:ln>
        <a:effectLst/>
      </c:spPr>
    </c:plotArea>
    <c:legend>
      <c:legendPos val="b"/>
      <c:layout>
        <c:manualLayout>
          <c:xMode val="edge"/>
          <c:yMode val="edge"/>
          <c:x val="0.000448411746315638"/>
          <c:y val="0.926549174427989"/>
          <c:w val="0.990317977912041"/>
          <c:h val="0.0734507144940216"/>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f8828199-175c-4054-84b6-7d4325a86f7c}"/>
      </c:ext>
    </c:extLst>
  </c:chart>
  <c:spPr>
    <a:solidFill>
      <a:schemeClr val="bg1"/>
    </a:solidFill>
    <a:ln w="9525" cap="flat" cmpd="sng" algn="ctr">
      <a:noFill/>
      <a:round/>
    </a:ln>
    <a:effectLst/>
  </c:spPr>
  <c:txPr>
    <a:bodyPr/>
    <a:lstStyle/>
    <a:p>
      <a:pPr>
        <a:defRPr lang="zh-CN">
          <a:solidFill>
            <a:schemeClr val="tx1"/>
          </a:solidFill>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10542432196"/>
          <c:y val="0.0743992417614465"/>
          <c:w val="0.474956692913386"/>
          <c:h val="0.791594488188976"/>
        </c:manualLayout>
      </c:layout>
      <c:pieChart>
        <c:varyColors val="1"/>
        <c:ser>
          <c:idx val="0"/>
          <c:order val="0"/>
          <c:spPr/>
          <c:explosion val="0"/>
          <c:dPt>
            <c:idx val="0"/>
            <c:bubble3D val="0"/>
            <c:spPr>
              <a:pattFill prst="pct5">
                <a:fgClr>
                  <a:schemeClr val="tx1"/>
                </a:fgClr>
                <a:bgClr>
                  <a:schemeClr val="bg1"/>
                </a:bgClr>
              </a:pattFill>
              <a:ln w="6350">
                <a:solidFill>
                  <a:schemeClr val="tx1"/>
                </a:solidFill>
              </a:ln>
              <a:effectLst/>
            </c:spPr>
          </c:dPt>
          <c:dPt>
            <c:idx val="1"/>
            <c:bubble3D val="0"/>
            <c:spPr>
              <a:pattFill prst="pct25">
                <a:fgClr>
                  <a:schemeClr val="tx1"/>
                </a:fgClr>
                <a:bgClr>
                  <a:schemeClr val="bg1"/>
                </a:bgClr>
              </a:pattFill>
              <a:ln w="6350">
                <a:solidFill>
                  <a:schemeClr val="tx1"/>
                </a:solidFill>
              </a:ln>
              <a:effectLst/>
            </c:spPr>
          </c:dPt>
          <c:dPt>
            <c:idx val="2"/>
            <c:bubble3D val="0"/>
            <c:spPr>
              <a:pattFill prst="ltUpDiag">
                <a:fgClr>
                  <a:schemeClr val="tx1"/>
                </a:fgClr>
                <a:bgClr>
                  <a:schemeClr val="bg1"/>
                </a:bgClr>
              </a:pattFill>
              <a:ln w="6350">
                <a:solidFill>
                  <a:schemeClr val="tx1"/>
                </a:solidFill>
              </a:ln>
              <a:effectLst/>
            </c:spPr>
          </c:dPt>
          <c:dPt>
            <c:idx val="3"/>
            <c:bubble3D val="0"/>
            <c:spPr>
              <a:pattFill prst="ltHorz">
                <a:fgClr>
                  <a:schemeClr val="tx1"/>
                </a:fgClr>
                <a:bgClr>
                  <a:schemeClr val="bg1"/>
                </a:bgClr>
              </a:pattFill>
              <a:ln w="6350">
                <a:solidFill>
                  <a:schemeClr val="tx1"/>
                </a:solidFill>
              </a:ln>
              <a:effectLst/>
            </c:spPr>
          </c:dPt>
          <c:dPt>
            <c:idx val="4"/>
            <c:bubble3D val="0"/>
            <c:spPr>
              <a:pattFill prst="pct80">
                <a:fgClr>
                  <a:schemeClr val="tx1"/>
                </a:fgClr>
                <a:bgClr>
                  <a:schemeClr val="bg1"/>
                </a:bgClr>
              </a:pattFill>
              <a:ln w="6350">
                <a:solidFill>
                  <a:schemeClr val="tx1"/>
                </a:solidFill>
              </a:ln>
              <a:effectLst/>
            </c:spPr>
          </c:dPt>
          <c:dLbls>
            <c:dLbl>
              <c:idx val="0"/>
              <c:layout>
                <c:manualLayout>
                  <c:x val="0.0054737532808399"/>
                  <c:y val="-0.041522674249052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0398009623797025"/>
                  <c:y val="-0.00978091280256635"/>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0213035870516185"/>
                  <c:y val="0.01161271507728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Times New Roman" panose="02020603050405020304" charset="0"/>
                    <a:ea typeface="宋体" panose="02010600030101010101" charset="-122"/>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 (2)'!$B$51:$F$51</c:f>
              <c:strCache>
                <c:ptCount val="5"/>
                <c:pt idx="0">
                  <c:v>农业用水量</c:v>
                </c:pt>
                <c:pt idx="1">
                  <c:v>工业用水量</c:v>
                </c:pt>
                <c:pt idx="2">
                  <c:v>城镇公共用水量</c:v>
                </c:pt>
                <c:pt idx="3">
                  <c:v>居民生活用水量</c:v>
                </c:pt>
                <c:pt idx="4">
                  <c:v>生态与环境补水量</c:v>
                </c:pt>
              </c:strCache>
            </c:strRef>
          </c:cat>
          <c:val>
            <c:numRef>
              <c:f>'Sheet1 (2)'!$B$60:$F$60</c:f>
              <c:numCache>
                <c:formatCode>0.0%</c:formatCode>
                <c:ptCount val="5"/>
                <c:pt idx="0">
                  <c:v>0.696274883059141</c:v>
                </c:pt>
                <c:pt idx="1">
                  <c:v>0.0969313466998483</c:v>
                </c:pt>
                <c:pt idx="2">
                  <c:v>0.0274741962666745</c:v>
                </c:pt>
                <c:pt idx="3">
                  <c:v>0.0905235033651192</c:v>
                </c:pt>
                <c:pt idx="4">
                  <c:v>0.0887960706092174</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00334514435695539"/>
          <c:y val="0.921874453193351"/>
          <c:w val="0.986907261592301"/>
          <c:h val="0.0734507144940216"/>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b3d42b0b-23f3-4b13-b433-ec93bdafd206}"/>
      </c:ext>
    </c:extLst>
  </c:chart>
  <c:spPr>
    <a:solidFill>
      <a:schemeClr val="bg1"/>
    </a:solidFill>
    <a:ln w="9525" cap="flat" cmpd="sng" algn="ctr">
      <a:noFill/>
      <a:round/>
    </a:ln>
    <a:effectLst/>
  </c:spPr>
  <c:txPr>
    <a:bodyPr/>
    <a:lstStyle/>
    <a:p>
      <a:pPr>
        <a:defRPr lang="zh-CN">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565304336958"/>
          <c:y val="0.10385190178076"/>
          <c:w val="0.569187101612298"/>
          <c:h val="0.775157531378617"/>
        </c:manualLayout>
      </c:layout>
      <c:pieChart>
        <c:varyColors val="1"/>
        <c:ser>
          <c:idx val="0"/>
          <c:order val="0"/>
          <c:spPr>
            <a:solidFill>
              <a:schemeClr val="tx1"/>
            </a:solidFill>
            <a:ln w="9525">
              <a:solidFill>
                <a:schemeClr val="tx1"/>
              </a:solidFill>
            </a:ln>
          </c:spPr>
          <c:explosion val="0"/>
          <c:dPt>
            <c:idx val="0"/>
            <c:bubble3D val="0"/>
            <c:spPr>
              <a:pattFill prst="pct5">
                <a:fgClr>
                  <a:schemeClr val="tx1"/>
                </a:fgClr>
                <a:bgClr>
                  <a:schemeClr val="bg1"/>
                </a:bgClr>
              </a:pattFill>
              <a:ln w="9525">
                <a:solidFill>
                  <a:schemeClr val="tx1"/>
                </a:solidFill>
              </a:ln>
              <a:effectLst/>
            </c:spPr>
          </c:dPt>
          <c:dPt>
            <c:idx val="1"/>
            <c:bubble3D val="0"/>
            <c:spPr>
              <a:pattFill prst="ltDnDiag">
                <a:fgClr>
                  <a:schemeClr val="tx1"/>
                </a:fgClr>
                <a:bgClr>
                  <a:schemeClr val="bg1"/>
                </a:bgClr>
              </a:pattFill>
              <a:ln w="9525">
                <a:solidFill>
                  <a:schemeClr val="tx1"/>
                </a:solidFill>
              </a:ln>
              <a:effectLst/>
            </c:spPr>
          </c:dPt>
          <c:dPt>
            <c:idx val="2"/>
            <c:bubble3D val="0"/>
            <c:spPr>
              <a:pattFill prst="ltHorz">
                <a:fgClr>
                  <a:schemeClr val="tx1"/>
                </a:fgClr>
                <a:bgClr>
                  <a:schemeClr val="bg1"/>
                </a:bgClr>
              </a:pattFill>
              <a:ln w="9525">
                <a:solidFill>
                  <a:schemeClr val="tx1"/>
                </a:solidFill>
              </a:ln>
              <a:effectLst/>
            </c:spPr>
          </c:dPt>
          <c:dPt>
            <c:idx val="3"/>
            <c:bubble3D val="0"/>
            <c:spPr>
              <a:pattFill prst="dashHorz">
                <a:fgClr>
                  <a:schemeClr val="tx1"/>
                </a:fgClr>
                <a:bgClr>
                  <a:schemeClr val="bg1"/>
                </a:bgClr>
              </a:pattFill>
              <a:ln w="9525">
                <a:solidFill>
                  <a:schemeClr val="tx1"/>
                </a:solidFill>
              </a:ln>
              <a:effectLst/>
            </c:spPr>
          </c:dPt>
          <c:dLbls>
            <c:dLbl>
              <c:idx val="0"/>
              <c:layout>
                <c:manualLayout>
                  <c:x val="0.00172018536745407"/>
                  <c:y val="-0.0137146398366871"/>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341473917322835"/>
                  <c:y val="-0.0579272382618839"/>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0491572342519685"/>
                  <c:y val="0.0194506415864684"/>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575756643700787"/>
                  <c:y val="-0.00687299504228638"/>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zh-CN" sz="100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第四章!$E$53:$H$53</c:f>
              <c:strCache>
                <c:ptCount val="4"/>
                <c:pt idx="0">
                  <c:v>工业用水</c:v>
                </c:pt>
                <c:pt idx="1">
                  <c:v>城市杂用水</c:v>
                </c:pt>
                <c:pt idx="2">
                  <c:v>生态环境补水</c:v>
                </c:pt>
                <c:pt idx="3">
                  <c:v>管网漏损量</c:v>
                </c:pt>
              </c:strCache>
            </c:strRef>
          </c:cat>
          <c:val>
            <c:numRef>
              <c:f>第四章!$E$54:$H$54</c:f>
              <c:numCache>
                <c:formatCode>0.0%</c:formatCode>
                <c:ptCount val="4"/>
                <c:pt idx="0">
                  <c:v>0.286937901498929</c:v>
                </c:pt>
                <c:pt idx="1">
                  <c:v>0.264810849393291</c:v>
                </c:pt>
                <c:pt idx="2">
                  <c:v>0.428265524625268</c:v>
                </c:pt>
                <c:pt idx="3">
                  <c:v>0.0199857244825125</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0785714285714286"/>
          <c:y val="0.926657270953971"/>
          <c:w val="0.9"/>
          <c:h val="0.0733427290460288"/>
        </c:manualLayout>
      </c:layout>
      <c:overlay val="0"/>
      <c:spPr>
        <a:noFill/>
        <a:ln>
          <a:noFill/>
        </a:ln>
        <a:effectLst/>
      </c:spPr>
      <c:txPr>
        <a:bodyPr rot="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dd642a4f-dd62-4e3b-a1f0-52df70c405d0}"/>
      </c:ext>
    </c:extLst>
  </c:chart>
  <c:spPr>
    <a:solidFill>
      <a:schemeClr val="bg1"/>
    </a:solidFill>
    <a:ln w="9525" cap="flat" cmpd="sng" algn="ctr">
      <a:noFill/>
      <a:round/>
    </a:ln>
    <a:effectLst/>
  </c:spPr>
  <c:txPr>
    <a:bodyPr/>
    <a:lstStyle/>
    <a:p>
      <a:pPr>
        <a:defRPr lang="zh-CN" sz="1000">
          <a:solidFill>
            <a:sysClr val="windowText" lastClr="000000"/>
          </a:solidFill>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238587751482"/>
          <c:y val="0.0652155556775648"/>
          <c:w val="0.437293580106914"/>
          <c:h val="0.750517329839661"/>
        </c:manualLayout>
      </c:layout>
      <c:pieChart>
        <c:varyColors val="1"/>
        <c:ser>
          <c:idx val="0"/>
          <c:order val="0"/>
          <c:spPr>
            <a:ln w="9525">
              <a:solidFill>
                <a:schemeClr val="tx1"/>
              </a:solidFill>
            </a:ln>
          </c:spPr>
          <c:explosion val="0"/>
          <c:dPt>
            <c:idx val="0"/>
            <c:bubble3D val="0"/>
            <c:spPr>
              <a:pattFill prst="pct5">
                <a:fgClr>
                  <a:schemeClr val="tx1"/>
                </a:fgClr>
                <a:bgClr>
                  <a:schemeClr val="bg1"/>
                </a:bgClr>
              </a:pattFill>
              <a:ln w="9525">
                <a:solidFill>
                  <a:schemeClr val="tx1"/>
                </a:solidFill>
              </a:ln>
              <a:effectLst/>
            </c:spPr>
          </c:dPt>
          <c:dPt>
            <c:idx val="1"/>
            <c:bubble3D val="0"/>
            <c:spPr>
              <a:pattFill prst="pct25">
                <a:fgClr>
                  <a:schemeClr val="tx1"/>
                </a:fgClr>
                <a:bgClr>
                  <a:schemeClr val="bg1"/>
                </a:bgClr>
              </a:pattFill>
              <a:ln w="9525">
                <a:solidFill>
                  <a:schemeClr val="tx1"/>
                </a:solidFill>
              </a:ln>
              <a:effectLst/>
            </c:spPr>
          </c:dPt>
          <c:dPt>
            <c:idx val="2"/>
            <c:bubble3D val="0"/>
            <c:spPr>
              <a:pattFill prst="ltHorz">
                <a:fgClr>
                  <a:schemeClr val="tx1"/>
                </a:fgClr>
                <a:bgClr>
                  <a:schemeClr val="bg1"/>
                </a:bgClr>
              </a:pattFill>
              <a:ln w="9525">
                <a:solidFill>
                  <a:schemeClr val="tx1"/>
                </a:solidFill>
              </a:ln>
              <a:effectLst/>
            </c:spPr>
          </c:dPt>
          <c:dPt>
            <c:idx val="3"/>
            <c:bubble3D val="0"/>
            <c:spPr>
              <a:pattFill prst="dashVert">
                <a:fgClr>
                  <a:schemeClr val="tx1"/>
                </a:fgClr>
                <a:bgClr>
                  <a:schemeClr val="bg1"/>
                </a:bgClr>
              </a:pattFill>
              <a:ln w="9525">
                <a:solidFill>
                  <a:schemeClr val="tx1"/>
                </a:solidFill>
              </a:ln>
              <a:effectLst/>
            </c:spPr>
          </c:dPt>
          <c:dLbls>
            <c:dLbl>
              <c:idx val="0"/>
              <c:layout>
                <c:manualLayout>
                  <c:x val="0.0231597563976378"/>
                  <c:y val="0.0575900408282298"/>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0823972687007874"/>
                  <c:y val="0.0002241907261592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0135447424540682"/>
                  <c:y val="0.0079330708661417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lstStyle/>
              <a:p>
                <a:pPr>
                  <a:defRPr lang="zh-CN" sz="100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第四章!$E$53:$H$53</c:f>
              <c:strCache>
                <c:ptCount val="4"/>
                <c:pt idx="0">
                  <c:v>工业用水</c:v>
                </c:pt>
                <c:pt idx="1">
                  <c:v>城市杂用水</c:v>
                </c:pt>
                <c:pt idx="2">
                  <c:v>生态环境补水</c:v>
                </c:pt>
                <c:pt idx="3">
                  <c:v>管网漏损量</c:v>
                </c:pt>
              </c:strCache>
            </c:strRef>
          </c:cat>
          <c:val>
            <c:numRef>
              <c:f>第四章!$E$55:$H$55</c:f>
              <c:numCache>
                <c:formatCode>0.0%</c:formatCode>
                <c:ptCount val="4"/>
                <c:pt idx="0">
                  <c:v>0.380087132079481</c:v>
                </c:pt>
                <c:pt idx="1">
                  <c:v>0.228031027520986</c:v>
                </c:pt>
                <c:pt idx="2">
                  <c:v>0.371905217298906</c:v>
                </c:pt>
                <c:pt idx="3">
                  <c:v>0.0199766231006269</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153450593537354"/>
          <c:y val="0.918421864735049"/>
          <c:w val="0.693098623327032"/>
          <c:h val="0.0815781352649505"/>
        </c:manualLayout>
      </c:layout>
      <c:overlay val="0"/>
      <c:spPr>
        <a:noFill/>
        <a:ln>
          <a:noFill/>
        </a:ln>
        <a:effectLst/>
      </c:spPr>
      <c:txPr>
        <a:bodyPr rot="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宋体" panose="02010600030101010101" charset="-122"/>
              <a:cs typeface="Times New Roman" panose="02020603050405020304" charset="0"/>
            </a:defRPr>
          </a:pPr>
        </a:p>
      </c:txPr>
    </c:legend>
    <c:plotVisOnly val="1"/>
    <c:dispBlanksAs val="gap"/>
    <c:showDLblsOverMax val="0"/>
    <c:extLst>
      <c:ext uri="{0b15fc19-7d7d-44ad-8c2d-2c3a37ce22c3}">
        <chartProps xmlns="https://web.wps.cn/et/2018/main" chartId="{a8c4aecb-db25-4bc5-91d2-5dda0182a71b}"/>
      </c:ext>
    </c:extLst>
  </c:chart>
  <c:spPr>
    <a:solidFill>
      <a:schemeClr val="bg1"/>
    </a:solidFill>
    <a:ln w="9525" cap="flat" cmpd="sng" algn="ctr">
      <a:noFill/>
      <a:round/>
    </a:ln>
    <a:effectLst/>
  </c:spPr>
  <c:txPr>
    <a:bodyPr/>
    <a:lstStyle/>
    <a:p>
      <a:pPr>
        <a:defRPr lang="zh-CN" sz="1000">
          <a:solidFill>
            <a:sysClr val="windowText" lastClr="000000"/>
          </a:solidFill>
          <a:latin typeface="Times New Roman" panose="02020603050405020304" charset="0"/>
          <a:ea typeface="宋体" panose="02010600030101010101" charset="-122"/>
          <a:cs typeface="Times New Roman" panose="02020603050405020304"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66"/>
    <customShpInfo spid="_x0000_s2065"/>
    <customShpInfo spid="_x0000_s2091"/>
    <customShpInfo spid="_x0000_s2053"/>
    <customShpInfo spid="_x0000_s2054"/>
    <customShpInfo spid="_x0000_s2090"/>
    <customShpInfo spid="_x0000_s2089"/>
    <customShpInfo spid="_x0000_s2052"/>
    <customShpInfo spid="_x0000_s2088"/>
    <customShpInfo spid="_x0000_s2051"/>
    <customShpInfo spid="_x0000_s2050"/>
    <customShpInfo spid="_x0000_s2061"/>
    <customShpInfo spid="_x0000_s2105"/>
    <customShpInfo spid="_x0000_s2104"/>
    <customShpInfo spid="_x0000_s2077"/>
    <customShpInfo spid="_x0000_s2078"/>
    <customShpInfo spid="_x0000_s2099"/>
    <customShpInfo spid="_x0000_s2070"/>
    <customShpInfo spid="_x0000_s2098"/>
    <customShpInfo spid="_x0000_s2085"/>
    <customShpInfo spid="_x0000_s2097"/>
    <customShpInfo spid="_x0000_s2069"/>
    <customShpInfo spid="_x0000_s2071"/>
    <customShpInfo spid="_x0000_s2100"/>
    <customShpInfo spid="_x0000_s2101"/>
    <customShpInfo spid="_x0000_s2083"/>
    <customShpInfo spid="_x0000_s2103"/>
    <customShpInfo spid="_x0000_s2081"/>
    <customShpInfo spid="_x0000_s2102"/>
    <customShpInfo spid="_x0000_s2079"/>
    <customShpInfo spid="_x0000_s2096"/>
    <customShpInfo spid="_x0000_s2068"/>
    <customShpInfo spid="_x0000_s2067"/>
    <customShpInfo spid="_x0000_s2095"/>
    <customShpInfo spid="_x0000_s2113"/>
    <customShpInfo spid="_x0000_s2127"/>
    <customShpInfo spid="_x0000_s2124"/>
    <customShpInfo spid="_x0000_s2118"/>
    <customShpInfo spid="_x0000_s2119"/>
    <customShpInfo spid="_x0000_s2173"/>
    <customShpInfo spid="_x0000_s2171"/>
    <customShpInfo spid="_x0000_s2172"/>
    <customShpInfo spid="_x0000_s2149"/>
    <customShpInfo spid="_x0000_s2147"/>
    <customShpInfo spid="_x0000_s2167"/>
    <customShpInfo spid="_x0000_s2152"/>
    <customShpInfo spid="_x0000_s2137"/>
    <customShpInfo spid="_x0000_s2166"/>
    <customShpInfo spid="_x0000_s2165"/>
    <customShpInfo spid="_x0000_s2169"/>
    <customShpInfo spid="_x0000_s2156"/>
    <customShpInfo spid="_x0000_s2144"/>
    <customShpInfo spid="_x0000_s2157"/>
    <customShpInfo spid="_x0000_s2145"/>
    <customShpInfo spid="_x0000_s2158"/>
    <customShpInfo spid="_x0000_s2159"/>
    <customShpInfo spid="_x0000_s2146"/>
    <customShpInfo spid="_x0000_s2160"/>
    <customShpInfo spid="_x0000_s2162"/>
    <customShpInfo spid="_x0000_s2161"/>
    <customShpInfo spid="_x0000_s2155"/>
    <customShpInfo spid="_x0000_s2154"/>
    <customShpInfo spid="_x0000_s2143"/>
    <customShpInfo spid="_x0000_s2142"/>
    <customShpInfo spid="_x0000_s2153"/>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4F3C28-7858-45CB-BC29-976494004A7C}">
  <ds:schemaRefs/>
</ds:datastoreItem>
</file>

<file path=docProps/app.xml><?xml version="1.0" encoding="utf-8"?>
<Properties xmlns="http://schemas.openxmlformats.org/officeDocument/2006/extended-properties" xmlns:vt="http://schemas.openxmlformats.org/officeDocument/2006/docPropsVTypes">
  <Template>Normal</Template>
  <Company>Hewlett-Packard Company</Company>
  <Pages>164</Pages>
  <Words>1353</Words>
  <Characters>1502</Characters>
  <Lines>639</Lines>
  <Paragraphs>179</Paragraphs>
  <TotalTime>22236</TotalTime>
  <ScaleCrop>false</ScaleCrop>
  <LinksUpToDate>false</LinksUpToDate>
  <CharactersWithSpaces>1641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2020-08-03T14:38:00Z</dcterms:created>
  <dc:creator>王通</dc:creator>
  <cp:lastModifiedBy>柠檬</cp:lastModifiedBy>
  <cp:lastPrinted>2025-04-15T05:44:00Z</cp:lastPrinted>
  <dcterms:modified xsi:type="dcterms:W3CDTF">2025-07-30T06:49:52Z</dcterms:modified>
  <dc:title>平阴县节约用水规划</dc:title>
  <cp:revision>188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B071ED066F4E44638E3967CEF53A6CF0</vt:lpwstr>
  </property>
  <property fmtid="{D5CDD505-2E9C-101B-9397-08002B2CF9AE}" pid="4" name="KSOTemplateDocerSaveRecord">
    <vt:lpwstr>eyJoZGlkIjoiZjQxY2VhZDcyODM1MGQyOTE3ZDhlYjMyZjRmNjRlYWIiLCJ1c2VySWQiOiIxMTQ2MTI4NzYxIn0=</vt:lpwstr>
  </property>
</Properties>
</file>