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3DD74">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平阴县发展和改革局2025年</w:t>
      </w:r>
    </w:p>
    <w:p w14:paraId="349A6E48">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政务公开工作实施方案</w:t>
      </w:r>
    </w:p>
    <w:p w14:paraId="2872012C">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kern w:val="0"/>
          <w:sz w:val="44"/>
          <w:szCs w:val="44"/>
          <w:lang w:val="en-US" w:eastAsia="zh-CN"/>
        </w:rPr>
      </w:pPr>
    </w:p>
    <w:p w14:paraId="15A48168">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为深入贯彻习近平新时代中国特色社会主义思想和党的二十大及二十届四中全会精神，全面落实国家、省、市关于新时代政务公开工作的最新部署，以政务公开赋能基层治理现代化，助力平阴县高质量发展，根据《中华人民共和国政府信息公开条例》及省市最新工作要求，结合我局年度工作重点，制定本实施方案。</w:t>
      </w:r>
    </w:p>
    <w:p w14:paraId="504F90B7">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一、构建主动公开体系，提升公开效能</w:t>
      </w:r>
    </w:p>
    <w:p w14:paraId="759E87FF">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（一）聚焦需求导向，动态优化公开重点。</w:t>
      </w:r>
      <w:r>
        <w:rPr>
          <w:rFonts w:hint="default" w:ascii="仿宋_GB2312" w:hAnsi="仿宋_GB2312" w:eastAsia="仿宋_GB2312" w:cs="仿宋_GB2312"/>
          <w:b w:val="0"/>
          <w:bCs w:val="0"/>
          <w:kern w:val="0"/>
          <w:sz w:val="32"/>
          <w:szCs w:val="32"/>
          <w:lang w:val="en-US" w:eastAsia="zh-CN" w:bidi="ar-SA"/>
        </w:rPr>
        <w:t>依托大数据分析技术，建立 “群众需求画像”，实时追踪企业群众对政务信息的关注度和高频查询内容，动态调整主动公开清单。重点围绕</w:t>
      </w:r>
      <w:r>
        <w:rPr>
          <w:rFonts w:hint="eastAsia" w:ascii="仿宋_GB2312" w:hAnsi="仿宋_GB2312" w:eastAsia="仿宋_GB2312" w:cs="仿宋_GB2312"/>
          <w:b w:val="0"/>
          <w:bCs w:val="0"/>
          <w:kern w:val="0"/>
          <w:sz w:val="32"/>
          <w:szCs w:val="32"/>
          <w:lang w:val="en-US" w:eastAsia="zh-CN" w:bidi="ar-SA"/>
        </w:rPr>
        <w:t>扩大</w:t>
      </w:r>
      <w:r>
        <w:rPr>
          <w:rFonts w:hint="default" w:ascii="仿宋_GB2312" w:hAnsi="仿宋_GB2312" w:eastAsia="仿宋_GB2312" w:cs="仿宋_GB2312"/>
          <w:b w:val="0"/>
          <w:bCs w:val="0"/>
          <w:kern w:val="0"/>
          <w:sz w:val="32"/>
          <w:szCs w:val="32"/>
          <w:lang w:val="en-US" w:eastAsia="zh-CN" w:bidi="ar-SA"/>
        </w:rPr>
        <w:t>有效投资、招商引资、对外开放、绿色低碳高质量发展等方面的重要政策深化公开</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此外，对于各相关领域的消费支持政策，要切实抓好信息发布与舆论引导事宜。</w:t>
      </w:r>
    </w:p>
    <w:p w14:paraId="720DAC7D">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（二）推进重大事项全流程数字化公开</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构建全生命周期的管理服务体系并不断优化，全面促进国家重大战略、高质量产业、重点基础设施、水利工程、防灾减灾、民生保障等领域重大建设项目，将其批准信息与实施信息予以公开。</w:t>
      </w:r>
    </w:p>
    <w:p w14:paraId="5F6444D1">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（三）深化监管信息 “穿透式” 公开</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优化 “双随机、一公开” 监管结果公示机制，将抽查对象、检查内容、处理结果等信息与企业信用档案联动，实现 “一次检查、全平台公开、多部门共享”。公开行政许可 “负面清单” 及动态调整情况，明确禁止和限制事项，为市场主体提供清晰指引。</w:t>
      </w:r>
    </w:p>
    <w:p w14:paraId="37151F79">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二、创新政策解读模式，增强传播实效</w:t>
      </w:r>
    </w:p>
    <w:p w14:paraId="232EBC52">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（四）实施分众化解读策略</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针对不同受众群体定制解读内容：对企业：聚焦税收优惠、融资支持等政策，制作 “政策计算器”，帮助企业快速测算获益；对老年人：采用图文结合、语音解读等形式，简化</w:t>
      </w:r>
      <w:r>
        <w:rPr>
          <w:rFonts w:hint="eastAsia" w:ascii="仿宋_GB2312" w:hAnsi="仿宋_GB2312" w:eastAsia="仿宋_GB2312" w:cs="仿宋_GB2312"/>
          <w:b w:val="0"/>
          <w:bCs w:val="0"/>
          <w:kern w:val="0"/>
          <w:sz w:val="32"/>
          <w:szCs w:val="32"/>
          <w:lang w:val="en-US" w:eastAsia="zh-CN" w:bidi="ar-SA"/>
        </w:rPr>
        <w:t>相关</w:t>
      </w:r>
      <w:r>
        <w:rPr>
          <w:rFonts w:hint="default" w:ascii="仿宋_GB2312" w:hAnsi="仿宋_GB2312" w:eastAsia="仿宋_GB2312" w:cs="仿宋_GB2312"/>
          <w:b w:val="0"/>
          <w:bCs w:val="0"/>
          <w:kern w:val="0"/>
          <w:sz w:val="32"/>
          <w:szCs w:val="32"/>
          <w:lang w:val="en-US" w:eastAsia="zh-CN" w:bidi="ar-SA"/>
        </w:rPr>
        <w:t>政策的办理流程说明。</w:t>
      </w:r>
    </w:p>
    <w:p w14:paraId="023EA72A">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（五）推动重大决策过程中的公众参与。</w:t>
      </w:r>
      <w:r>
        <w:rPr>
          <w:rFonts w:hint="default" w:ascii="仿宋_GB2312" w:hAnsi="仿宋_GB2312" w:eastAsia="仿宋_GB2312" w:cs="仿宋_GB2312"/>
          <w:b w:val="0"/>
          <w:bCs w:val="0"/>
          <w:kern w:val="0"/>
          <w:sz w:val="32"/>
          <w:szCs w:val="32"/>
          <w:lang w:val="en-US" w:eastAsia="zh-CN" w:bidi="ar-SA"/>
        </w:rPr>
        <w:t>严格执行重大决策公众参与的相关程序，完善公众参与政策制定的机制。在制定涉及重大公共利益的政策时，除了依法需要保密的情况，要通过征求意见、举办听证会和座谈会、实地走访、开展民意调查等多种形式，让更多公众参与进来。在制定与企业相关的政策时，要主动征求相关企业的意见。尝试建立政务公开监督员制度，鼓励监督员积极向政务公开工作机构反馈企业和群众的意见与建议。</w:t>
      </w:r>
    </w:p>
    <w:p w14:paraId="07AA4BA2">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（六）增强政民互动交流的实际效果。</w:t>
      </w:r>
      <w:r>
        <w:rPr>
          <w:rFonts w:hint="default" w:ascii="仿宋_GB2312" w:hAnsi="仿宋_GB2312" w:eastAsia="仿宋_GB2312" w:cs="仿宋_GB2312"/>
          <w:b w:val="0"/>
          <w:bCs w:val="0"/>
          <w:kern w:val="0"/>
          <w:sz w:val="32"/>
          <w:szCs w:val="32"/>
          <w:lang w:val="en-US" w:eastAsia="zh-CN" w:bidi="ar-SA"/>
        </w:rPr>
        <w:t>围绕企业和群众重点关注的事项，组织开展政府开放活动，精心设计活动议题，通过线上线下相结合的方式，让企业和群众能够更顺畅地反映诉求。支持通过公开征集意见的方式来确定政府开放活动的主题和举办场次，促进政府开放活动常态化开展。做好在线访谈、民生连线、意见征集等互动渠道的统筹建设，严格遵守各渠道的办理时间规定，及时向社会公开公众意见建议的采纳情况。加强对收集到的意见建议的分析和研究，在作出公开决策时充分考虑这些意见，并将意见的吸收采纳情况向社会公开。</w:t>
      </w:r>
    </w:p>
    <w:p w14:paraId="694A42CB">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三、深化政民互动机制，拓宽参与渠道</w:t>
      </w:r>
    </w:p>
    <w:p w14:paraId="32D80E02">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w:t>
      </w:r>
      <w:r>
        <w:rPr>
          <w:rFonts w:hint="eastAsia" w:ascii="楷体" w:hAnsi="楷体" w:eastAsia="楷体" w:cs="楷体"/>
          <w:b w:val="0"/>
          <w:bCs w:val="0"/>
          <w:kern w:val="0"/>
          <w:sz w:val="32"/>
          <w:szCs w:val="32"/>
          <w:lang w:val="en-US" w:eastAsia="zh-CN" w:bidi="ar-SA"/>
        </w:rPr>
        <w:t>七</w:t>
      </w:r>
      <w:r>
        <w:rPr>
          <w:rFonts w:hint="default" w:ascii="楷体" w:hAnsi="楷体" w:eastAsia="楷体" w:cs="楷体"/>
          <w:b w:val="0"/>
          <w:bCs w:val="0"/>
          <w:kern w:val="0"/>
          <w:sz w:val="32"/>
          <w:szCs w:val="32"/>
          <w:lang w:val="en-US" w:eastAsia="zh-CN" w:bidi="ar-SA"/>
        </w:rPr>
        <w:t>）升级政府开放日 “互动场景”</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借助线上线下相结合的模式，打通企业和群众表达诉求的通道。倡导通过公开征集意见的办法，来确定政府开放活动的主题与举办次数，促使政府开放活动形成常态。统筹推进在线访谈、民生连线、意见征集等互动渠道的建设工作，严格遵守各渠道的办理时间要求，第一时间向社会公开公众意见建议的采纳情况。深入分析研究收集到的意见建议，在作出公开决策时加以考量，并将意见建议的吸收采纳情况向社会公布。</w:t>
      </w:r>
    </w:p>
    <w:p w14:paraId="4182BBD7">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四、优化依申请公开服务，提升办理质效</w:t>
      </w:r>
    </w:p>
    <w:p w14:paraId="3BD27765">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w:t>
      </w:r>
      <w:r>
        <w:rPr>
          <w:rFonts w:hint="eastAsia" w:ascii="楷体" w:hAnsi="楷体" w:eastAsia="楷体" w:cs="楷体"/>
          <w:b w:val="0"/>
          <w:bCs w:val="0"/>
          <w:kern w:val="0"/>
          <w:sz w:val="32"/>
          <w:szCs w:val="32"/>
          <w:lang w:val="en-US" w:eastAsia="zh-CN" w:bidi="ar-SA"/>
        </w:rPr>
        <w:t>八</w:t>
      </w:r>
      <w:r>
        <w:rPr>
          <w:rFonts w:hint="default" w:ascii="楷体" w:hAnsi="楷体" w:eastAsia="楷体" w:cs="楷体"/>
          <w:b w:val="0"/>
          <w:bCs w:val="0"/>
          <w:kern w:val="0"/>
          <w:sz w:val="32"/>
          <w:szCs w:val="32"/>
          <w:lang w:val="en-US" w:eastAsia="zh-CN" w:bidi="ar-SA"/>
        </w:rPr>
        <w:t>）规范依申请公开办理工作。</w:t>
      </w:r>
      <w:r>
        <w:rPr>
          <w:rFonts w:hint="default" w:ascii="仿宋_GB2312" w:hAnsi="仿宋_GB2312" w:eastAsia="仿宋_GB2312" w:cs="仿宋_GB2312"/>
          <w:b w:val="0"/>
          <w:bCs w:val="0"/>
          <w:kern w:val="0"/>
          <w:sz w:val="32"/>
          <w:szCs w:val="32"/>
          <w:lang w:val="en-US" w:eastAsia="zh-CN" w:bidi="ar-SA"/>
        </w:rPr>
        <w:t>严格按照全省 “依申请公开质效提升年” 活动的部署安排，全力提高全县依申请公开的办理质量与效率。秉持求真务实的原则，强化暖心服务理念，主动与申请人加强沟通，提供便捷的解答、指引及服务，切实推动申请人合理诉求得到根本性解决。针对征地拆迁、项目建设、社会保障等企业和群众高度关注的领域，开展深入研究分析，积极促进那些申请较为集中的政府信息，从依申请公开转变为主动公开。</w:t>
      </w:r>
    </w:p>
    <w:p w14:paraId="3A744949">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w:t>
      </w:r>
      <w:r>
        <w:rPr>
          <w:rFonts w:hint="eastAsia" w:ascii="楷体" w:hAnsi="楷体" w:eastAsia="楷体" w:cs="楷体"/>
          <w:b w:val="0"/>
          <w:bCs w:val="0"/>
          <w:kern w:val="0"/>
          <w:sz w:val="32"/>
          <w:szCs w:val="32"/>
          <w:lang w:val="en-US" w:eastAsia="zh-CN" w:bidi="ar-SA"/>
        </w:rPr>
        <w:t>九</w:t>
      </w:r>
      <w:r>
        <w:rPr>
          <w:rFonts w:hint="default" w:ascii="楷体" w:hAnsi="楷体" w:eastAsia="楷体" w:cs="楷体"/>
          <w:b w:val="0"/>
          <w:bCs w:val="0"/>
          <w:kern w:val="0"/>
          <w:sz w:val="32"/>
          <w:szCs w:val="32"/>
          <w:lang w:val="en-US" w:eastAsia="zh-CN" w:bidi="ar-SA"/>
        </w:rPr>
        <w:t>）推行 “线上申请一站式” 服务</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优化政务服务平台依申请公开模块，实现 “一键提交、材料上传、进度查询、结果反馈” 全流程线上办理。</w:t>
      </w:r>
    </w:p>
    <w:p w14:paraId="5FDE78FD">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（十）强化疑难申请协同办理</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建立 “跨部门会商机制”，对涉及多领域的复杂申请，由牵头科室组织相关部门联合研判，确保答复内容准确一致。对申请内容不明确的，通过智能客服引导申请人补充信息，避免 “来回跑、多次问”。</w:t>
      </w:r>
    </w:p>
    <w:p w14:paraId="77C1B74E">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五、打造公开平台矩阵，强化技术支撑</w:t>
      </w:r>
    </w:p>
    <w:p w14:paraId="102AF4EB">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（十</w:t>
      </w:r>
      <w:r>
        <w:rPr>
          <w:rFonts w:hint="eastAsia" w:ascii="楷体" w:hAnsi="楷体" w:eastAsia="楷体" w:cs="楷体"/>
          <w:b w:val="0"/>
          <w:bCs w:val="0"/>
          <w:kern w:val="0"/>
          <w:sz w:val="32"/>
          <w:szCs w:val="32"/>
          <w:lang w:val="en-US" w:eastAsia="zh-CN" w:bidi="ar-SA"/>
        </w:rPr>
        <w:t>一</w:t>
      </w:r>
      <w:r>
        <w:rPr>
          <w:rFonts w:hint="default" w:ascii="楷体" w:hAnsi="楷体" w:eastAsia="楷体" w:cs="楷体"/>
          <w:b w:val="0"/>
          <w:bCs w:val="0"/>
          <w:kern w:val="0"/>
          <w:sz w:val="32"/>
          <w:szCs w:val="32"/>
          <w:lang w:val="en-US" w:eastAsia="zh-CN" w:bidi="ar-SA"/>
        </w:rPr>
        <w:t>）持续优化政府网站功能建设。</w:t>
      </w:r>
      <w:r>
        <w:rPr>
          <w:rFonts w:hint="default" w:ascii="仿宋_GB2312" w:hAnsi="仿宋_GB2312" w:eastAsia="仿宋_GB2312" w:cs="仿宋_GB2312"/>
          <w:b w:val="0"/>
          <w:bCs w:val="0"/>
          <w:kern w:val="0"/>
          <w:sz w:val="32"/>
          <w:szCs w:val="32"/>
          <w:lang w:val="en-US" w:eastAsia="zh-CN" w:bidi="ar-SA"/>
        </w:rPr>
        <w:t>进一步健全政策问答平台的运转机制，聚焦公众咨询量较大的政策事项搭建知识库，构建起各级各部门协同配合、信息互通共享的政策问答体系。推动 12345 市民服务热线与政务服务平台、政府网站政民互动栏目、政务新媒体等实现互联互通，促进政策咨询问答知识库的共享共用。</w:t>
      </w:r>
    </w:p>
    <w:p w14:paraId="750E507A">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w:t>
      </w:r>
      <w:r>
        <w:rPr>
          <w:rFonts w:hint="eastAsia" w:ascii="楷体" w:hAnsi="楷体" w:eastAsia="楷体" w:cs="楷体"/>
          <w:b w:val="0"/>
          <w:bCs w:val="0"/>
          <w:kern w:val="0"/>
          <w:sz w:val="32"/>
          <w:szCs w:val="32"/>
          <w:lang w:val="en-US" w:eastAsia="zh-CN" w:bidi="ar-SA"/>
        </w:rPr>
        <w:t>十二</w:t>
      </w:r>
      <w:r>
        <w:rPr>
          <w:rFonts w:hint="default" w:ascii="楷体" w:hAnsi="楷体" w:eastAsia="楷体" w:cs="楷体"/>
          <w:b w:val="0"/>
          <w:bCs w:val="0"/>
          <w:kern w:val="0"/>
          <w:sz w:val="32"/>
          <w:szCs w:val="32"/>
          <w:lang w:val="en-US" w:eastAsia="zh-CN" w:bidi="ar-SA"/>
        </w:rPr>
        <w:t>）加大政府网站和政务新媒体监管力度。</w:t>
      </w:r>
      <w:r>
        <w:rPr>
          <w:rFonts w:hint="default" w:ascii="仿宋_GB2312" w:hAnsi="仿宋_GB2312" w:eastAsia="仿宋_GB2312" w:cs="仿宋_GB2312"/>
          <w:b w:val="0"/>
          <w:bCs w:val="0"/>
          <w:kern w:val="0"/>
          <w:sz w:val="32"/>
          <w:szCs w:val="32"/>
          <w:lang w:val="en-US" w:eastAsia="zh-CN" w:bidi="ar-SA"/>
        </w:rPr>
        <w:t>严格遵循国家、省、市的相关要求，做好政府网站和政务新媒体监管工作，完善备案管理、开设关停、检查通报等全环节工作制度。</w:t>
      </w:r>
    </w:p>
    <w:p w14:paraId="305E744E">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（十</w:t>
      </w:r>
      <w:r>
        <w:rPr>
          <w:rFonts w:hint="eastAsia" w:ascii="楷体" w:hAnsi="楷体" w:eastAsia="楷体" w:cs="楷体"/>
          <w:b w:val="0"/>
          <w:bCs w:val="0"/>
          <w:kern w:val="0"/>
          <w:sz w:val="32"/>
          <w:szCs w:val="32"/>
          <w:lang w:val="en-US" w:eastAsia="zh-CN" w:bidi="ar-SA"/>
        </w:rPr>
        <w:t>三</w:t>
      </w:r>
      <w:r>
        <w:rPr>
          <w:rFonts w:hint="default" w:ascii="楷体" w:hAnsi="楷体" w:eastAsia="楷体" w:cs="楷体"/>
          <w:b w:val="0"/>
          <w:bCs w:val="0"/>
          <w:kern w:val="0"/>
          <w:sz w:val="32"/>
          <w:szCs w:val="32"/>
          <w:lang w:val="en-US" w:eastAsia="zh-CN" w:bidi="ar-SA"/>
        </w:rPr>
        <w:t>）加强数据安全与隐私保护</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严格落实《数据安全法》《中华人民共和国个人信息保护法》，充分发挥 “济南市政府网站和政务新媒体数字化监管平台” 的作用，严格落实信息发布 “三审三校” 制度，实现统一备案、统一运维平台、一键式发布及一体化监管</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定期开展数据安全审计，排查平台漏洞，确保公开信息 “安全可控、可追溯”。</w:t>
      </w:r>
    </w:p>
    <w:p w14:paraId="0EDD77F2">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六、夯实工作保障体系，筑牢工作基础</w:t>
      </w:r>
    </w:p>
    <w:p w14:paraId="443A2882">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（十</w:t>
      </w:r>
      <w:r>
        <w:rPr>
          <w:rFonts w:hint="eastAsia" w:ascii="楷体" w:hAnsi="楷体" w:eastAsia="楷体" w:cs="楷体"/>
          <w:b w:val="0"/>
          <w:bCs w:val="0"/>
          <w:kern w:val="0"/>
          <w:sz w:val="32"/>
          <w:szCs w:val="32"/>
          <w:lang w:val="en-US" w:eastAsia="zh-CN" w:bidi="ar-SA"/>
        </w:rPr>
        <w:t>四</w:t>
      </w:r>
      <w:r>
        <w:rPr>
          <w:rFonts w:hint="default" w:ascii="楷体" w:hAnsi="楷体" w:eastAsia="楷体" w:cs="楷体"/>
          <w:b w:val="0"/>
          <w:bCs w:val="0"/>
          <w:kern w:val="0"/>
          <w:sz w:val="32"/>
          <w:szCs w:val="32"/>
          <w:lang w:val="en-US" w:eastAsia="zh-CN" w:bidi="ar-SA"/>
        </w:rPr>
        <w:t>）建强政务公开人才队伍</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开展 “业务骨干 + 新媒体专员” 双培养计划，每年组织 2 次政务公开专业培训，内容涵盖政策法规、数据分析、新媒体运营等。建立 “导师帮带制”，由经验丰富的工作人员指导新人，提升整体业务能力。</w:t>
      </w:r>
    </w:p>
    <w:p w14:paraId="3C9A859C">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（十</w:t>
      </w:r>
      <w:r>
        <w:rPr>
          <w:rFonts w:hint="eastAsia" w:ascii="楷体" w:hAnsi="楷体" w:eastAsia="楷体" w:cs="楷体"/>
          <w:b w:val="0"/>
          <w:bCs w:val="0"/>
          <w:kern w:val="0"/>
          <w:sz w:val="32"/>
          <w:szCs w:val="32"/>
          <w:lang w:val="en-US" w:eastAsia="zh-CN" w:bidi="ar-SA"/>
        </w:rPr>
        <w:t>五</w:t>
      </w:r>
      <w:r>
        <w:rPr>
          <w:rFonts w:hint="default" w:ascii="楷体" w:hAnsi="楷体" w:eastAsia="楷体" w:cs="楷体"/>
          <w:b w:val="0"/>
          <w:bCs w:val="0"/>
          <w:kern w:val="0"/>
          <w:sz w:val="32"/>
          <w:szCs w:val="32"/>
          <w:lang w:val="en-US" w:eastAsia="zh-CN" w:bidi="ar-SA"/>
        </w:rPr>
        <w:t>）完善考核评估机制</w:t>
      </w:r>
      <w:r>
        <w:rPr>
          <w:rFonts w:hint="eastAsia" w:ascii="楷体" w:hAnsi="楷体" w:eastAsia="楷体" w:cs="楷体"/>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定期</w:t>
      </w:r>
      <w:r>
        <w:rPr>
          <w:rFonts w:hint="default" w:ascii="仿宋_GB2312" w:hAnsi="仿宋_GB2312" w:eastAsia="仿宋_GB2312" w:cs="仿宋_GB2312"/>
          <w:b w:val="0"/>
          <w:bCs w:val="0"/>
          <w:kern w:val="0"/>
          <w:sz w:val="32"/>
          <w:szCs w:val="32"/>
          <w:lang w:val="en-US" w:eastAsia="zh-CN" w:bidi="ar-SA"/>
        </w:rPr>
        <w:t>开展政务公开满意度测评，评估结果纳入年度绩效考核。建立 “月调度、季通报、年考评” 制度，对公开不及时、解读不到位的科室，限期整改并公开整改情况。</w:t>
      </w:r>
    </w:p>
    <w:p w14:paraId="03CCD39A">
      <w:pPr>
        <w:pStyle w:val="2"/>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仿宋_GB2312" w:hAnsi="仿宋_GB2312" w:eastAsia="仿宋_GB2312" w:cs="仿宋_GB2312"/>
          <w:b w:val="0"/>
          <w:bCs w:val="0"/>
          <w:kern w:val="0"/>
          <w:sz w:val="32"/>
          <w:szCs w:val="32"/>
          <w:lang w:val="en-US" w:eastAsia="zh-CN" w:bidi="ar-SA"/>
        </w:rPr>
      </w:pPr>
      <w:r>
        <w:rPr>
          <w:rFonts w:hint="default" w:ascii="楷体" w:hAnsi="楷体" w:eastAsia="楷体" w:cs="楷体"/>
          <w:b w:val="0"/>
          <w:bCs w:val="0"/>
          <w:kern w:val="0"/>
          <w:sz w:val="32"/>
          <w:szCs w:val="32"/>
          <w:lang w:val="en-US" w:eastAsia="zh-CN" w:bidi="ar-SA"/>
        </w:rPr>
        <w:t>（十</w:t>
      </w:r>
      <w:r>
        <w:rPr>
          <w:rFonts w:hint="eastAsia" w:ascii="楷体" w:hAnsi="楷体" w:eastAsia="楷体" w:cs="楷体"/>
          <w:b w:val="0"/>
          <w:bCs w:val="0"/>
          <w:kern w:val="0"/>
          <w:sz w:val="32"/>
          <w:szCs w:val="32"/>
          <w:lang w:val="en-US" w:eastAsia="zh-CN" w:bidi="ar-SA"/>
        </w:rPr>
        <w:t>六</w:t>
      </w:r>
      <w:r>
        <w:rPr>
          <w:rFonts w:hint="default" w:ascii="楷体" w:hAnsi="楷体" w:eastAsia="楷体" w:cs="楷体"/>
          <w:b w:val="0"/>
          <w:bCs w:val="0"/>
          <w:kern w:val="0"/>
          <w:sz w:val="32"/>
          <w:szCs w:val="32"/>
          <w:lang w:val="en-US" w:eastAsia="zh-CN" w:bidi="ar-SA"/>
        </w:rPr>
        <w:t>）深化跨区域协作交流</w:t>
      </w:r>
      <w:r>
        <w:rPr>
          <w:rFonts w:hint="eastAsia" w:ascii="楷体" w:hAnsi="楷体" w:eastAsia="楷体" w:cs="楷体"/>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与省内政务公开先进县（区）建立 “结对共建” 关系，定期开展经验交流、业务研讨。借鉴长三角、珠三角地区创新做法，结合我县实际优化工作流程，形成 “学习</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借鉴—</w:t>
      </w:r>
      <w:bookmarkStart w:id="0" w:name="_GoBack"/>
      <w:bookmarkEnd w:id="0"/>
      <w:r>
        <w:rPr>
          <w:rFonts w:hint="default" w:ascii="仿宋_GB2312" w:hAnsi="仿宋_GB2312" w:eastAsia="仿宋_GB2312" w:cs="仿宋_GB2312"/>
          <w:b w:val="0"/>
          <w:bCs w:val="0"/>
          <w:kern w:val="0"/>
          <w:sz w:val="32"/>
          <w:szCs w:val="32"/>
          <w:lang w:val="en-US" w:eastAsia="zh-CN" w:bidi="ar-SA"/>
        </w:rPr>
        <w:t>创新” 的良性循环。</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561C0"/>
    <w:rsid w:val="12133F86"/>
    <w:rsid w:val="3CD97161"/>
    <w:rsid w:val="6FD94325"/>
    <w:rsid w:val="705D50E7"/>
    <w:rsid w:val="732056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2458</Words>
  <Characters>2465</Characters>
  <Lines>0</Lines>
  <Paragraphs>0</Paragraphs>
  <TotalTime>4</TotalTime>
  <ScaleCrop>false</ScaleCrop>
  <LinksUpToDate>false</LinksUpToDate>
  <CharactersWithSpaces>2509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2025-07-14T08:47:03Z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eyJoZGlkIjoiNGJmMmY2NzUzZDhjMGJmNTIzNWQ5ZDczYzQ0YWJmN2MiLCJ1c2VySWQiOiIyMzY2OTIxNzMifQ==</vt:lpwstr>
  </property>
  <property fmtid="{D5CDD505-2E9C-101B-9397-08002B2CF9AE}" pid="4" name="ICV">
    <vt:lpwstr>B58F15F70F774FA592C1383D5E7A5164_12</vt:lpwstr>
  </property>
</Properties>
</file>