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824E6">
      <w:pPr>
        <w:keepNext w:val="0"/>
        <w:keepLines w:val="0"/>
        <w:pageBreakBefore w:val="0"/>
        <w:widowControl w:val="0"/>
        <w:kinsoku/>
        <w:wordWrap/>
        <w:overflowPunct/>
        <w:topLinePunct w:val="0"/>
        <w:autoSpaceDE/>
        <w:autoSpaceDN/>
        <w:bidi w:val="0"/>
        <w:adjustRightInd/>
        <w:snapToGrid/>
        <w:spacing w:line="800" w:lineRule="exact"/>
        <w:ind w:left="0" w:leftChars="0"/>
        <w:jc w:val="center"/>
        <w:textAlignment w:val="auto"/>
        <w:rPr>
          <w:rFonts w:hint="eastAsia" w:ascii="方正小标宋简体" w:hAnsi="方正小标宋简体" w:eastAsia="方正小标宋简体" w:cs="方正小标宋简体"/>
          <w:b w:val="0"/>
          <w:bCs w:val="0"/>
          <w:color w:val="FF0000"/>
          <w:sz w:val="60"/>
          <w:szCs w:val="60"/>
          <w:lang w:val="en-US" w:eastAsia="zh-CN"/>
        </w:rPr>
      </w:pPr>
      <w:r>
        <w:rPr>
          <w:rFonts w:hint="eastAsia" w:ascii="方正小标宋简体" w:hAnsi="方正小标宋简体" w:eastAsia="方正小标宋简体" w:cs="方正小标宋简体"/>
          <w:b w:val="0"/>
          <w:bCs w:val="0"/>
          <w:color w:val="FF0000"/>
          <w:sz w:val="66"/>
          <w:szCs w:val="66"/>
          <w:lang w:val="en-US" w:eastAsia="zh-CN"/>
        </w:rPr>
        <w:t>平</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color w:val="FF0000"/>
          <w:sz w:val="66"/>
          <w:szCs w:val="66"/>
          <w:lang w:val="en-US" w:eastAsia="zh-CN"/>
        </w:rPr>
        <w:t>阴</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color w:val="FF0000"/>
          <w:sz w:val="66"/>
          <w:szCs w:val="66"/>
          <w:lang w:val="en-US" w:eastAsia="zh-CN"/>
        </w:rPr>
        <w:t>县</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color w:val="FF0000"/>
          <w:sz w:val="66"/>
          <w:szCs w:val="66"/>
          <w:lang w:val="en-US" w:eastAsia="zh-CN"/>
        </w:rPr>
        <w:t>人</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color w:val="FF0000"/>
          <w:sz w:val="66"/>
          <w:szCs w:val="66"/>
          <w:lang w:val="en-US" w:eastAsia="zh-CN"/>
        </w:rPr>
        <w:t>民</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color w:val="FF0000"/>
          <w:sz w:val="66"/>
          <w:szCs w:val="66"/>
          <w:lang w:val="en-US" w:eastAsia="zh-CN"/>
        </w:rPr>
        <w:t>政</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color w:val="FF0000"/>
          <w:sz w:val="66"/>
          <w:szCs w:val="66"/>
          <w:lang w:val="en-US" w:eastAsia="zh-CN"/>
        </w:rPr>
        <w:t>府</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color w:val="FF0000"/>
          <w:sz w:val="66"/>
          <w:szCs w:val="66"/>
          <w:lang w:val="en-US" w:eastAsia="zh-CN"/>
        </w:rPr>
        <w:t>办</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color w:val="FF0000"/>
          <w:sz w:val="66"/>
          <w:szCs w:val="66"/>
          <w:lang w:val="en-US" w:eastAsia="zh-CN"/>
        </w:rPr>
        <w:t>公</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color w:val="FF0000"/>
          <w:sz w:val="66"/>
          <w:szCs w:val="66"/>
          <w:lang w:val="en-US" w:eastAsia="zh-CN"/>
        </w:rPr>
        <w:t>室</w:t>
      </w:r>
    </w:p>
    <w:tbl>
      <w:tblPr>
        <w:tblStyle w:val="11"/>
        <w:tblW w:w="8964" w:type="dxa"/>
        <w:jc w:val="center"/>
        <w:tblBorders>
          <w:top w:val="thinThickSmallGap" w:color="FF0000" w:sz="24" w:space="0"/>
          <w:left w:val="none" w:color="auto" w:sz="0" w:space="0"/>
          <w:bottom w:val="thickThinSmallGap" w:color="FF0000" w:sz="2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64"/>
      </w:tblGrid>
      <w:tr w14:paraId="01F2B140">
        <w:tblPrEx>
          <w:tblBorders>
            <w:top w:val="thinThickSmallGap" w:color="FF0000" w:sz="24" w:space="0"/>
            <w:left w:val="none" w:color="auto" w:sz="0" w:space="0"/>
            <w:bottom w:val="thickThinSmallGap" w:color="FF0000" w:sz="2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964" w:type="dxa"/>
            <w:tcBorders>
              <w:tl2br w:val="nil"/>
              <w:tr2bl w:val="nil"/>
            </w:tcBorders>
            <w:vAlign w:val="top"/>
          </w:tcPr>
          <w:p w14:paraId="1C0D75A4">
            <w:pPr>
              <w:keepNext w:val="0"/>
              <w:keepLines w:val="0"/>
              <w:pageBreakBefore w:val="0"/>
              <w:widowControl w:val="0"/>
              <w:kinsoku/>
              <w:wordWrap/>
              <w:overflowPunct/>
              <w:topLinePunct w:val="0"/>
              <w:autoSpaceDE/>
              <w:autoSpaceDN/>
              <w:bidi w:val="0"/>
              <w:adjustRightInd/>
              <w:snapToGrid/>
              <w:spacing w:before="220" w:line="560" w:lineRule="exact"/>
              <w:ind w:left="0" w:leftChars="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宋体" w:eastAsia="仿宋_GB2312"/>
                <w:sz w:val="32"/>
                <w:szCs w:val="32"/>
              </w:rPr>
              <w:t>平政办</w:t>
            </w:r>
            <w:r>
              <w:rPr>
                <w:rFonts w:hint="eastAsia" w:ascii="仿宋_GB2312" w:hAnsi="宋体" w:eastAsia="仿宋_GB2312"/>
                <w:sz w:val="32"/>
                <w:szCs w:val="32"/>
                <w:lang w:eastAsia="zh-CN"/>
              </w:rPr>
              <w:t>便笺</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hAnsi="宋体" w:eastAsia="仿宋_GB2312"/>
                <w:sz w:val="32"/>
                <w:szCs w:val="32"/>
              </w:rPr>
              <w:t>号</w:t>
            </w:r>
          </w:p>
          <w:p w14:paraId="0155F947">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华文中宋" w:eastAsia="方正小标宋简体" w:cs="华文中宋"/>
                <w:b w:val="0"/>
                <w:bCs w:val="0"/>
                <w:sz w:val="44"/>
                <w:szCs w:val="44"/>
              </w:rPr>
            </w:pPr>
          </w:p>
          <w:p w14:paraId="3BCDC473">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平阴县人民政府办公室</w:t>
            </w:r>
          </w:p>
          <w:p w14:paraId="13E5A837">
            <w:pPr>
              <w:pStyle w:val="9"/>
              <w:widowControl/>
              <w:autoSpaceDE w:val="0"/>
              <w:spacing w:beforeAutospacing="0" w:afterAutospacing="0" w:line="620" w:lineRule="exact"/>
              <w:jc w:val="cente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年平阴县政务公开</w:t>
            </w:r>
          </w:p>
          <w:p w14:paraId="09C21815">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方正小标宋简体" w:hAnsi="方正小标宋简体" w:eastAsia="方正小标宋简体" w:cs="方正小标宋简体"/>
                <w:sz w:val="44"/>
                <w:szCs w:val="44"/>
              </w:rPr>
              <w:t>工作要点》的通知</w:t>
            </w:r>
          </w:p>
          <w:p w14:paraId="12B7BB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p>
          <w:p w14:paraId="00309734">
            <w:pPr>
              <w:pStyle w:val="9"/>
              <w:widowControl/>
              <w:spacing w:beforeAutospacing="0" w:afterAutospacing="0" w:line="620" w:lineRule="exact"/>
            </w:pPr>
            <w:r>
              <w:rPr>
                <w:rFonts w:hint="eastAsia" w:ascii="仿宋_GB2312" w:eastAsia="仿宋_GB2312" w:cs="仿宋_GB2312"/>
                <w:spacing w:val="-6"/>
                <w:sz w:val="32"/>
                <w:szCs w:val="32"/>
              </w:rPr>
              <w:t>各镇人民政府，各街道办事处，县政府各部门</w:t>
            </w:r>
            <w:r>
              <w:rPr>
                <w:rFonts w:hint="eastAsia" w:ascii="仿宋_GB2312" w:eastAsia="仿宋_GB2312" w:cs="仿宋_GB2312"/>
                <w:spacing w:val="-6"/>
                <w:sz w:val="32"/>
                <w:szCs w:val="32"/>
                <w:lang w:eastAsia="zh-CN"/>
              </w:rPr>
              <w:t>，各</w:t>
            </w:r>
            <w:r>
              <w:rPr>
                <w:rFonts w:hint="eastAsia" w:ascii="仿宋_GB2312" w:eastAsia="仿宋_GB2312" w:cs="仿宋_GB2312"/>
                <w:spacing w:val="-6"/>
                <w:sz w:val="32"/>
                <w:szCs w:val="32"/>
                <w:lang w:val="en-US" w:eastAsia="zh-CN"/>
              </w:rPr>
              <w:t>企事业单位</w:t>
            </w:r>
            <w:r>
              <w:rPr>
                <w:rFonts w:hint="eastAsia" w:ascii="仿宋_GB2312" w:eastAsia="仿宋_GB2312" w:cs="仿宋_GB2312"/>
                <w:spacing w:val="-6"/>
                <w:sz w:val="32"/>
                <w:szCs w:val="32"/>
              </w:rPr>
              <w:t>：</w:t>
            </w:r>
          </w:p>
          <w:p w14:paraId="463C9B54">
            <w:pPr>
              <w:widowControl/>
              <w:spacing w:line="620" w:lineRule="exact"/>
              <w:ind w:firstLine="640" w:firstLineChars="200"/>
              <w:jc w:val="left"/>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年平阴县政务公开工作要点》已经县政府研究同意，现印发给你们，请结合实际认真抓好贯彻落实。</w:t>
            </w:r>
          </w:p>
          <w:p w14:paraId="38554EC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aps w:val="0"/>
                <w:sz w:val="32"/>
              </w:rPr>
            </w:pPr>
          </w:p>
          <w:p w14:paraId="6F681DB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aps w:val="0"/>
                <w:sz w:val="32"/>
              </w:rPr>
            </w:pPr>
          </w:p>
          <w:p w14:paraId="244C32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aps w:val="0"/>
                <w:sz w:val="32"/>
                <w:lang w:val="en-US" w:eastAsia="zh-CN"/>
              </w:rPr>
            </w:pPr>
            <w:r>
              <w:rPr>
                <w:rFonts w:hint="eastAsia" w:ascii="Times New Roman" w:hAnsi="Times New Roman" w:eastAsia="仿宋_GB2312"/>
                <w:caps w:val="0"/>
                <w:sz w:val="32"/>
              </w:rPr>
              <w:t xml:space="preserve">                         </w:t>
            </w:r>
            <w:r>
              <w:rPr>
                <w:rFonts w:hint="eastAsia" w:ascii="仿宋_GB2312" w:hAnsi="仿宋_GB2312" w:eastAsia="仿宋_GB2312" w:cs="仿宋_GB2312"/>
                <w:caps w:val="0"/>
                <w:sz w:val="32"/>
              </w:rPr>
              <w:t xml:space="preserve">  </w:t>
            </w:r>
            <w:r>
              <w:rPr>
                <w:rFonts w:hint="eastAsia" w:ascii="仿宋_GB2312" w:hAnsi="仿宋_GB2312" w:eastAsia="仿宋_GB2312" w:cs="仿宋_GB2312"/>
                <w:caps w:val="0"/>
                <w:sz w:val="32"/>
                <w:lang w:val="en-US" w:eastAsia="zh-CN"/>
              </w:rPr>
              <w:t xml:space="preserve">  </w:t>
            </w:r>
            <w:r>
              <w:rPr>
                <w:rFonts w:hint="eastAsia" w:ascii="仿宋_GB2312" w:hAnsi="仿宋_GB2312" w:eastAsia="仿宋_GB2312" w:cs="仿宋_GB2312"/>
                <w:caps w:val="0"/>
                <w:sz w:val="32"/>
              </w:rPr>
              <w:t>平阴县人民政府</w:t>
            </w:r>
            <w:r>
              <w:rPr>
                <w:rFonts w:hint="eastAsia" w:ascii="仿宋_GB2312" w:hAnsi="仿宋_GB2312" w:eastAsia="仿宋_GB2312" w:cs="仿宋_GB2312"/>
                <w:caps w:val="0"/>
                <w:sz w:val="32"/>
                <w:lang w:val="en-US" w:eastAsia="zh-CN"/>
              </w:rPr>
              <w:t>办公室</w:t>
            </w:r>
          </w:p>
          <w:p w14:paraId="19CFA7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aps w:val="0"/>
                <w:sz w:val="32"/>
              </w:rPr>
            </w:pPr>
            <w:r>
              <w:rPr>
                <w:rFonts w:hint="eastAsia" w:ascii="仿宋_GB2312" w:hAnsi="仿宋_GB2312" w:eastAsia="仿宋_GB2312" w:cs="仿宋_GB2312"/>
                <w:caps w:val="0"/>
                <w:sz w:val="32"/>
              </w:rPr>
              <w:t xml:space="preserve">                        </w:t>
            </w:r>
            <w:r>
              <w:rPr>
                <w:rFonts w:hint="eastAsia" w:ascii="仿宋_GB2312" w:hAnsi="仿宋_GB2312" w:eastAsia="仿宋_GB2312" w:cs="仿宋_GB2312"/>
                <w:caps w:val="0"/>
                <w:sz w:val="32"/>
                <w:szCs w:val="32"/>
                <w:lang w:val="en-US" w:eastAsia="zh-CN"/>
              </w:rPr>
              <w:t xml:space="preserve"> </w:t>
            </w:r>
            <w:r>
              <w:rPr>
                <w:rFonts w:hint="eastAsia" w:ascii="仿宋_GB2312" w:hAnsi="仿宋_GB2312" w:eastAsia="仿宋_GB2312" w:cs="仿宋_GB2312"/>
                <w:caps w:val="0"/>
                <w:sz w:val="32"/>
              </w:rPr>
              <w:t xml:space="preserve"> </w:t>
            </w:r>
            <w:r>
              <w:rPr>
                <w:rFonts w:hint="eastAsia" w:ascii="仿宋_GB2312" w:hAnsi="仿宋_GB2312" w:eastAsia="仿宋_GB2312" w:cs="仿宋_GB2312"/>
                <w:caps w:val="0"/>
                <w:sz w:val="36"/>
                <w:szCs w:val="36"/>
              </w:rPr>
              <w:t xml:space="preserve"> </w:t>
            </w:r>
            <w:r>
              <w:rPr>
                <w:rFonts w:hint="eastAsia" w:ascii="仿宋_GB2312" w:hAnsi="仿宋_GB2312" w:eastAsia="仿宋_GB2312" w:cs="仿宋_GB2312"/>
                <w:caps w:val="0"/>
                <w:sz w:val="32"/>
              </w:rPr>
              <w:t xml:space="preserve"> </w:t>
            </w:r>
            <w:r>
              <w:rPr>
                <w:rFonts w:hint="eastAsia" w:ascii="仿宋_GB2312" w:hAnsi="仿宋_GB2312" w:eastAsia="仿宋_GB2312" w:cs="仿宋_GB2312"/>
                <w:caps w:val="0"/>
                <w:sz w:val="32"/>
                <w:szCs w:val="32"/>
              </w:rPr>
              <w:t xml:space="preserve"> </w:t>
            </w:r>
            <w:r>
              <w:rPr>
                <w:rFonts w:hint="eastAsia" w:ascii="仿宋_GB2312" w:hAnsi="仿宋_GB2312" w:eastAsia="仿宋_GB2312" w:cs="仿宋_GB2312"/>
                <w:caps w:val="0"/>
                <w:sz w:val="32"/>
              </w:rPr>
              <w:t xml:space="preserve"> </w:t>
            </w:r>
            <w:r>
              <w:rPr>
                <w:rFonts w:hint="eastAsia" w:ascii="仿宋_GB2312" w:hAnsi="仿宋_GB2312" w:eastAsia="仿宋_GB2312" w:cs="仿宋_GB2312"/>
                <w:caps w:val="0"/>
                <w:sz w:val="32"/>
                <w:lang w:val="en-US" w:eastAsia="zh-CN"/>
              </w:rPr>
              <w:t xml:space="preserve">  </w:t>
            </w:r>
            <w:r>
              <w:rPr>
                <w:rFonts w:hint="eastAsia" w:ascii="仿宋_GB2312" w:hAnsi="仿宋_GB2312" w:eastAsia="仿宋_GB2312" w:cs="仿宋_GB2312"/>
                <w:caps w:val="0"/>
                <w:sz w:val="32"/>
              </w:rPr>
              <w:t>20</w:t>
            </w:r>
            <w:r>
              <w:rPr>
                <w:rFonts w:hint="eastAsia" w:ascii="仿宋_GB2312" w:hAnsi="仿宋_GB2312" w:eastAsia="仿宋_GB2312" w:cs="仿宋_GB2312"/>
                <w:caps w:val="0"/>
                <w:sz w:val="32"/>
                <w:lang w:val="en-US" w:eastAsia="zh-CN"/>
              </w:rPr>
              <w:t>25</w:t>
            </w:r>
            <w:r>
              <w:rPr>
                <w:rFonts w:hint="eastAsia" w:ascii="仿宋_GB2312" w:hAnsi="仿宋_GB2312" w:eastAsia="仿宋_GB2312" w:cs="仿宋_GB2312"/>
                <w:caps w:val="0"/>
                <w:sz w:val="32"/>
              </w:rPr>
              <w:t>年</w:t>
            </w:r>
            <w:r>
              <w:rPr>
                <w:rFonts w:hint="eastAsia" w:ascii="仿宋_GB2312" w:hAnsi="仿宋_GB2312" w:eastAsia="仿宋_GB2312" w:cs="仿宋_GB2312"/>
                <w:caps w:val="0"/>
                <w:sz w:val="32"/>
                <w:lang w:val="en-US" w:eastAsia="zh-CN"/>
              </w:rPr>
              <w:t>7</w:t>
            </w:r>
            <w:r>
              <w:rPr>
                <w:rFonts w:hint="eastAsia" w:ascii="仿宋_GB2312" w:hAnsi="仿宋_GB2312" w:eastAsia="仿宋_GB2312" w:cs="仿宋_GB2312"/>
                <w:caps w:val="0"/>
                <w:sz w:val="32"/>
              </w:rPr>
              <w:t>月</w:t>
            </w:r>
            <w:r>
              <w:rPr>
                <w:rFonts w:hint="eastAsia" w:ascii="仿宋_GB2312" w:hAnsi="仿宋_GB2312" w:eastAsia="仿宋_GB2312" w:cs="仿宋_GB2312"/>
                <w:caps w:val="0"/>
                <w:sz w:val="32"/>
                <w:lang w:val="en-US" w:eastAsia="zh-CN"/>
              </w:rPr>
              <w:t>9</w:t>
            </w:r>
            <w:r>
              <w:rPr>
                <w:rFonts w:hint="eastAsia" w:ascii="仿宋_GB2312" w:hAnsi="仿宋_GB2312" w:eastAsia="仿宋_GB2312" w:cs="仿宋_GB2312"/>
                <w:caps w:val="0"/>
                <w:sz w:val="32"/>
              </w:rPr>
              <w:t>日</w:t>
            </w:r>
          </w:p>
          <w:p w14:paraId="26B80A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aps w:val="0"/>
                <w:sz w:val="32"/>
              </w:rPr>
            </w:pPr>
          </w:p>
          <w:p w14:paraId="69164208">
            <w:pPr>
              <w:pStyle w:val="9"/>
              <w:widowControl/>
              <w:autoSpaceDE w:val="0"/>
              <w:spacing w:beforeAutospacing="0" w:afterAutospacing="0" w:line="620" w:lineRule="exact"/>
              <w:ind w:firstLine="640"/>
            </w:pPr>
            <w:r>
              <w:rPr>
                <w:rFonts w:hint="eastAsia" w:ascii="仿宋_GB2312" w:eastAsia="仿宋_GB2312" w:cs="仿宋_GB2312"/>
                <w:sz w:val="32"/>
                <w:szCs w:val="32"/>
              </w:rPr>
              <w:t>（此件公开发布）</w:t>
            </w:r>
          </w:p>
          <w:p w14:paraId="51D47C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aps w:val="0"/>
                <w:sz w:val="32"/>
              </w:rPr>
            </w:pPr>
          </w:p>
          <w:p w14:paraId="49CC67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aps w:val="0"/>
                <w:sz w:val="32"/>
              </w:rPr>
            </w:pPr>
          </w:p>
          <w:p w14:paraId="61FA1986">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caps w:val="0"/>
                <w:sz w:val="32"/>
              </w:rPr>
            </w:pPr>
          </w:p>
          <w:p w14:paraId="326E4D1D">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caps w:val="0"/>
                <w:sz w:val="32"/>
              </w:rPr>
            </w:pPr>
          </w:p>
          <w:p w14:paraId="3B78BA00">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caps w:val="0"/>
                <w:sz w:val="32"/>
              </w:rPr>
            </w:pPr>
          </w:p>
          <w:p w14:paraId="0C67F664">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caps w:val="0"/>
                <w:sz w:val="32"/>
              </w:rPr>
            </w:pPr>
          </w:p>
          <w:p w14:paraId="0D043BA2">
            <w:pPr>
              <w:keepNext w:val="0"/>
              <w:keepLines w:val="0"/>
              <w:pageBreakBefore w:val="0"/>
              <w:widowControl w:val="0"/>
              <w:kinsoku/>
              <w:wordWrap/>
              <w:overflowPunct/>
              <w:topLinePunct w:val="0"/>
              <w:autoSpaceDE/>
              <w:autoSpaceDN/>
              <w:bidi w:val="0"/>
              <w:adjustRightInd/>
              <w:snapToGrid/>
              <w:spacing w:before="80" w:line="240" w:lineRule="exact"/>
              <w:ind w:firstLine="640" w:firstLineChars="200"/>
              <w:textAlignment w:val="auto"/>
              <w:rPr>
                <w:rFonts w:hint="eastAsia" w:ascii="仿宋_GB2312" w:hAnsi="仿宋_GB2312" w:eastAsia="仿宋_GB2312" w:cs="仿宋_GB2312"/>
                <w:caps w:val="0"/>
                <w:sz w:val="32"/>
              </w:rPr>
            </w:pPr>
            <w:bookmarkStart w:id="0" w:name="_GoBack"/>
            <w:bookmarkEnd w:id="0"/>
          </w:p>
          <w:p w14:paraId="5CFF606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仿宋_GB2312" w:eastAsia="仿宋_GB2312"/>
                <w:sz w:val="32"/>
                <w:szCs w:val="32"/>
                <w:lang w:val="en-US" w:eastAsia="zh-CN"/>
              </w:rPr>
            </w:pPr>
          </w:p>
        </w:tc>
      </w:tr>
    </w:tbl>
    <w:p w14:paraId="43F44AA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小标宋简体" w:hAnsi="方正小标宋简体" w:eastAsia="方正小标宋简体" w:cs="方正小标宋简体"/>
          <w:color w:val="auto"/>
          <w:spacing w:val="27"/>
          <w:sz w:val="44"/>
          <w:szCs w:val="44"/>
          <w:lang w:val="en-US" w:eastAsia="zh-CN"/>
        </w:rPr>
      </w:pPr>
    </w:p>
    <w:p w14:paraId="32C5560E">
      <w:pPr>
        <w:keepNext w:val="0"/>
        <w:keepLines w:val="0"/>
        <w:pageBreakBefore w:val="0"/>
        <w:widowControl w:val="0"/>
        <w:tabs>
          <w:tab w:val="left" w:pos="1716"/>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footerReference r:id="rId3" w:type="default"/>
          <w:pgSz w:w="11850" w:h="16783"/>
          <w:pgMar w:top="2041" w:right="1474" w:bottom="1587" w:left="1701"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E2E7143">
      <w:pPr>
        <w:pStyle w:val="9"/>
        <w:widowControl/>
        <w:spacing w:beforeAutospacing="0" w:afterAutospacing="0" w:line="560" w:lineRule="exact"/>
        <w:jc w:val="center"/>
        <w:rPr>
          <w:rFonts w:hint="eastAsia" w:ascii="方正小标宋简体" w:hAnsi="方正小标宋简体" w:eastAsia="方正小标宋简体" w:cs="方正小标宋简体"/>
          <w:kern w:val="2"/>
          <w:sz w:val="44"/>
          <w:szCs w:val="44"/>
        </w:rPr>
      </w:pPr>
    </w:p>
    <w:p w14:paraId="5BB97731">
      <w:pPr>
        <w:pStyle w:val="9"/>
        <w:widowControl/>
        <w:spacing w:beforeAutospacing="0" w:afterAutospacing="0" w:line="560"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2025年平阴县政务公开工作要点</w:t>
      </w:r>
    </w:p>
    <w:p w14:paraId="72B3413C">
      <w:pPr>
        <w:spacing w:line="560" w:lineRule="exact"/>
        <w:ind w:firstLine="640" w:firstLineChars="200"/>
        <w:rPr>
          <w:rFonts w:ascii="楷体_GB2312" w:hAnsi="方正小标宋简体" w:eastAsia="楷体_GB2312" w:cs="方正小标宋简体"/>
          <w:sz w:val="32"/>
          <w:szCs w:val="32"/>
        </w:rPr>
      </w:pPr>
    </w:p>
    <w:p w14:paraId="3BAA6E3B">
      <w:pPr>
        <w:pStyle w:val="9"/>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2025年，平阴县政务公开工作的总体要求是：坚持以习近平新时代中国特色社会主义思想为指导，贯彻落实党的二十大和二十届二中、三中全会精神以及习近平总书记视察山东重要讲话精神，准确把握政务公开职责定位，紧紧围绕实现“六个跨越”、建设现代平阴总体目标，统筹政务公开与安全保密，强化政务公开在政策落地执行、服务能力增强、监督效能提升等方面的驱动作用，为推进全县经济社会高质量发展提供有力支撑。</w:t>
      </w:r>
    </w:p>
    <w:p w14:paraId="35F00C25">
      <w:pPr>
        <w:pStyle w:val="9"/>
        <w:widowControl/>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一、聚焦重点工作，发挥政务公开功能作用</w:t>
      </w:r>
    </w:p>
    <w:p w14:paraId="145F893A">
      <w:pPr>
        <w:pStyle w:val="9"/>
        <w:widowControl/>
        <w:spacing w:beforeAutospacing="0" w:afterAutospacing="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（一）以公开推进政策落实。</w:t>
      </w:r>
      <w:r>
        <w:rPr>
          <w:rFonts w:hint="eastAsia" w:ascii="仿宋_GB2312" w:hAnsi="仿宋_GB2312" w:eastAsia="仿宋_GB2312" w:cs="仿宋_GB2312"/>
          <w:sz w:val="32"/>
          <w:szCs w:val="32"/>
        </w:rPr>
        <w:t>以“招商引资提效年”“服务企业年”为主抓手，做好高质量发展、乡村全面振兴、增进民生福祉等方面信息公开工作。围绕稳定和扩大传统消费，突出“乐享消费、玫好平阴”主题，做好消费品“以旧换新”等方面信息公开。聚焦高校毕业生、退役军人等重点人群，加大就业帮扶、职业技能培训、社会保险待遇等政策解读和信息推送力度，分类发布重点产业企业用工需求，促进就业创业。重点推进学前教育、义务教育、职业教育、民办教育等方面信息公开。探索推进紧密型县域智慧医共体建设信息公开。加强养老服务扶持政策和养老机构监管信息公开，提升养老服务质量。优化旅游公共信息发布服务，加强旅游出行风险预警提示，保障游客安全。</w:t>
      </w:r>
      <w:r>
        <w:rPr>
          <w:rFonts w:hint="eastAsia" w:ascii="楷体_GB2312" w:hAnsi="楷体_GB2312" w:eastAsia="楷体_GB2312" w:cs="楷体_GB2312"/>
          <w:sz w:val="32"/>
          <w:szCs w:val="32"/>
        </w:rPr>
        <w:t>（责任单位：各镇街、县政府各部门）</w:t>
      </w:r>
    </w:p>
    <w:p w14:paraId="3A6EF1EF">
      <w:pPr>
        <w:pStyle w:val="9"/>
        <w:widowControl/>
        <w:spacing w:beforeAutospacing="0" w:afterAutospacing="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（二）以公开优化政务服务。</w:t>
      </w:r>
      <w:r>
        <w:rPr>
          <w:rFonts w:hint="eastAsia" w:ascii="仿宋_GB2312" w:hAnsi="仿宋_GB2312" w:eastAsia="仿宋_GB2312" w:cs="仿宋_GB2312"/>
          <w:sz w:val="32"/>
          <w:szCs w:val="32"/>
        </w:rPr>
        <w:t>围绕“高效办成一件事”，规范发布本部门政务服务事项目录、办事指南和中介服务事项清单，推动政务服务事项集成式、一站式公开。密切跟踪全国统一的市场准入负面清单，根据动态调整情况做好清单事项内容、主管部门等信息的更新发布和政策解读工作。加强市场监管制度规则公开，及时公开建设高标准市场体系的政策措施。依托12345市民服务热线、“泉惠企”等平台，广泛听取社会各界的意见建议，进一步优化我县营商环境。</w:t>
      </w:r>
      <w:r>
        <w:rPr>
          <w:rFonts w:hint="eastAsia" w:ascii="楷体_GB2312" w:hAnsi="楷体_GB2312" w:eastAsia="楷体_GB2312" w:cs="楷体_GB2312"/>
          <w:sz w:val="32"/>
          <w:szCs w:val="32"/>
        </w:rPr>
        <w:t>（责任单位：各镇街、县政府有关部门）</w:t>
      </w:r>
    </w:p>
    <w:p w14:paraId="6DEED1C0">
      <w:pPr>
        <w:pStyle w:val="9"/>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（三）以公开强化监督管理。</w:t>
      </w:r>
      <w:r>
        <w:rPr>
          <w:rFonts w:hint="eastAsia" w:ascii="仿宋_GB2312" w:hAnsi="仿宋_GB2312" w:eastAsia="仿宋_GB2312" w:cs="仿宋_GB2312"/>
          <w:sz w:val="32"/>
          <w:szCs w:val="32"/>
        </w:rPr>
        <w:t>严格落实行政执法公</w:t>
      </w:r>
      <w:r>
        <w:rPr>
          <w:rFonts w:ascii="仿宋_GB2312" w:hAnsi="仿宋_GB2312" w:eastAsia="仿宋_GB2312" w:cs="仿宋_GB2312"/>
          <w:sz w:val="32"/>
          <w:szCs w:val="32"/>
        </w:rPr>
        <w:t>示制度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规范</w:t>
      </w:r>
      <w:r>
        <w:rPr>
          <w:rFonts w:hint="eastAsia" w:ascii="仿宋_GB2312" w:hAnsi="仿宋_GB2312" w:eastAsia="仿宋_GB2312" w:cs="仿宋_GB2312"/>
          <w:sz w:val="32"/>
          <w:szCs w:val="32"/>
        </w:rPr>
        <w:t>公开行政检查事项、行政检查计划等内容。优化提升“双随机、一公开”监管平台，持续做好权责清单依法公开和动态更新。规范招投标信息公开，加大招标公告、中标合同、履约信息公开力度，招标公告要载明招标投标行政监督部门。及时公开并动态更新全县执行的行政事业性收费和政府性基金目录清单。深化公共企事业单位信息公开，加强对公共企事业单位的监督管理，统一公开目录，集中展示机构设置、咨询服务、规章制度、办事指南等信息，</w:t>
      </w:r>
      <w:r>
        <w:rPr>
          <w:rFonts w:ascii="仿宋_GB2312" w:hAnsi="仿宋_GB2312" w:eastAsia="仿宋_GB2312" w:cs="仿宋_GB2312"/>
          <w:sz w:val="32"/>
          <w:szCs w:val="32"/>
        </w:rPr>
        <w:t>提升公共企事业单位服务水平，更好维护人民群众切身利益</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（责任单位：各镇街、县政府有关部门）</w:t>
      </w:r>
    </w:p>
    <w:p w14:paraId="57EC53D0">
      <w:pPr>
        <w:pStyle w:val="9"/>
        <w:widowControl/>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二、坚持标准提升，强化政务公开规范管理</w:t>
      </w:r>
    </w:p>
    <w:p w14:paraId="1B713D34">
      <w:pPr>
        <w:pStyle w:val="9"/>
        <w:widowControl/>
        <w:spacing w:beforeAutospacing="0" w:afterAutospacing="0" w:line="560" w:lineRule="exact"/>
        <w:ind w:firstLine="640" w:firstLineChars="200"/>
        <w:jc w:val="both"/>
        <w:rPr>
          <w:rFonts w:ascii="仿宋_GB2312" w:hAnsi="Arial" w:eastAsia="仿宋_GB2312" w:cs="Arial"/>
          <w:sz w:val="32"/>
          <w:szCs w:val="32"/>
        </w:rPr>
      </w:pPr>
      <w:r>
        <w:rPr>
          <w:rFonts w:hint="eastAsia" w:ascii="楷体_GB2312" w:hAnsi="楷体_GB2312" w:eastAsia="楷体_GB2312" w:cs="楷体_GB2312"/>
          <w:sz w:val="32"/>
          <w:szCs w:val="32"/>
        </w:rPr>
        <w:t>（四）健全主动公开机制。</w:t>
      </w:r>
      <w:r>
        <w:rPr>
          <w:rFonts w:hint="eastAsia" w:ascii="仿宋_GB2312" w:eastAsia="仿宋_GB2312"/>
          <w:sz w:val="32"/>
          <w:szCs w:val="32"/>
        </w:rPr>
        <w:t>健全信息主动公开机制</w:t>
      </w:r>
      <w:r>
        <w:rPr>
          <w:rFonts w:hint="eastAsia" w:ascii="仿宋_GB2312" w:hAnsi="仿宋_GB2312" w:eastAsia="仿宋_GB2312" w:cs="仿宋_GB2312"/>
          <w:sz w:val="32"/>
          <w:szCs w:val="32"/>
        </w:rPr>
        <w:t>，持续完善主动公开事项目录</w:t>
      </w:r>
      <w:r>
        <w:rPr>
          <w:rFonts w:hint="eastAsia" w:ascii="仿宋_GB2312" w:eastAsia="仿宋_GB2312"/>
          <w:sz w:val="32"/>
          <w:szCs w:val="32"/>
        </w:rPr>
        <w:t>，坚持动态更新，构建较为完备的主动公开事项目录体系</w:t>
      </w:r>
      <w:r>
        <w:rPr>
          <w:rFonts w:hint="eastAsia" w:ascii="仿宋_GB2312" w:hAnsi="仿宋_GB2312" w:eastAsia="仿宋_GB2312" w:cs="仿宋_GB2312"/>
          <w:sz w:val="32"/>
          <w:szCs w:val="32"/>
        </w:rPr>
        <w:t>。探索将主动公开事项目录</w:t>
      </w:r>
      <w:r>
        <w:rPr>
          <w:rFonts w:hint="eastAsia" w:ascii="仿宋_GB2312" w:hAnsi="Arial" w:eastAsia="仿宋_GB2312" w:cs="Arial"/>
          <w:sz w:val="32"/>
          <w:szCs w:val="32"/>
        </w:rPr>
        <w:t>嵌入部门业务系统，促进公开与业务融合发展。推动基层政务公开向农村和社区延伸，探索适合基层实际的信息公开渠道，实现与村（居）务公开的有效衔接。</w:t>
      </w:r>
      <w:r>
        <w:rPr>
          <w:rFonts w:hint="eastAsia" w:ascii="楷体_GB2312" w:hAnsi="楷体_GB2312" w:eastAsia="楷体_GB2312" w:cs="楷体_GB2312"/>
          <w:sz w:val="32"/>
          <w:szCs w:val="32"/>
        </w:rPr>
        <w:t>（责任单位：各镇街、县政府各部门）</w:t>
      </w:r>
    </w:p>
    <w:p w14:paraId="17915FA3">
      <w:pPr>
        <w:pStyle w:val="9"/>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（五）规范依申请公开办理。</w:t>
      </w:r>
      <w:r>
        <w:rPr>
          <w:rFonts w:hint="eastAsia" w:ascii="仿宋_GB2312" w:hAnsi="仿宋_GB2312" w:eastAsia="仿宋_GB2312" w:cs="仿宋_GB2312"/>
          <w:sz w:val="32"/>
          <w:szCs w:val="32"/>
        </w:rPr>
        <w:t>规范依申请公开办理流程，完善配套制度，畅通受理渠道。各镇街、部门要在申请受理、审核、答复、送达、归档等各环节，明确工作要求和具体责任。加强业务指导，提升依申请公开办理人员的能力水平。积极开展依申请公开典型案件联合会商，对办理工作中的难点堵点、法律适用、答复规范等内容进行深入分析研讨，提升依申请公开办理质效。梳理征地拆迁、物业管理、行政执法等申请较为集中领域的政府信息，推动部分政府信息以主动公开方式在特定范围内公开。</w:t>
      </w:r>
      <w:r>
        <w:rPr>
          <w:rFonts w:hint="eastAsia" w:ascii="楷体_GB2312" w:hAnsi="楷体_GB2312" w:eastAsia="楷体_GB2312" w:cs="楷体_GB2312"/>
          <w:sz w:val="32"/>
          <w:szCs w:val="32"/>
        </w:rPr>
        <w:t>（责任单位：各镇街、县政府各部门）</w:t>
      </w:r>
    </w:p>
    <w:p w14:paraId="24A76E6A">
      <w:pPr>
        <w:pStyle w:val="14"/>
        <w:spacing w:before="0" w:after="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（六）加强政策解读回应。</w:t>
      </w:r>
      <w:r>
        <w:rPr>
          <w:rFonts w:hint="eastAsia" w:ascii="仿宋_GB2312" w:hAnsi="仿宋_GB2312" w:eastAsia="仿宋_GB2312" w:cs="仿宋_GB2312"/>
          <w:sz w:val="32"/>
          <w:szCs w:val="32"/>
        </w:rPr>
        <w:t>落实政策文件与政策解读同步组织、同步审签、同步部署“三同步”工作制度，将政策解读作为政策文件审签的重要一环，与政策文件同步录入政策文件库，并做好关联展示。建立健全政策全周期解读工作机制，政策出台前，对公开征求意见的政策文件草案做好解读说明；政策发布阶段，邀请相关部门负责人、专家学者等采用新闻发布会、撰写文章、接受媒体采访等方式多角度、全方位解读政策；政策实施后，探索开展二次解读、跟踪解读，有针对性地释疑解惑。利用12345市民服务热线的政策咨询功能，统筹</w:t>
      </w:r>
      <w:r>
        <w:rPr>
          <w:rFonts w:ascii="仿宋_GB2312" w:hAnsi="仿宋_GB2312" w:eastAsia="仿宋_GB2312" w:cs="仿宋_GB2312"/>
          <w:sz w:val="32"/>
          <w:szCs w:val="32"/>
        </w:rPr>
        <w:t>整合资源，</w:t>
      </w:r>
      <w:r>
        <w:rPr>
          <w:rFonts w:hint="eastAsia" w:ascii="仿宋_GB2312" w:hAnsi="仿宋_GB2312" w:eastAsia="仿宋_GB2312" w:cs="仿宋_GB2312"/>
          <w:sz w:val="32"/>
          <w:szCs w:val="32"/>
        </w:rPr>
        <w:t>拓宽政策发布渠道，提高</w:t>
      </w:r>
      <w:r>
        <w:rPr>
          <w:rFonts w:ascii="仿宋_GB2312" w:hAnsi="仿宋_GB2312" w:eastAsia="仿宋_GB2312" w:cs="仿宋_GB2312"/>
          <w:sz w:val="32"/>
          <w:szCs w:val="32"/>
        </w:rPr>
        <w:t>政策到达度和</w:t>
      </w:r>
      <w:r>
        <w:rPr>
          <w:rFonts w:hint="eastAsia" w:ascii="仿宋_GB2312" w:hAnsi="仿宋_GB2312" w:eastAsia="仿宋_GB2312" w:cs="仿宋_GB2312"/>
          <w:sz w:val="32"/>
          <w:szCs w:val="32"/>
        </w:rPr>
        <w:t>知晓率。</w:t>
      </w:r>
      <w:r>
        <w:rPr>
          <w:rFonts w:hint="eastAsia" w:ascii="楷体_GB2312" w:hAnsi="楷体_GB2312" w:eastAsia="楷体_GB2312" w:cs="楷体_GB2312"/>
          <w:sz w:val="32"/>
          <w:szCs w:val="32"/>
        </w:rPr>
        <w:t>（责任单位：各镇街、县政府各部门）</w:t>
      </w:r>
    </w:p>
    <w:p w14:paraId="28F7310C">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sz w:val="32"/>
          <w:szCs w:val="32"/>
        </w:rPr>
        <w:t>（七）提升政务公开专区建设。</w:t>
      </w:r>
      <w:r>
        <w:rPr>
          <w:rFonts w:hint="eastAsia" w:ascii="仿宋_GB2312" w:hAnsi="仿宋_GB2312" w:eastAsia="仿宋_GB2312" w:cs="仿宋_GB2312"/>
          <w:sz w:val="32"/>
          <w:szCs w:val="32"/>
        </w:rPr>
        <w:t>按照省、市政务公开专区建设要求，依托县政务服务大厅、</w:t>
      </w:r>
      <w:r>
        <w:rPr>
          <w:rFonts w:hint="eastAsia" w:ascii="仿宋_GB2312" w:hAnsi="Arial" w:eastAsia="仿宋_GB2312" w:cs="Arial"/>
          <w:sz w:val="32"/>
          <w:szCs w:val="32"/>
        </w:rPr>
        <w:t>镇街</w:t>
      </w:r>
      <w:r>
        <w:rPr>
          <w:rFonts w:hint="eastAsia" w:ascii="仿宋_GB2312" w:hAnsi="仿宋_GB2312" w:eastAsia="仿宋_GB2312" w:cs="仿宋_GB2312"/>
          <w:sz w:val="32"/>
          <w:szCs w:val="32"/>
        </w:rPr>
        <w:t>便民服务中心等场所，优化提升政务公开专区建设，完善配套管理制度和运行机制，加强政府信息查询、信息</w:t>
      </w:r>
      <w:r>
        <w:rPr>
          <w:rFonts w:hint="eastAsia" w:ascii="仿宋_GB2312" w:hAnsi="仿宋_GB2312" w:eastAsia="仿宋_GB2312" w:cs="仿宋_GB2312"/>
          <w:sz w:val="32"/>
          <w:szCs w:val="32"/>
          <w:highlight w:val="none"/>
        </w:rPr>
        <w:t>公开申请、办事咨询答复等服务，积极开展政策现场解读、综合政策咨询等活动，提高政务公开专区利用率和便捷度。（</w:t>
      </w:r>
      <w:r>
        <w:rPr>
          <w:rFonts w:hint="eastAsia" w:ascii="楷体_GB2312" w:hAnsi="楷体_GB2312" w:eastAsia="楷体_GB2312" w:cs="楷体_GB2312"/>
          <w:kern w:val="0"/>
          <w:sz w:val="32"/>
          <w:szCs w:val="32"/>
          <w:highlight w:val="none"/>
          <w:lang w:val="zh-CN"/>
        </w:rPr>
        <w:t>责任单位：各镇街、</w:t>
      </w:r>
      <w:r>
        <w:rPr>
          <w:rFonts w:hint="eastAsia" w:ascii="楷体_GB2312" w:hAnsi="楷体_GB2312" w:eastAsia="楷体_GB2312" w:cs="楷体_GB2312"/>
          <w:kern w:val="0"/>
          <w:sz w:val="32"/>
          <w:szCs w:val="32"/>
          <w:highlight w:val="none"/>
          <w:lang w:val="en-US" w:eastAsia="zh-CN"/>
        </w:rPr>
        <w:t>县政府有关部门</w:t>
      </w:r>
      <w:r>
        <w:rPr>
          <w:rFonts w:hint="eastAsia" w:ascii="楷体_GB2312" w:hAnsi="楷体_GB2312" w:eastAsia="楷体_GB2312" w:cs="楷体_GB2312"/>
          <w:kern w:val="0"/>
          <w:sz w:val="32"/>
          <w:szCs w:val="32"/>
          <w:highlight w:val="none"/>
          <w:lang w:val="zh-CN"/>
        </w:rPr>
        <w:t>）</w:t>
      </w:r>
    </w:p>
    <w:p w14:paraId="1D4A61DC">
      <w:pPr>
        <w:pStyle w:val="9"/>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三、围绕公众参与，加强政民政企互动交流</w:t>
      </w:r>
    </w:p>
    <w:p w14:paraId="5EFB5DA1">
      <w:pPr>
        <w:pStyle w:val="9"/>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（八）提升公众参与实效。</w:t>
      </w:r>
      <w:r>
        <w:rPr>
          <w:rFonts w:hint="eastAsia" w:ascii="仿宋_GB2312" w:hAnsi="仿宋_GB2312" w:eastAsia="仿宋_GB2312" w:cs="仿宋_GB2312"/>
          <w:sz w:val="32"/>
          <w:szCs w:val="32"/>
        </w:rPr>
        <w:t>做好重大行政决策事项目录发布和动态调整工作，明确决策事项的决策依据、决策程序和实施计划等内容。健全政策制定公众参与机制，通过问卷调查、听证座谈、实地走访等形式，广泛征求公众意见。建立健全政策执行情况评估机制，定期对政策落实情况、效益满意度、可持续性等因素进行评估，开展政策实施效果评价，加强跟踪问效。</w:t>
      </w:r>
      <w:r>
        <w:rPr>
          <w:rFonts w:hint="eastAsia" w:ascii="楷体_GB2312" w:hAnsi="楷体_GB2312" w:eastAsia="楷体_GB2312" w:cs="楷体_GB2312"/>
          <w:sz w:val="32"/>
          <w:szCs w:val="32"/>
        </w:rPr>
        <w:t>（责任单位：各镇街、县政府各部门）</w:t>
      </w:r>
    </w:p>
    <w:p w14:paraId="038C2E96">
      <w:pPr>
        <w:pStyle w:val="9"/>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（九）增强互动交流力度。</w:t>
      </w:r>
      <w:r>
        <w:rPr>
          <w:rFonts w:hint="eastAsia" w:ascii="仿宋_GB2312" w:hAnsi="仿宋_GB2312" w:eastAsia="仿宋_GB2312" w:cs="仿宋_GB2312"/>
          <w:sz w:val="32"/>
          <w:szCs w:val="32"/>
        </w:rPr>
        <w:t>继续组织开展全县政府开放活动，鼓励各镇街、各部门结合地域特色、职能特点围绕重要任务、重点项目和重要工作等积极开展形式多样的政府开放活动。坚持问题导向和需求导向相统一，鼓励通过线上线下多渠道广泛征集群众和企业的意见建议，围绕群众和企业关注的热点问题开展政府开放活动。政府开放活动要通过现场参观、互动体验、政策解读、座谈交流等形式，加强与公众的互动交流。</w:t>
      </w:r>
      <w:r>
        <w:rPr>
          <w:rFonts w:hint="eastAsia" w:ascii="楷体_GB2312" w:hAnsi="楷体_GB2312" w:eastAsia="楷体_GB2312" w:cs="楷体_GB2312"/>
          <w:sz w:val="32"/>
          <w:szCs w:val="32"/>
        </w:rPr>
        <w:t>（责任单位：各镇街、县政府各部门）</w:t>
      </w:r>
    </w:p>
    <w:p w14:paraId="688B47C2">
      <w:pPr>
        <w:pStyle w:val="9"/>
        <w:widowControl/>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四、强化数字赋能，增强政务公开服务能力</w:t>
      </w:r>
    </w:p>
    <w:p w14:paraId="698A8DF7">
      <w:pPr>
        <w:pStyle w:val="9"/>
        <w:widowControl/>
        <w:spacing w:beforeAutospacing="0" w:afterAutospacing="0" w:line="56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（十）推进政务公开数字化转型</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探索利用人工智能、大数据等新技术，分析研判12345市民服务热线、政务新媒体等渠道数据，动态捕捉群众企业关切热点，为政策制定和服务优化提供数据支撑。选取有条件的镇街、部门作为试点，探索开展政策信息点对点精准推送服务。增强县政府门户网站等平台信息检索功能，建设智能问答、精确查找等政策服务场景，提升政务公开数字化服务水平。</w:t>
      </w:r>
      <w:r>
        <w:rPr>
          <w:rFonts w:hint="eastAsia" w:ascii="楷体_GB2312" w:hAnsi="楷体_GB2312" w:eastAsia="楷体_GB2312" w:cs="楷体_GB2312"/>
          <w:color w:val="auto"/>
          <w:sz w:val="32"/>
          <w:szCs w:val="32"/>
        </w:rPr>
        <w:t>（责任单位：各镇街、县政府各部门）</w:t>
      </w:r>
    </w:p>
    <w:p w14:paraId="325AE3ED">
      <w:pPr>
        <w:pStyle w:val="9"/>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（十一）建立政策集中发布机制。</w:t>
      </w:r>
      <w:r>
        <w:rPr>
          <w:rFonts w:hint="eastAsia" w:ascii="仿宋_GB2312" w:hAnsi="仿宋_GB2312" w:eastAsia="仿宋_GB2312" w:cs="仿宋_GB2312"/>
          <w:sz w:val="32"/>
          <w:szCs w:val="32"/>
        </w:rPr>
        <w:t>按照省、市政府文件库平台建设要求，提高政策文件入库质量，加强日常管理，确保文件全量覆盖、要素齐全、格式规范、动态更新、检索便利。结合工作实际，优化升级县级政策文件集中发布平台，集中公开并动态更新现行有效的行政规范性文件和其他文件，增加历次修订文本，将现行有效文件和历次修订文本进行关联展示，全面展现历史沿革。选取部分群众企业关注度高、办事需求大、政策汇集面广的领域，实施跨部门政策集成式发布和一站式公开，提高政策查询的便捷性。</w:t>
      </w:r>
      <w:r>
        <w:rPr>
          <w:rFonts w:hint="eastAsia" w:ascii="楷体_GB2312" w:hAnsi="楷体_GB2312" w:eastAsia="楷体_GB2312" w:cs="楷体_GB2312"/>
          <w:sz w:val="32"/>
          <w:szCs w:val="32"/>
        </w:rPr>
        <w:t>（责任单位：各镇街、县政府各部门）</w:t>
      </w:r>
    </w:p>
    <w:p w14:paraId="40BB664B">
      <w:pPr>
        <w:pStyle w:val="9"/>
        <w:widowControl/>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（十二）强化政务公开平台建设。</w:t>
      </w:r>
      <w:r>
        <w:rPr>
          <w:rFonts w:hint="eastAsia" w:ascii="仿宋_GB2312" w:hAnsi="仿宋_GB2312" w:eastAsia="仿宋_GB2312" w:cs="仿宋_GB2312"/>
          <w:sz w:val="32"/>
          <w:szCs w:val="32"/>
        </w:rPr>
        <w:t>做好县政府门户网站和政务新媒体的运维管理、内容保障等工作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完善政务新媒体开设、关停、备案、检查等制度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政务新媒体“瘦身提质”，做大做强主账号，培育优质精品账号。强化日常监管和季度检查，及时办理“我为政府网站找错”留言，做好重要信息转发工作。各镇街、各部门要对照主动公开事项目录，及时调整完善政府网站法定主动公开内容栏目。建立已公开信息安全巡查机制，定期筛查并清理冗余失效信息，确保公开信息的准确性</w:t>
      </w:r>
    </w:p>
    <w:p w14:paraId="3785B42E">
      <w:pPr>
        <w:pStyle w:val="9"/>
        <w:widowControl/>
        <w:spacing w:beforeAutospacing="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和时效性。</w:t>
      </w:r>
      <w:r>
        <w:rPr>
          <w:rFonts w:hint="eastAsia" w:ascii="楷体_GB2312" w:hAnsi="楷体_GB2312" w:eastAsia="楷体_GB2312" w:cs="楷体_GB2312"/>
          <w:sz w:val="32"/>
          <w:szCs w:val="32"/>
        </w:rPr>
        <w:t>（责任单位：各镇街、县政府各部门）</w:t>
      </w:r>
    </w:p>
    <w:p w14:paraId="1F20C0E1">
      <w:pPr>
        <w:pStyle w:val="9"/>
        <w:widowControl/>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五、夯实工作基础，推动政务公开提质增效</w:t>
      </w:r>
    </w:p>
    <w:p w14:paraId="1DE14D2D">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（十三）加强组织领导。</w:t>
      </w:r>
      <w:r>
        <w:rPr>
          <w:rFonts w:hint="eastAsia" w:ascii="仿宋_GB2312" w:hAnsi="仿宋_GB2312" w:eastAsia="仿宋_GB2312" w:cs="仿宋_GB2312"/>
          <w:sz w:val="32"/>
          <w:szCs w:val="32"/>
        </w:rPr>
        <w:t>各镇街、各部门要提高政治站位，深刻领会新时代政务公开工作要求，有力有序推进政务公开各项工作落实。要明确公开责任，充实专业工作力量，形成上下联动、协同推进的工作格局，推动政务公开工作再上新台阶。</w:t>
      </w:r>
      <w:r>
        <w:rPr>
          <w:rFonts w:hint="eastAsia" w:ascii="楷体_GB2312" w:hAnsi="楷体_GB2312" w:eastAsia="楷体_GB2312" w:cs="楷体_GB2312"/>
          <w:sz w:val="32"/>
          <w:szCs w:val="32"/>
        </w:rPr>
        <w:t>（责任单位：各镇街、县政府各部门）</w:t>
      </w:r>
    </w:p>
    <w:p w14:paraId="162278AF">
      <w:pPr>
        <w:pStyle w:val="14"/>
        <w:spacing w:before="0" w:after="0" w:line="560" w:lineRule="exact"/>
        <w:ind w:firstLine="640" w:firstLineChars="200"/>
        <w:jc w:val="both"/>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rPr>
        <w:t>（十四）强化业务培训。</w:t>
      </w:r>
      <w:r>
        <w:rPr>
          <w:rFonts w:hint="eastAsia" w:ascii="仿宋_GB2312" w:hAnsi="仿宋_GB2312" w:eastAsia="仿宋_GB2312" w:cs="仿宋_GB2312"/>
          <w:sz w:val="32"/>
          <w:szCs w:val="32"/>
        </w:rPr>
        <w:t>各镇街、各部门要认真学习政务公开有关行政法规、工作要求，并纳入领导干部培训和公务员初任培训内容。围绕主动公开、依申请公开、政策解读、平台建设等专项工作，组织开展直达基层的专题培训指导。聚焦政策解读、依申请公开、政府网站和政务新媒体建设管理等重点工作，认真总结经验做法，持续开展交流分享，切实发挥引领作用。</w:t>
      </w:r>
      <w:r>
        <w:rPr>
          <w:rFonts w:hint="eastAsia" w:ascii="楷体_GB2312" w:hAnsi="楷体_GB2312" w:eastAsia="楷体_GB2312" w:cs="楷体_GB2312"/>
          <w:sz w:val="32"/>
          <w:szCs w:val="32"/>
        </w:rPr>
        <w:t>（责任单</w:t>
      </w:r>
      <w:r>
        <w:rPr>
          <w:rFonts w:hint="eastAsia" w:ascii="楷体_GB2312" w:hAnsi="楷体_GB2312" w:eastAsia="楷体_GB2312" w:cs="楷体_GB2312"/>
          <w:sz w:val="32"/>
          <w:szCs w:val="32"/>
          <w:highlight w:val="none"/>
        </w:rPr>
        <w:t>位：各镇街、县政府各部门）</w:t>
      </w:r>
    </w:p>
    <w:p w14:paraId="5F8C5536">
      <w:pPr>
        <w:spacing w:line="56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（十五）优化监管机制。</w:t>
      </w:r>
      <w:r>
        <w:rPr>
          <w:rFonts w:hint="eastAsia" w:ascii="仿宋_GB2312" w:hAnsi="仿宋_GB2312" w:eastAsia="仿宋_GB2312" w:cs="仿宋_GB2312"/>
          <w:sz w:val="32"/>
          <w:szCs w:val="32"/>
          <w:highlight w:val="none"/>
        </w:rPr>
        <w:t>组织开展政务公开和公共企事业单位信息公开效能监测，通过定期巡检、随机抽查、专项核查相结合的方式，构建全方位、多层次、常态化的监管格局。各镇街、各部门要将效能监测指标与日常工作有机融合，要结合实际，细化任务措施，建立整改台账，明确责任分工，切实抓好落实，为政务公开工作高质量发展提供坚实保障。</w:t>
      </w:r>
      <w:r>
        <w:rPr>
          <w:rFonts w:hint="eastAsia" w:ascii="楷体_GB2312" w:hAnsi="楷体_GB2312" w:eastAsia="楷体_GB2312" w:cs="楷体_GB2312"/>
          <w:sz w:val="32"/>
          <w:szCs w:val="32"/>
          <w:highlight w:val="none"/>
        </w:rPr>
        <w:t>（责任单位：各镇街、县政府各部门）</w:t>
      </w:r>
    </w:p>
    <w:p w14:paraId="0653F96E">
      <w:pPr>
        <w:spacing w:line="560" w:lineRule="exact"/>
        <w:ind w:firstLine="640" w:firstLineChars="200"/>
        <w:rPr>
          <w:rFonts w:hint="eastAsia" w:ascii="仿宋_GB2312" w:hAnsi="仿宋_GB2312" w:eastAsia="仿宋_GB2312" w:cs="仿宋_GB2312"/>
          <w:sz w:val="32"/>
          <w:szCs w:val="32"/>
          <w:highlight w:val="none"/>
        </w:rPr>
      </w:pPr>
    </w:p>
    <w:p w14:paraId="40E01E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aps w:val="0"/>
          <w:sz w:val="32"/>
        </w:rPr>
      </w:pPr>
    </w:p>
    <w:p w14:paraId="68BFDD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50"/>
        </w:tabs>
        <w:kinsoku/>
        <w:wordWrap/>
        <w:overflowPunct/>
        <w:topLinePunct w:val="0"/>
        <w:autoSpaceDE/>
        <w:autoSpaceDN/>
        <w:bidi w:val="0"/>
        <w:adjustRightInd/>
        <w:snapToGrid/>
        <w:spacing w:before="0" w:beforeAutospacing="0" w:after="0" w:afterAutospacing="0" w:line="600" w:lineRule="exact"/>
        <w:ind w:right="0"/>
        <w:textAlignment w:val="auto"/>
        <w:rPr>
          <w:rFonts w:hint="default" w:ascii="仿宋_GB2312" w:eastAsia="仿宋_GB2312"/>
          <w:sz w:val="32"/>
          <w:szCs w:val="32"/>
          <w:lang w:val="en-US" w:eastAsia="zh-CN"/>
        </w:rPr>
      </w:pPr>
    </w:p>
    <w:p w14:paraId="6A59E8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50"/>
        </w:tabs>
        <w:kinsoku/>
        <w:wordWrap/>
        <w:overflowPunct/>
        <w:topLinePunct w:val="0"/>
        <w:autoSpaceDE/>
        <w:autoSpaceDN/>
        <w:bidi w:val="0"/>
        <w:adjustRightInd/>
        <w:snapToGrid/>
        <w:spacing w:before="0" w:beforeAutospacing="0" w:after="0" w:afterAutospacing="0" w:line="600" w:lineRule="exact"/>
        <w:ind w:right="0"/>
        <w:textAlignment w:val="auto"/>
        <w:rPr>
          <w:rFonts w:hint="default" w:ascii="仿宋_GB2312" w:eastAsia="仿宋_GB2312"/>
          <w:sz w:val="32"/>
          <w:szCs w:val="32"/>
          <w:lang w:val="en-US" w:eastAsia="zh-CN"/>
        </w:rPr>
      </w:pPr>
    </w:p>
    <w:p w14:paraId="3EF7547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31A80D4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097AA75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534A2F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DA3337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4C96B67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064D37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B4BD5D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418CB9B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326A346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42E9DBE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42DF126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51A3382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5F13D3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4B090AF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1F7F81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63A08F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3F5F88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60CCF7C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469762B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2DA1A30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1A4BB8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BD284A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11D8DB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189CC85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4FA1F0E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4A0D7F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09D2AC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15E93BB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22D9D9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50D124A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673CCF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3F50D7C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42B50FE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89CB4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189B77A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181D2DE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2445E5D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3F11202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35E4DA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6D97087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0F0437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220E29D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6EAE68E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72A2D12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p w14:paraId="2C683B60">
      <w:pPr>
        <w:keepNext w:val="0"/>
        <w:keepLines w:val="0"/>
        <w:pageBreakBefore w:val="0"/>
        <w:widowControl w:val="0"/>
        <w:kinsoku/>
        <w:wordWrap/>
        <w:overflowPunct/>
        <w:topLinePunct w:val="0"/>
        <w:autoSpaceDE/>
        <w:autoSpaceDN/>
        <w:bidi w:val="0"/>
        <w:adjustRightInd/>
        <w:snapToGrid/>
        <w:spacing w:before="120" w:line="240" w:lineRule="exact"/>
        <w:jc w:val="both"/>
        <w:textAlignment w:val="auto"/>
        <w:rPr>
          <w:rFonts w:hint="eastAsia" w:ascii="仿宋_GB2312" w:hAnsi="仿宋_GB2312" w:eastAsia="仿宋_GB2312" w:cs="仿宋_GB2312"/>
          <w:spacing w:val="-6"/>
          <w:sz w:val="32"/>
          <w:szCs w:val="32"/>
          <w:lang w:val="en-US" w:eastAsia="zh-CN" w:bidi="ar-SA"/>
        </w:rPr>
      </w:pPr>
    </w:p>
    <w:p w14:paraId="7972AA8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32"/>
          <w:szCs w:val="32"/>
          <w:lang w:val="en-US" w:eastAsia="zh-CN" w:bidi="ar-SA"/>
        </w:rPr>
      </w:pPr>
    </w:p>
    <w:tbl>
      <w:tblPr>
        <w:tblStyle w:val="10"/>
        <w:tblW w:w="901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14"/>
      </w:tblGrid>
      <w:tr w14:paraId="0B4C97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exact"/>
          <w:jc w:val="center"/>
        </w:trPr>
        <w:tc>
          <w:tcPr>
            <w:tcW w:w="0" w:type="auto"/>
            <w:tcBorders>
              <w:top w:val="single" w:color="auto" w:sz="4" w:space="0"/>
              <w:bottom w:val="single" w:color="auto" w:sz="4" w:space="0"/>
            </w:tcBorders>
            <w:vAlign w:val="center"/>
          </w:tcPr>
          <w:p w14:paraId="6557DF81">
            <w:pPr>
              <w:spacing w:line="400" w:lineRule="exact"/>
              <w:ind w:firstLine="140" w:firstLineChars="50"/>
              <w:rPr>
                <w:rFonts w:ascii="FangSong_GB2312" w:eastAsia="Times New Roman"/>
                <w:color w:val="000000" w:themeColor="text1"/>
                <w:spacing w:val="20"/>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平阴县</w:t>
            </w: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人民政府</w:t>
            </w:r>
            <w:r>
              <w:rPr>
                <w:rFonts w:hint="eastAsia" w:ascii="仿宋_GB2312" w:hAnsi="仿宋_GB2312" w:eastAsia="仿宋_GB2312" w:cs="仿宋_GB2312"/>
                <w:color w:val="000000" w:themeColor="text1"/>
                <w:spacing w:val="0"/>
                <w:sz w:val="28"/>
                <w:szCs w:val="28"/>
                <w14:textFill>
                  <w14:solidFill>
                    <w14:schemeClr w14:val="tx1"/>
                  </w14:solidFill>
                </w14:textFill>
              </w:rPr>
              <w:t xml:space="preserve">办公室   </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8"/>
                <w:szCs w:val="28"/>
                <w14:textFill>
                  <w14:solidFill>
                    <w14:schemeClr w14:val="tx1"/>
                  </w14:solidFill>
                </w14:textFill>
              </w:rPr>
              <w:t xml:space="preserve"> 202</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28"/>
                <w:szCs w:val="28"/>
                <w14:textFill>
                  <w14:solidFill>
                    <w14:schemeClr w14:val="tx1"/>
                  </w14:solidFill>
                </w14:textFill>
              </w:rPr>
              <w:t>年</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pacing w:val="0"/>
                <w:sz w:val="28"/>
                <w:szCs w:val="28"/>
                <w14:textFill>
                  <w14:solidFill>
                    <w14:schemeClr w14:val="tx1"/>
                  </w14:solidFill>
                </w14:textFill>
              </w:rPr>
              <w:t>月</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28"/>
                <w:szCs w:val="28"/>
                <w14:textFill>
                  <w14:solidFill>
                    <w14:schemeClr w14:val="tx1"/>
                  </w14:solidFill>
                </w14:textFill>
              </w:rPr>
              <w:t>日印发</w:t>
            </w:r>
          </w:p>
        </w:tc>
      </w:tr>
    </w:tbl>
    <w:p w14:paraId="3FCA4DC2">
      <w:pPr>
        <w:keepNext w:val="0"/>
        <w:keepLines w:val="0"/>
        <w:pageBreakBefore w:val="0"/>
        <w:widowControl/>
        <w:kinsoku/>
        <w:wordWrap/>
        <w:overflowPunct/>
        <w:topLinePunct w:val="0"/>
        <w:autoSpaceDE/>
        <w:autoSpaceDN/>
        <w:bidi w:val="0"/>
        <w:adjustRightInd/>
        <w:snapToGrid/>
        <w:spacing w:line="16" w:lineRule="exact"/>
        <w:textAlignment w:val="auto"/>
        <w:rPr>
          <w:rFonts w:ascii="Times New Roman" w:hAnsi="Times New Roman" w:eastAsia="仿宋_GB2312" w:cs="Times New Roman"/>
          <w:sz w:val="32"/>
          <w:szCs w:val="32"/>
        </w:rPr>
      </w:pPr>
    </w:p>
    <w:p w14:paraId="0ECF8773">
      <w:pPr>
        <w:keepNext w:val="0"/>
        <w:keepLines w:val="0"/>
        <w:pageBreakBefore w:val="0"/>
        <w:widowControl w:val="0"/>
        <w:tabs>
          <w:tab w:val="left" w:pos="1716"/>
        </w:tabs>
        <w:kinsoku/>
        <w:wordWrap/>
        <w:overflowPunct/>
        <w:topLinePunct w:val="0"/>
        <w:autoSpaceDE/>
        <w:autoSpaceDN/>
        <w:bidi w:val="0"/>
        <w:adjustRightInd/>
        <w:snapToGrid/>
        <w:spacing w:line="16" w:lineRule="exact"/>
        <w:ind w:firstLine="640" w:firstLineChars="200"/>
        <w:jc w:val="both"/>
        <w:textAlignment w:val="auto"/>
        <w:rPr>
          <w:rFonts w:ascii="仿宋_GB2312" w:hAnsi="仿宋_GB2312" w:eastAsia="仿宋_GB2312" w:cs="仿宋_GB2312"/>
          <w:sz w:val="32"/>
          <w:szCs w:val="32"/>
        </w:rPr>
      </w:pPr>
    </w:p>
    <w:sectPr>
      <w:pgSz w:w="11850" w:h="16783"/>
      <w:pgMar w:top="1701" w:right="1587" w:bottom="1587" w:left="1587"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6C14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CED13">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ECED13">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CF"/>
    <w:rsid w:val="00014296"/>
    <w:rsid w:val="003F2E62"/>
    <w:rsid w:val="004C6E61"/>
    <w:rsid w:val="005A5794"/>
    <w:rsid w:val="00654E1F"/>
    <w:rsid w:val="006B59B4"/>
    <w:rsid w:val="00764D92"/>
    <w:rsid w:val="00847CC7"/>
    <w:rsid w:val="00C637CF"/>
    <w:rsid w:val="00CE0DCF"/>
    <w:rsid w:val="00D457BC"/>
    <w:rsid w:val="00D63510"/>
    <w:rsid w:val="00F51F98"/>
    <w:rsid w:val="011D6CA4"/>
    <w:rsid w:val="041C5E95"/>
    <w:rsid w:val="05662EA1"/>
    <w:rsid w:val="066902AF"/>
    <w:rsid w:val="071E1A41"/>
    <w:rsid w:val="08E138AF"/>
    <w:rsid w:val="0B48194C"/>
    <w:rsid w:val="0BB32934"/>
    <w:rsid w:val="0D37711B"/>
    <w:rsid w:val="0E2C7881"/>
    <w:rsid w:val="125255E5"/>
    <w:rsid w:val="134734FD"/>
    <w:rsid w:val="13E22097"/>
    <w:rsid w:val="2018458E"/>
    <w:rsid w:val="212471F8"/>
    <w:rsid w:val="219A72C8"/>
    <w:rsid w:val="23B5643C"/>
    <w:rsid w:val="2554459B"/>
    <w:rsid w:val="2E2704AE"/>
    <w:rsid w:val="2E6F1FF4"/>
    <w:rsid w:val="31F84633"/>
    <w:rsid w:val="359A7A31"/>
    <w:rsid w:val="3A5800AF"/>
    <w:rsid w:val="3BC10E11"/>
    <w:rsid w:val="3BF5322F"/>
    <w:rsid w:val="3E431EC5"/>
    <w:rsid w:val="43484AE7"/>
    <w:rsid w:val="4C5E7DF2"/>
    <w:rsid w:val="4D610325"/>
    <w:rsid w:val="51F606C3"/>
    <w:rsid w:val="5392474D"/>
    <w:rsid w:val="544B5FF0"/>
    <w:rsid w:val="55311DAC"/>
    <w:rsid w:val="577650A5"/>
    <w:rsid w:val="57B91C0D"/>
    <w:rsid w:val="5938571D"/>
    <w:rsid w:val="59AC68EF"/>
    <w:rsid w:val="5A9E06D9"/>
    <w:rsid w:val="5AED047B"/>
    <w:rsid w:val="5C3017EC"/>
    <w:rsid w:val="5C307EB4"/>
    <w:rsid w:val="5C4F5ACC"/>
    <w:rsid w:val="5D383EFB"/>
    <w:rsid w:val="5F64678F"/>
    <w:rsid w:val="5FDE2203"/>
    <w:rsid w:val="63B93B7C"/>
    <w:rsid w:val="65252623"/>
    <w:rsid w:val="66AA06D8"/>
    <w:rsid w:val="6B120F8F"/>
    <w:rsid w:val="6D895BE1"/>
    <w:rsid w:val="6D911160"/>
    <w:rsid w:val="6D93565A"/>
    <w:rsid w:val="6EC72090"/>
    <w:rsid w:val="70956AE3"/>
    <w:rsid w:val="7177572A"/>
    <w:rsid w:val="739867AA"/>
    <w:rsid w:val="73B65F90"/>
    <w:rsid w:val="73CD1EDD"/>
    <w:rsid w:val="755F2E57"/>
    <w:rsid w:val="76F912C5"/>
    <w:rsid w:val="79CE5F93"/>
    <w:rsid w:val="7A636972"/>
    <w:rsid w:val="7CAB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outlineLvl w:val="2"/>
    </w:p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Indent"/>
    <w:basedOn w:val="1"/>
    <w:next w:val="4"/>
    <w:qFormat/>
    <w:uiPriority w:val="0"/>
    <w:pPr>
      <w:tabs>
        <w:tab w:val="left" w:pos="7655"/>
      </w:tabs>
      <w:spacing w:before="120" w:line="340" w:lineRule="atLeast"/>
      <w:ind w:right="40" w:firstLine="425"/>
    </w:pPr>
    <w:rPr>
      <w:rFonts w:ascii="宋体"/>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spacing w:before="120" w:after="120"/>
      <w:jc w:val="left"/>
    </w:pPr>
    <w:rPr>
      <w:rFonts w:hAnsi="Times New Roman" w:eastAsia="Times New Roman"/>
      <w:b/>
      <w:bCs/>
      <w: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3">
    <w:name w:val="页眉 字符"/>
    <w:basedOn w:val="12"/>
    <w:link w:val="7"/>
    <w:qFormat/>
    <w:uiPriority w:val="0"/>
    <w:rPr>
      <w:kern w:val="2"/>
      <w:sz w:val="18"/>
      <w:szCs w:val="18"/>
    </w:rPr>
  </w:style>
  <w:style w:type="paragraph" w:customStyle="1" w:styleId="14">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3646</Words>
  <Characters>3680</Characters>
  <Lines>34</Lines>
  <Paragraphs>9</Paragraphs>
  <TotalTime>2</TotalTime>
  <ScaleCrop>false</ScaleCrop>
  <LinksUpToDate>false</LinksUpToDate>
  <CharactersWithSpaces>3804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雨中独行</cp:lastModifiedBy>
  <cp:lastPrinted>2025-07-09T07:04:00Z</cp:lastPrinted>
  <dcterms:modified xsi:type="dcterms:W3CDTF">2025-07-09T07:18:51Z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eyJoZGlkIjoiYzRkZGM1ZjlhZTVjOTYxZGMxYWY5YWMyMTg5NDA5M2EiLCJ1c2VySWQiOiIxMTM5NjM4OTU3In0=</vt:lpwstr>
  </property>
  <property fmtid="{D5CDD505-2E9C-101B-9397-08002B2CF9AE}" pid="4" name="ICV">
    <vt:lpwstr>FEDA7374776B4A41B0396233FE4F0365_12</vt:lpwstr>
  </property>
</Properties>
</file>