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F7AE">
      <w:pPr>
        <w:keepNext w:val="0"/>
        <w:keepLines w:val="0"/>
        <w:pageBreakBefore w:val="0"/>
        <w:widowControl w:val="0"/>
        <w:tabs>
          <w:tab w:val="left" w:pos="2000"/>
        </w:tabs>
        <w:kinsoku/>
        <w:wordWrap/>
        <w:overflowPunct/>
        <w:topLinePunct w:val="0"/>
        <w:autoSpaceDE/>
        <w:autoSpaceDN/>
        <w:bidi w:val="0"/>
        <w:adjustRightInd/>
        <w:snapToGrid/>
        <w:spacing w:line="300" w:lineRule="exact"/>
        <w:textAlignment w:val="auto"/>
        <w:rPr>
          <w:rFonts w:hint="eastAsia"/>
        </w:rPr>
      </w:pPr>
    </w:p>
    <w:p w14:paraId="701FB470">
      <w:pPr>
        <w:keepNext w:val="0"/>
        <w:keepLines w:val="0"/>
        <w:pageBreakBefore w:val="0"/>
        <w:widowControl w:val="0"/>
        <w:tabs>
          <w:tab w:val="left" w:pos="2000"/>
        </w:tabs>
        <w:kinsoku/>
        <w:wordWrap/>
        <w:overflowPunct/>
        <w:topLinePunct w:val="0"/>
        <w:autoSpaceDE/>
        <w:autoSpaceDN/>
        <w:bidi w:val="0"/>
        <w:adjustRightInd/>
        <w:snapToGrid/>
        <w:spacing w:line="300" w:lineRule="exact"/>
        <w:textAlignment w:val="auto"/>
        <w:rPr>
          <w:rFonts w:hint="eastAsia"/>
        </w:rPr>
      </w:pPr>
    </w:p>
    <w:p w14:paraId="51D4232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14:paraId="2383EC0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rPr>
      </w:pPr>
    </w:p>
    <w:p w14:paraId="58F93C20">
      <w:pPr>
        <w:keepNext w:val="0"/>
        <w:keepLines w:val="0"/>
        <w:pageBreakBefore w:val="0"/>
        <w:widowControl w:val="0"/>
        <w:tabs>
          <w:tab w:val="left" w:pos="4725"/>
        </w:tabs>
        <w:kinsoku/>
        <w:wordWrap/>
        <w:overflowPunct/>
        <w:topLinePunct w:val="0"/>
        <w:autoSpaceDE/>
        <w:autoSpaceDN/>
        <w:bidi w:val="0"/>
        <w:adjustRightInd/>
        <w:snapToGrid/>
        <w:spacing w:line="300" w:lineRule="exact"/>
        <w:jc w:val="center"/>
        <w:textAlignment w:val="auto"/>
        <w:rPr>
          <w:rFonts w:hint="eastAsia"/>
        </w:rPr>
      </w:pPr>
      <w:r>
        <w:pict>
          <v:shape id="_x0000_s1026" o:spid="_x0000_s1026" o:spt="136" type="#_x0000_t136" style="position:absolute;left:0pt;margin-left:10.5pt;margin-top:10.65pt;height:64.35pt;width:416.7pt;mso-wrap-distance-bottom:0pt;mso-wrap-distance-left:9pt;mso-wrap-distance-right:9pt;mso-wrap-distance-top:0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平阴县人民政府办公室" style="font-family:方正小标宋简体;font-size:18pt;v-rotate-letters:f;v-same-letter-heights:f;v-text-align:center;v-text-spacing:72090f;"/>
            <w10:wrap type="square"/>
          </v:shape>
        </w:pict>
      </w:r>
    </w:p>
    <w:p w14:paraId="4822866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rPr>
      </w:pPr>
    </w:p>
    <w:p w14:paraId="4E330BE9">
      <w:pPr>
        <w:keepNext w:val="0"/>
        <w:keepLines w:val="0"/>
        <w:pageBreakBefore w:val="0"/>
        <w:widowControl w:val="0"/>
        <w:shd w:val="clear" w:color="auto" w:fill="auto"/>
        <w:kinsoku/>
        <w:wordWrap/>
        <w:overflowPunct/>
        <w:topLinePunct w:val="0"/>
        <w:autoSpaceDE/>
        <w:autoSpaceDN/>
        <w:bidi w:val="0"/>
        <w:adjustRightInd w:val="0"/>
        <w:snapToGrid w:val="0"/>
        <w:spacing w:before="60" w:line="1000" w:lineRule="exact"/>
        <w:ind w:firstLine="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平政办</w:t>
      </w:r>
      <w:r>
        <w:rPr>
          <w:rFonts w:hint="eastAsia" w:ascii="仿宋_GB2312" w:hAnsi="仿宋_GB2312" w:eastAsia="仿宋_GB2312" w:cs="仿宋_GB2312"/>
          <w:b w:val="0"/>
          <w:bCs w:val="0"/>
          <w:color w:val="auto"/>
          <w:sz w:val="32"/>
          <w:szCs w:val="32"/>
          <w:lang w:eastAsia="zh-CN"/>
        </w:rPr>
        <w:t>字</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24</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号</w:t>
      </w:r>
    </w:p>
    <w:p w14:paraId="48E95B6E">
      <w:pPr>
        <w:jc w:val="center"/>
      </w:pPr>
      <w:r>
        <w:rPr>
          <w:rFonts w:hint="eastAsia"/>
        </w:rPr>
        <w:pict>
          <v:line id="直接连接符 1" o:spid="_x0000_s1027" o:spt="20" style="position:absolute;left:0pt;margin-left:-5.95pt;margin-top:3.4pt;height:0pt;width:445.05pt;z-index:251661312;mso-width-relative:page;mso-height-relative:page;" filled="f" stroked="t" coordsize="21600,21600">
            <v:path arrowok="t"/>
            <v:fill on="f" focussize="0,0"/>
            <v:stroke weight="1.75pt" color="#FF0000" joinstyle="round"/>
            <v:imagedata o:title=""/>
            <o:lock v:ext="edit" aspectratio="f"/>
          </v:line>
        </w:pict>
      </w:r>
    </w:p>
    <w:p w14:paraId="397A7614">
      <w:pPr>
        <w:keepNext w:val="0"/>
        <w:keepLines w:val="0"/>
        <w:pageBreakBefore w:val="0"/>
        <w:widowControl w:val="0"/>
        <w:shd w:val="clear" w:color="auto" w:fill="auto"/>
        <w:kinsoku/>
        <w:wordWrap/>
        <w:overflowPunct/>
        <w:topLinePunct w:val="0"/>
        <w:autoSpaceDE/>
        <w:autoSpaceDN/>
        <w:bidi w:val="0"/>
        <w:adjustRightInd w:val="0"/>
        <w:snapToGrid w:val="0"/>
        <w:spacing w:line="600" w:lineRule="exact"/>
        <w:ind w:firstLine="0"/>
        <w:jc w:val="both"/>
        <w:textAlignment w:val="auto"/>
        <w:rPr>
          <w:rFonts w:hint="eastAsia" w:ascii="仿宋_GB2312" w:hAnsi="仿宋_GB2312" w:eastAsia="仿宋_GB2312" w:cs="仿宋_GB2312"/>
          <w:b w:val="0"/>
          <w:bCs w:val="0"/>
          <w:color w:val="auto"/>
          <w:sz w:val="32"/>
          <w:szCs w:val="32"/>
        </w:rPr>
      </w:pPr>
    </w:p>
    <w:p w14:paraId="01FE85A9">
      <w:pPr>
        <w:pStyle w:val="6"/>
        <w:widowControl/>
        <w:autoSpaceDE w:val="0"/>
        <w:spacing w:beforeAutospacing="0" w:afterAutospacing="0" w:line="620" w:lineRule="exact"/>
        <w:jc w:val="center"/>
      </w:pPr>
      <w:r>
        <w:rPr>
          <w:rFonts w:ascii="方正小标宋简体" w:hAnsi="方正小标宋简体" w:eastAsia="方正小标宋简体" w:cs="方正小标宋简体"/>
          <w:sz w:val="44"/>
          <w:szCs w:val="44"/>
        </w:rPr>
        <w:t>平阴县</w:t>
      </w:r>
      <w:r>
        <w:rPr>
          <w:rFonts w:hint="eastAsia" w:ascii="方正小标宋简体" w:hAnsi="方正小标宋简体" w:eastAsia="方正小标宋简体" w:cs="方正小标宋简体"/>
          <w:sz w:val="44"/>
          <w:szCs w:val="44"/>
        </w:rPr>
        <w:t>人民政府办公室</w:t>
      </w:r>
    </w:p>
    <w:p w14:paraId="7B4CBCD4">
      <w:pPr>
        <w:pStyle w:val="6"/>
        <w:widowControl/>
        <w:autoSpaceDE w:val="0"/>
        <w:spacing w:beforeAutospacing="0" w:afterAutospacing="0" w:line="620" w:lineRule="exact"/>
        <w:jc w:val="center"/>
      </w:pPr>
      <w:r>
        <w:rPr>
          <w:rFonts w:hint="eastAsia" w:ascii="方正小标宋简体" w:hAnsi="方正小标宋简体" w:eastAsia="方正小标宋简体" w:cs="方正小标宋简体"/>
          <w:sz w:val="44"/>
          <w:szCs w:val="44"/>
        </w:rPr>
        <w:t>关于印发2024年平阴县政务公开</w:t>
      </w:r>
    </w:p>
    <w:p w14:paraId="1EF084F3">
      <w:pPr>
        <w:pStyle w:val="6"/>
        <w:widowControl/>
        <w:autoSpaceDE w:val="0"/>
        <w:spacing w:beforeAutospacing="0" w:afterAutospacing="0" w:line="6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工作要点的通知</w:t>
      </w:r>
    </w:p>
    <w:p w14:paraId="1D692413">
      <w:pPr>
        <w:pStyle w:val="6"/>
        <w:widowControl/>
        <w:autoSpaceDE w:val="0"/>
        <w:spacing w:beforeAutospacing="0" w:afterAutospacing="0" w:line="620" w:lineRule="exact"/>
      </w:pPr>
      <w:bookmarkStart w:id="0" w:name="_GoBack"/>
      <w:bookmarkEnd w:id="0"/>
    </w:p>
    <w:p w14:paraId="4E279037">
      <w:pPr>
        <w:pStyle w:val="6"/>
        <w:widowControl/>
        <w:spacing w:beforeAutospacing="0" w:afterAutospacing="0" w:line="620" w:lineRule="exact"/>
      </w:pPr>
      <w:r>
        <w:rPr>
          <w:rFonts w:hint="eastAsia" w:ascii="仿宋_GB2312" w:eastAsia="仿宋_GB2312" w:cs="仿宋_GB2312"/>
          <w:spacing w:val="-6"/>
          <w:sz w:val="32"/>
          <w:szCs w:val="32"/>
        </w:rPr>
        <w:t>各镇人民政府，各街道办事处，县政府各部门：</w:t>
      </w:r>
    </w:p>
    <w:p w14:paraId="74EF10E4">
      <w:pPr>
        <w:widowControl/>
        <w:spacing w:line="620" w:lineRule="exact"/>
        <w:ind w:firstLine="720"/>
        <w:jc w:val="left"/>
      </w:pPr>
      <w:r>
        <w:rPr>
          <w:rFonts w:hint="eastAsia" w:ascii="仿宋_GB2312" w:eastAsia="仿宋_GB2312" w:cs="仿宋_GB2312"/>
          <w:kern w:val="0"/>
          <w:sz w:val="32"/>
          <w:szCs w:val="32"/>
        </w:rPr>
        <w:t>《2024年平阴县政务公开工作要点》已经县政府研究同意，现印发给你们，请结合实际认真抓好贯彻落实。</w:t>
      </w:r>
    </w:p>
    <w:p w14:paraId="33230DC7">
      <w:pPr>
        <w:widowControl/>
        <w:spacing w:line="620" w:lineRule="exact"/>
        <w:ind w:firstLine="720"/>
        <w:jc w:val="left"/>
      </w:pPr>
    </w:p>
    <w:p w14:paraId="1D6ACB29">
      <w:pPr>
        <w:widowControl/>
        <w:spacing w:line="620" w:lineRule="exact"/>
        <w:ind w:firstLine="720"/>
        <w:jc w:val="right"/>
      </w:pPr>
      <w:r>
        <w:rPr>
          <w:rFonts w:hint="eastAsia" w:ascii="仿宋_GB2312" w:eastAsia="仿宋_GB2312" w:cs="仿宋_GB2312"/>
          <w:color w:val="FFFFFF" w:themeColor="background1"/>
          <w:kern w:val="0"/>
          <w:sz w:val="32"/>
          <w:szCs w:val="32"/>
        </w:rPr>
        <w:t>                             </w:t>
      </w:r>
      <w:r>
        <w:rPr>
          <w:rFonts w:hint="eastAsia" w:ascii="仿宋_GB2312" w:eastAsia="仿宋_GB2312" w:cs="仿宋_GB2312"/>
          <w:kern w:val="0"/>
          <w:sz w:val="32"/>
          <w:szCs w:val="32"/>
        </w:rPr>
        <w:t>平阴县人民政府办公室</w:t>
      </w:r>
    </w:p>
    <w:p w14:paraId="52063F31">
      <w:pPr>
        <w:pStyle w:val="6"/>
        <w:widowControl/>
        <w:autoSpaceDE w:val="0"/>
        <w:spacing w:beforeAutospacing="0" w:afterAutospacing="0" w:line="620" w:lineRule="exact"/>
        <w:ind w:right="320" w:firstLine="640"/>
        <w:jc w:val="right"/>
      </w:pPr>
      <w:r>
        <w:rPr>
          <w:rFonts w:hint="eastAsia" w:ascii="仿宋_GB2312" w:eastAsia="仿宋_GB2312" w:cs="仿宋_GB2312"/>
          <w:sz w:val="32"/>
          <w:szCs w:val="32"/>
        </w:rPr>
        <w:t>2024年</w:t>
      </w: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日</w:t>
      </w:r>
    </w:p>
    <w:p w14:paraId="0F3D793E">
      <w:pPr>
        <w:pStyle w:val="6"/>
        <w:widowControl/>
        <w:autoSpaceDE w:val="0"/>
        <w:spacing w:beforeAutospacing="0" w:afterAutospacing="0" w:line="620" w:lineRule="exact"/>
        <w:ind w:firstLine="640"/>
      </w:pPr>
      <w:r>
        <w:rPr>
          <w:rFonts w:hint="eastAsia" w:ascii="仿宋_GB2312" w:eastAsia="仿宋_GB2312" w:cs="仿宋_GB2312"/>
          <w:sz w:val="32"/>
          <w:szCs w:val="32"/>
        </w:rPr>
        <w:t>（此件公开发布）</w:t>
      </w:r>
    </w:p>
    <w:p w14:paraId="550F92C0">
      <w:pPr>
        <w:widowControl/>
        <w:spacing w:line="620" w:lineRule="exact"/>
        <w:jc w:val="center"/>
        <w:rPr>
          <w:rFonts w:ascii="方正小标宋简体" w:hAnsi="方正小标宋简体" w:eastAsia="方正小标宋简体" w:cs="方正小标宋简体"/>
          <w:kern w:val="0"/>
          <w:sz w:val="44"/>
          <w:szCs w:val="44"/>
        </w:rPr>
      </w:pPr>
    </w:p>
    <w:p w14:paraId="1B1FE8F2">
      <w:pPr>
        <w:widowControl/>
        <w:spacing w:line="620" w:lineRule="exact"/>
        <w:jc w:val="center"/>
        <w:rPr>
          <w:rFonts w:ascii="方正小标宋简体" w:hAnsi="方正小标宋简体" w:eastAsia="方正小标宋简体" w:cs="方正小标宋简体"/>
          <w:kern w:val="0"/>
          <w:sz w:val="44"/>
          <w:szCs w:val="44"/>
        </w:rPr>
      </w:pPr>
    </w:p>
    <w:p w14:paraId="0DD1BB56">
      <w:pPr>
        <w:keepNext w:val="0"/>
        <w:keepLines w:val="0"/>
        <w:pageBreakBefore w:val="0"/>
        <w:widowControl/>
        <w:kinsoku/>
        <w:wordWrap/>
        <w:overflowPunct/>
        <w:topLinePunct w:val="0"/>
        <w:autoSpaceDN/>
        <w:bidi w:val="0"/>
        <w:adjustRightInd/>
        <w:snapToGrid/>
        <w:spacing w:line="600" w:lineRule="exact"/>
        <w:jc w:val="both"/>
        <w:textAlignment w:val="auto"/>
        <w:rPr>
          <w:rFonts w:ascii="方正小标宋简体" w:hAnsi="方正小标宋简体" w:eastAsia="方正小标宋简体" w:cs="方正小标宋简体"/>
          <w:kern w:val="0"/>
          <w:sz w:val="44"/>
          <w:szCs w:val="44"/>
        </w:rPr>
      </w:pPr>
    </w:p>
    <w:p w14:paraId="4AF125BB">
      <w:pPr>
        <w:keepNext w:val="0"/>
        <w:keepLines w:val="0"/>
        <w:pageBreakBefore w:val="0"/>
        <w:widowControl/>
        <w:kinsoku/>
        <w:wordWrap/>
        <w:overflowPunct/>
        <w:topLinePunct w:val="0"/>
        <w:autoSpaceDN/>
        <w:bidi w:val="0"/>
        <w:adjustRightInd/>
        <w:snapToGrid/>
        <w:spacing w:line="600" w:lineRule="exact"/>
        <w:jc w:val="center"/>
        <w:textAlignment w:val="auto"/>
      </w:pPr>
      <w:r>
        <w:rPr>
          <w:rFonts w:hint="eastAsia" w:ascii="方正小标宋简体" w:hAnsi="方正小标宋简体" w:eastAsia="方正小标宋简体" w:cs="方正小标宋简体"/>
          <w:kern w:val="0"/>
          <w:sz w:val="44"/>
          <w:szCs w:val="44"/>
        </w:rPr>
        <w:t>2024年平阴县政务公开工作要点</w:t>
      </w:r>
    </w:p>
    <w:p w14:paraId="4D701002">
      <w:pPr>
        <w:keepNext w:val="0"/>
        <w:keepLines w:val="0"/>
        <w:pageBreakBefore w:val="0"/>
        <w:widowControl/>
        <w:kinsoku/>
        <w:wordWrap/>
        <w:overflowPunct/>
        <w:topLinePunct w:val="0"/>
        <w:autoSpaceDN/>
        <w:bidi w:val="0"/>
        <w:adjustRightInd/>
        <w:snapToGrid/>
        <w:spacing w:line="600" w:lineRule="exact"/>
        <w:ind w:firstLine="640"/>
        <w:jc w:val="both"/>
        <w:textAlignment w:val="auto"/>
      </w:pPr>
    </w:p>
    <w:p w14:paraId="498C7FB4">
      <w:pPr>
        <w:keepNext w:val="0"/>
        <w:keepLines w:val="0"/>
        <w:pageBreakBefore w:val="0"/>
        <w:widowControl/>
        <w:kinsoku/>
        <w:wordWrap/>
        <w:overflowPunct/>
        <w:topLinePunct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2024年是平阴全方位推进高质量发展的关键之年。政务公开工作的总体要求是：以习近平新时代中国特色社会主义思想为指导，全面贯彻党的二十大精神，深入落实习近平总书记对山东、对济南工作的重要指示要求，准确把握新时代政务公开新形势、新要求，紧紧围绕县委、县政府重点工作任务，统筹政务公开与安全保密，深化政策解读，</w:t>
      </w:r>
      <w:r>
        <w:rPr>
          <w:rFonts w:ascii="仿宋_GB2312" w:eastAsia="仿宋_GB2312" w:cs="仿宋_GB2312"/>
          <w:kern w:val="0"/>
          <w:sz w:val="32"/>
          <w:szCs w:val="32"/>
        </w:rPr>
        <w:t>有力回应群众关切，更好发挥政务公开促落实、促规范、促服务、促治理能力提升的功能，</w:t>
      </w:r>
      <w:r>
        <w:rPr>
          <w:rFonts w:hint="eastAsia" w:ascii="仿宋_GB2312" w:eastAsia="仿宋_GB2312" w:cs="仿宋_GB2312"/>
          <w:kern w:val="0"/>
          <w:sz w:val="32"/>
          <w:szCs w:val="32"/>
        </w:rPr>
        <w:t>为奋力谱写中国式现代化平阴实践新篇章作出贡献。</w:t>
      </w:r>
    </w:p>
    <w:p w14:paraId="3BF40F13">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ascii="黑体" w:hAnsi="宋体" w:eastAsia="黑体" w:cs="黑体"/>
          <w:kern w:val="0"/>
          <w:sz w:val="32"/>
          <w:szCs w:val="32"/>
        </w:rPr>
        <w:t>一、</w:t>
      </w:r>
      <w:r>
        <w:rPr>
          <w:rFonts w:hint="eastAsia" w:ascii="黑体" w:hAnsi="宋体" w:eastAsia="黑体" w:cs="黑体"/>
          <w:kern w:val="0"/>
          <w:sz w:val="32"/>
          <w:szCs w:val="32"/>
        </w:rPr>
        <w:t>深入落实高质量主动公开</w:t>
      </w:r>
    </w:p>
    <w:p w14:paraId="735FC144">
      <w:pPr>
        <w:keepNext w:val="0"/>
        <w:keepLines w:val="0"/>
        <w:pageBreakBefore w:val="0"/>
        <w:widowControl/>
        <w:kinsoku/>
        <w:wordWrap/>
        <w:overflowPunct/>
        <w:topLinePunct w:val="0"/>
        <w:autoSpaceDN/>
        <w:bidi w:val="0"/>
        <w:adjustRightInd/>
        <w:snapToGrid/>
        <w:spacing w:line="600" w:lineRule="exact"/>
        <w:ind w:firstLine="640"/>
        <w:jc w:val="both"/>
        <w:textAlignment w:val="auto"/>
      </w:pPr>
      <w:r>
        <w:rPr>
          <w:rFonts w:hint="eastAsia" w:ascii="楷体_GB2312" w:eastAsia="楷体_GB2312" w:cs="楷体_GB2312"/>
          <w:kern w:val="0"/>
          <w:sz w:val="32"/>
          <w:szCs w:val="32"/>
        </w:rPr>
        <w:t>（</w:t>
      </w:r>
      <w:r>
        <w:rPr>
          <w:rFonts w:ascii="楷体_GB2312" w:eastAsia="楷体_GB2312" w:cs="楷体_GB2312"/>
          <w:kern w:val="0"/>
          <w:sz w:val="32"/>
          <w:szCs w:val="32"/>
        </w:rPr>
        <w:t>一</w:t>
      </w:r>
      <w:r>
        <w:rPr>
          <w:rFonts w:hint="eastAsia" w:ascii="楷体_GB2312" w:eastAsia="楷体_GB2312" w:cs="楷体_GB2312"/>
          <w:kern w:val="0"/>
          <w:sz w:val="32"/>
          <w:szCs w:val="32"/>
        </w:rPr>
        <w:t>）聚焦重点任务，推进高质量公开。</w:t>
      </w:r>
      <w:r>
        <w:rPr>
          <w:rFonts w:hint="eastAsia" w:ascii="仿宋_GB2312" w:eastAsia="仿宋_GB2312" w:cs="仿宋_GB2312"/>
          <w:kern w:val="0"/>
          <w:sz w:val="32"/>
          <w:szCs w:val="32"/>
        </w:rPr>
        <w:t>重点围绕扩大有效投资、招商引资、对外开放、绿色低碳高质量发展等方面的重要政策，做好高质量政策发布和宣传推送。完善全生命周期管理服务体系，全力做好国家重大战略、高质量产业、重点基础设施、水利工程、防灾减灾、民生保障等领域重大建设项目批准和实施信息公开工作。针对住房改善、医疗康养、直播电商、体育赛事等领域的消费支持政策，做好信息发布和舆论引导工作。</w:t>
      </w:r>
    </w:p>
    <w:p w14:paraId="64BD3E86">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hint="eastAsia" w:ascii="仿宋_GB2312" w:eastAsia="仿宋_GB2312" w:cs="仿宋_GB2312"/>
          <w:kern w:val="0"/>
          <w:sz w:val="32"/>
          <w:szCs w:val="32"/>
        </w:rPr>
      </w:pPr>
      <w:r>
        <w:rPr>
          <w:rFonts w:hint="eastAsia" w:ascii="楷体_GB2312" w:eastAsia="楷体_GB2312" w:cs="楷体_GB2312"/>
          <w:kern w:val="0"/>
          <w:sz w:val="32"/>
          <w:szCs w:val="32"/>
        </w:rPr>
        <w:t>（二）聚焦重点领域，提升治理能力。</w:t>
      </w:r>
      <w:r>
        <w:rPr>
          <w:rFonts w:hint="eastAsia" w:ascii="仿宋_GB2312" w:eastAsia="仿宋_GB2312" w:cs="仿宋_GB2312"/>
          <w:kern w:val="0"/>
          <w:sz w:val="32"/>
          <w:szCs w:val="32"/>
        </w:rPr>
        <w:t>加大城市更新相关政策宣传力度，及时公开翠屏片区、锦水片区等40个老旧小区</w:t>
      </w:r>
    </w:p>
    <w:p w14:paraId="0E15D17C">
      <w:pPr>
        <w:keepNext w:val="0"/>
        <w:keepLines w:val="0"/>
        <w:pageBreakBefore w:val="0"/>
        <w:widowControl/>
        <w:kinsoku/>
        <w:wordWrap/>
        <w:overflowPunct/>
        <w:topLinePunct w:val="0"/>
        <w:autoSpaceDE w:val="0"/>
        <w:autoSpaceDN/>
        <w:bidi w:val="0"/>
        <w:adjustRightInd/>
        <w:snapToGrid/>
        <w:spacing w:line="600" w:lineRule="exact"/>
        <w:jc w:val="both"/>
        <w:textAlignment w:val="auto"/>
      </w:pPr>
      <w:r>
        <w:rPr>
          <w:rFonts w:hint="eastAsia" w:ascii="仿宋_GB2312" w:eastAsia="仿宋_GB2312" w:cs="仿宋_GB2312"/>
          <w:kern w:val="0"/>
          <w:sz w:val="32"/>
          <w:szCs w:val="32"/>
        </w:rPr>
        <w:t>改造工程工作进展情况，积极回应群众关切，引导公众参与、支持城市更新工作。稳步推进重大项目环评审批信息全过程公开。及时发布建设“无废城市”相关工作动态，做好政策宣传解读和引导。加强生活垃圾分类信息公开，持续开展生活垃圾分类宣传活动，推进垃圾分类宣传教育基地向社会公众开放。围绕打造乡村振兴齐鲁样板示范区、建设宜居宜业和美乡村，做好乡村产业、乡村建设、乡村治理等领域的乡村振兴信息公开，持续做好重要政策宣传发布。围绕惠农资金补助发放、拆迁安置方案等事项，通过结果公示与存档备查相结合的方式，加强对小微权力运行的监督。</w:t>
      </w:r>
    </w:p>
    <w:p w14:paraId="0EE4E598">
      <w:pPr>
        <w:keepNext w:val="0"/>
        <w:keepLines w:val="0"/>
        <w:pageBreakBefore w:val="0"/>
        <w:widowControl/>
        <w:numPr>
          <w:ilvl w:val="0"/>
          <w:numId w:val="0"/>
        </w:numPr>
        <w:kinsoku/>
        <w:wordWrap/>
        <w:overflowPunct/>
        <w:topLinePunct w:val="0"/>
        <w:autoSpaceDN/>
        <w:bidi w:val="0"/>
        <w:adjustRightInd/>
        <w:snapToGrid/>
        <w:spacing w:line="600" w:lineRule="exact"/>
        <w:ind w:firstLine="640" w:firstLineChars="0"/>
        <w:jc w:val="both"/>
        <w:textAlignment w:val="auto"/>
        <w:rPr>
          <w:rFonts w:hint="eastAsia" w:ascii="仿宋_GB2312" w:eastAsia="仿宋_GB2312" w:cs="仿宋_GB2312"/>
          <w:kern w:val="0"/>
          <w:sz w:val="32"/>
          <w:szCs w:val="32"/>
        </w:rPr>
      </w:pPr>
      <w:r>
        <w:rPr>
          <w:rFonts w:hint="eastAsia" w:ascii="楷体_GB2312" w:hAnsi="楷体_GB2312" w:eastAsia="楷体_GB2312" w:cs="楷体_GB2312"/>
          <w:kern w:val="0"/>
          <w:sz w:val="32"/>
          <w:szCs w:val="32"/>
          <w:lang w:val="en-US" w:eastAsia="zh-CN" w:bidi="ar-SA"/>
        </w:rPr>
        <w:t>（三）</w:t>
      </w:r>
      <w:r>
        <w:rPr>
          <w:rFonts w:hint="eastAsia" w:ascii="楷体_GB2312" w:hAnsi="楷体_GB2312" w:eastAsia="楷体_GB2312" w:cs="楷体_GB2312"/>
          <w:kern w:val="0"/>
          <w:sz w:val="32"/>
          <w:szCs w:val="32"/>
        </w:rPr>
        <w:t>聚</w:t>
      </w:r>
      <w:r>
        <w:rPr>
          <w:rFonts w:hint="eastAsia" w:ascii="楷体_GB2312" w:eastAsia="楷体_GB2312" w:cs="楷体_GB2312"/>
          <w:kern w:val="0"/>
          <w:sz w:val="32"/>
          <w:szCs w:val="32"/>
        </w:rPr>
        <w:t>焦民生实事，</w:t>
      </w:r>
      <w:r>
        <w:rPr>
          <w:rFonts w:ascii="楷体_GB2312" w:eastAsia="楷体_GB2312" w:cs="楷体_GB2312"/>
          <w:kern w:val="0"/>
          <w:sz w:val="32"/>
          <w:szCs w:val="32"/>
        </w:rPr>
        <w:t>增进民生福祉</w:t>
      </w:r>
      <w:r>
        <w:rPr>
          <w:rFonts w:hint="eastAsia" w:ascii="楷体_GB2312" w:eastAsia="楷体_GB2312" w:cs="楷体_GB2312"/>
          <w:kern w:val="0"/>
          <w:sz w:val="32"/>
          <w:szCs w:val="32"/>
        </w:rPr>
        <w:t>。</w:t>
      </w:r>
      <w:r>
        <w:rPr>
          <w:rFonts w:hint="eastAsia" w:ascii="仿宋_GB2312" w:eastAsia="仿宋_GB2312" w:cs="仿宋_GB2312"/>
          <w:kern w:val="0"/>
          <w:sz w:val="32"/>
          <w:szCs w:val="32"/>
        </w:rPr>
        <w:t>及时更新发布就业创业政策清单，分类梳理面向高校毕业生、困难人员、退役军人等不同群体以及各类经营主体的政策举措，加大政策解读和推送力度。加大县域智慧医共体建设、基层医疗卫生服务体系建设、中医药传承创新发展等领域信息公开力度。持续做好保障性住房建设和供给政策措施发布宣传，及时公开廉租住房、保障性租赁住房等相关信息。持续推进义务教育、学前教育、特殊教育、职业教育等方面的信息公开。加强“一老一小”服务保障有关政策推送，重点推送“玫好夕阳”养老服务体系建设、养老康复院项目、居民长期护理保险、儿童福利服务、学前教育资源覆盖等支持政策和措施，动态调整并公开社会救助标准。加大物业、环卫、家政等从业群体社会保障信息公开力</w:t>
      </w:r>
    </w:p>
    <w:p w14:paraId="5BFA1C96">
      <w:pPr>
        <w:keepNext w:val="0"/>
        <w:keepLines w:val="0"/>
        <w:pageBreakBefore w:val="0"/>
        <w:widowControl/>
        <w:numPr>
          <w:ilvl w:val="0"/>
          <w:numId w:val="0"/>
        </w:numPr>
        <w:kinsoku/>
        <w:wordWrap/>
        <w:overflowPunct/>
        <w:topLinePunct w:val="0"/>
        <w:autoSpaceDN/>
        <w:bidi w:val="0"/>
        <w:adjustRightInd/>
        <w:snapToGrid/>
        <w:spacing w:line="600" w:lineRule="exact"/>
        <w:jc w:val="both"/>
        <w:textAlignment w:val="auto"/>
      </w:pPr>
      <w:r>
        <w:rPr>
          <w:rFonts w:hint="eastAsia" w:ascii="仿宋_GB2312" w:eastAsia="仿宋_GB2312" w:cs="仿宋_GB2312"/>
          <w:kern w:val="0"/>
          <w:sz w:val="32"/>
          <w:szCs w:val="32"/>
        </w:rPr>
        <w:t>度。</w:t>
      </w:r>
    </w:p>
    <w:p w14:paraId="4257F166">
      <w:pPr>
        <w:keepNext w:val="0"/>
        <w:keepLines w:val="0"/>
        <w:pageBreakBefore w:val="0"/>
        <w:widowControl/>
        <w:kinsoku/>
        <w:wordWrap/>
        <w:overflowPunct/>
        <w:topLinePunct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（四）聚焦职能职责，提高监管效能。</w:t>
      </w:r>
      <w:r>
        <w:rPr>
          <w:rFonts w:hint="eastAsia" w:ascii="仿宋_GB2312" w:eastAsia="仿宋_GB2312" w:cs="仿宋_GB2312"/>
          <w:kern w:val="0"/>
          <w:sz w:val="32"/>
          <w:szCs w:val="32"/>
        </w:rPr>
        <w:t>结合政府机构改革和职能优化，做好政府部门权责清单和机构职能信息的调整和公开工作。严格落实行政执法公示制度，加强“双随机、一公开”监管信息公开，规范行政事业性收费和政府性基金目录以及招投标、公共资源配置等领域政府信息公开。加强市场监管制度规则和标准的更新发布和解读，及时公开建设高标准市场体系的具体措施，提高监管透明度。加强对公共企事业单位的监管，推进信息公开与业务工作深度融合。</w:t>
      </w:r>
    </w:p>
    <w:p w14:paraId="71A8720A">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黑体" w:hAnsi="宋体" w:eastAsia="黑体" w:cs="黑体"/>
          <w:kern w:val="0"/>
          <w:sz w:val="32"/>
          <w:szCs w:val="32"/>
        </w:rPr>
        <w:t>二、持续提高政策解读质效</w:t>
      </w:r>
    </w:p>
    <w:p w14:paraId="46386C4E">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（五）集中精准，提高政策发布质量</w:t>
      </w:r>
      <w:r>
        <w:rPr>
          <w:rFonts w:hint="eastAsia" w:ascii="仿宋_GB2312" w:eastAsia="仿宋_GB2312" w:cs="仿宋_GB2312"/>
          <w:kern w:val="0"/>
          <w:sz w:val="32"/>
          <w:szCs w:val="32"/>
        </w:rPr>
        <w:t>。统筹推进全县政策集中发布平台建设，强化政府网站政策数据同源管理，提升政策公开质量和效率。推进政策发布数字化转型，探索构建以网上发布为主、其他发布渠道为辅的政策发布新格局。严格按照全市政府文件库建设要求，提高入库政府文件质量，做好日常运维和动态更新，确保入库文件全量覆盖、内容要素齐全、格式文本规范、检索查询便利。将行政规范性文件作为工作重点，加强已公开政策的信息管理，根据立改废情况动态更新，以公开的准确性保障执行的准确性。围绕“高效办成一件事”，选取部分企业群众关注度高、办事需求大、政策体量大的领域，建设专题专栏，对企业群众高频咨询政策实行集成发布和一站式公开。探索运用大数据、人工智能等信息技术优化政策点对点推送，确保政策直达基层、直达企业、直达群众。加强政府公报数字化服务功能，利用新媒体加强政府公报内容传播。</w:t>
      </w:r>
    </w:p>
    <w:p w14:paraId="2957D7D3">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楷体_GB2312" w:eastAsia="楷体_GB2312" w:cs="楷体_GB2312"/>
          <w:kern w:val="0"/>
          <w:sz w:val="32"/>
          <w:szCs w:val="32"/>
        </w:rPr>
        <w:t>（六）全面准确，提高政策解读质量。</w:t>
      </w:r>
      <w:r>
        <w:rPr>
          <w:rFonts w:hint="eastAsia" w:ascii="仿宋_GB2312" w:eastAsia="仿宋_GB2312" w:cs="仿宋_GB2312"/>
          <w:kern w:val="0"/>
          <w:sz w:val="32"/>
          <w:szCs w:val="32"/>
        </w:rPr>
        <w:t>聚焦扩大有效需求、数字经济发展、重点领域改革、高水平对外开放、高质量招商引资、乡村振兴、新型城镇化建设、降碳减污扩绿、保障改善民生等方面政策，深入实施解读。充分利用政府网站、政务服务大厅、12345市民服务热线等渠道收集企业群众诉求，对政策中与企业群众生产生活密切相关的具体条款和事项，进行要点拆分、深度解读和综合指引，不断丰富解读内容，提高解读质量。对涉及办事服务的政策性文件，确保政策解读内容与实际办事要求一致。充分发挥部门主要负责人、政策参与制定者和熟悉有关业务的专家学者、专业机构从业人员、新闻评论员、媒体记者的作用，综合运用新闻发布会、媒体互动直播、现场宣讲、撰写评论文章等方式多角度全方位开展解读。</w:t>
      </w:r>
    </w:p>
    <w:p w14:paraId="21A44DA6">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黑体" w:hAnsi="宋体" w:eastAsia="黑体" w:cs="黑体"/>
          <w:kern w:val="0"/>
          <w:sz w:val="32"/>
          <w:szCs w:val="32"/>
        </w:rPr>
        <w:t>三、切实增强政民互动交流能力</w:t>
      </w:r>
    </w:p>
    <w:p w14:paraId="576C6E28">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楷体_GB2312" w:eastAsia="楷体_GB2312" w:cs="楷体_GB2312"/>
          <w:kern w:val="0"/>
          <w:sz w:val="32"/>
          <w:szCs w:val="32"/>
        </w:rPr>
        <w:t>（七）推进重大决策公众参与。</w:t>
      </w:r>
      <w:r>
        <w:rPr>
          <w:rFonts w:hint="eastAsia" w:ascii="仿宋_GB2312" w:eastAsia="仿宋_GB2312" w:cs="仿宋_GB2312"/>
          <w:kern w:val="0"/>
          <w:sz w:val="32"/>
          <w:szCs w:val="32"/>
        </w:rPr>
        <w:t>深入落实重大决策公众参与程序，健全公众参与政策制定机制，制定涉及重大公共利益的政策，除依法应当保密的外，应当采取征求意见、听证座谈、实地走访、民意调查等方式扩大公众参与。制定涉企政策应主动听取相关企业的意见。继续推进邀请利益相关方、公众代表、企业法人等列席政府有关会议工作，列席代表的意见发表和采纳情况要向社会公开。探索建立政务公开监督员制度，积极向政务公开工作机构反馈企业群众的意见建议。建立政策效果评价机制，常态化开展政策评价，制定政策性文件的部门原则上每年至少开展2次专题性政策评价工作，围绕政策使用情况、取得成效、存在问题等开展效果评价。要深入分析政策评价结果，适时转化为调整政策制定的措施，每年年底前将政策评价结果和运用情况向社会公开。</w:t>
      </w:r>
    </w:p>
    <w:p w14:paraId="15DDBF52">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（八）提升政民互动交流实效。</w:t>
      </w:r>
      <w:r>
        <w:rPr>
          <w:rFonts w:hint="eastAsia" w:ascii="仿宋_GB2312" w:eastAsia="仿宋_GB2312" w:cs="仿宋_GB2312"/>
          <w:kern w:val="0"/>
          <w:sz w:val="32"/>
          <w:szCs w:val="32"/>
        </w:rPr>
        <w:t>组织开展以企业群众重点关注事项为主要内容的政府开放活动，精心设置议题，通过线上线下联动，畅通企业群众反映诉求的渠道。鼓励以公开征集意见方式，确定政府开放活动主题和场次，推动政府开放活动常态化。统筹做好在线访谈、民生连线、意见征集等互动渠道建设，严格落实各渠道办理时限，及时公开公众意见建议采纳情况。加强对收集意见建议的分析研究，在作出公开决策时予以考虑，并将吸收采纳情况向社会公开。</w:t>
      </w:r>
    </w:p>
    <w:p w14:paraId="3CED05FC">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黑体" w:hAnsi="宋体" w:eastAsia="黑体" w:cs="黑体"/>
          <w:kern w:val="0"/>
          <w:sz w:val="32"/>
          <w:szCs w:val="32"/>
        </w:rPr>
        <w:t>四、全面提升依申请公开办理水平</w:t>
      </w:r>
    </w:p>
    <w:p w14:paraId="01BD93EA">
      <w:pPr>
        <w:keepNext w:val="0"/>
        <w:keepLines w:val="0"/>
        <w:pageBreakBefore w:val="0"/>
        <w:kinsoku/>
        <w:wordWrap/>
        <w:overflowPunct/>
        <w:topLinePunct w:val="0"/>
        <w:autoSpaceDE w:val="0"/>
        <w:autoSpaceDN/>
        <w:bidi w:val="0"/>
        <w:adjustRightInd/>
        <w:snapToGrid/>
        <w:spacing w:line="600" w:lineRule="exact"/>
        <w:ind w:firstLine="641"/>
        <w:jc w:val="both"/>
        <w:textAlignment w:val="auto"/>
      </w:pPr>
      <w:r>
        <w:rPr>
          <w:rFonts w:hint="eastAsia" w:ascii="楷体_GB2312" w:eastAsia="楷体_GB2312" w:cs="楷体_GB2312"/>
          <w:kern w:val="0"/>
          <w:sz w:val="32"/>
          <w:szCs w:val="32"/>
        </w:rPr>
        <w:t>（九）规范依申请公开办理工作。</w:t>
      </w:r>
      <w:r>
        <w:rPr>
          <w:rFonts w:hint="eastAsia" w:ascii="仿宋_GB2312" w:eastAsia="仿宋_GB2312" w:cs="仿宋_GB2312"/>
          <w:kern w:val="0"/>
          <w:sz w:val="32"/>
          <w:szCs w:val="32"/>
        </w:rPr>
        <w:t>认真落实全省“依申请公开质效提升年”活动要求，全面提升全县依申请公开办理水平。</w:t>
      </w:r>
      <w:r>
        <w:rPr>
          <w:rFonts w:ascii="仿宋_GB2312" w:eastAsia="仿宋_GB2312" w:cs="仿宋_GB2312"/>
          <w:kern w:val="0"/>
          <w:sz w:val="32"/>
          <w:szCs w:val="32"/>
        </w:rPr>
        <w:t>坚持实事求是</w:t>
      </w:r>
      <w:r>
        <w:rPr>
          <w:rFonts w:hint="eastAsia" w:ascii="仿宋_GB2312" w:eastAsia="仿宋_GB2312" w:cs="仿宋_GB2312"/>
          <w:kern w:val="0"/>
          <w:sz w:val="32"/>
          <w:szCs w:val="32"/>
        </w:rPr>
        <w:t>，注重温情服务，主动与申请人沟通，做好便民解答、指引和服务，推动申请人合理诉求的实质性解决。围绕征地拆迁、项目建设、社会保障等企业群众重点关注领域，深入研究分析，积极推动申请较为集中的政府信息由依申请公开向主动公开转化。加强跨层级、跨部门协调联动，研究制定相关约束转办机制，有效解决申请人权利滥用、行政机关未依法行政等问题。加强对全县依申请公开的工作指导、跟踪督导，对影响面广、敏感度高的申请，做到早了解、早研究，妥善处理疑难复杂案件。认真落实省市依申请公开一体化管理平台建设工作相关要求，对依申请公开加强全流程监管，借助信息化手段，推进依申请办理程序化、规范化、标准化。</w:t>
      </w:r>
    </w:p>
    <w:p w14:paraId="0AC43BFB">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黑体" w:hAnsi="宋体" w:eastAsia="黑体" w:cs="黑体"/>
          <w:kern w:val="0"/>
          <w:sz w:val="32"/>
          <w:szCs w:val="32"/>
        </w:rPr>
        <w:t>五、大力推进公开平台建设</w:t>
      </w:r>
    </w:p>
    <w:p w14:paraId="45163B09">
      <w:pPr>
        <w:pStyle w:val="6"/>
        <w:keepNext w:val="0"/>
        <w:keepLines w:val="0"/>
        <w:pageBreakBefore w:val="0"/>
        <w:widowControl/>
        <w:kinsoku/>
        <w:wordWrap/>
        <w:overflowPunct/>
        <w:topLinePunct w:val="0"/>
        <w:autoSpaceDE w:val="0"/>
        <w:autoSpaceDN/>
        <w:bidi w:val="0"/>
        <w:adjustRightInd/>
        <w:snapToGrid/>
        <w:spacing w:beforeAutospacing="0" w:afterAutospacing="0" w:line="600" w:lineRule="exact"/>
        <w:ind w:firstLine="640"/>
        <w:jc w:val="both"/>
        <w:textAlignment w:val="auto"/>
      </w:pPr>
      <w:r>
        <w:rPr>
          <w:rFonts w:hint="eastAsia" w:ascii="楷体_GB2312" w:eastAsia="楷体_GB2312" w:cs="楷体_GB2312"/>
          <w:sz w:val="32"/>
          <w:szCs w:val="32"/>
        </w:rPr>
        <w:t>（十）优化提升政府网站功能。</w:t>
      </w:r>
      <w:r>
        <w:rPr>
          <w:rFonts w:hint="eastAsia" w:ascii="仿宋_GB2312" w:eastAsia="仿宋_GB2312" w:cs="仿宋_GB2312"/>
          <w:sz w:val="32"/>
          <w:szCs w:val="32"/>
        </w:rPr>
        <w:t>持续做好政务公开专题专栏建设，提升政府网站信息发布、解读回应、办事服务、互动交流服务效能。完善政府网站站内检索功能，增设错别字自动纠正、关键词推荐、拼音转化搜索、通俗语言搜索等功能，对搜索结果提供多维度分类展现，实现“搜索即服务”。完善政策问答平台运行机制，围绕高频政策咨询事项构建知识库，形成各级各部门协同联动、对接共享的政策问答体系。推动12345市民服务热线与政务服务平台、政府网站政民互动栏目、政务新媒体等互联互通、共享共用政策咨询问答知识库。</w:t>
      </w:r>
    </w:p>
    <w:p w14:paraId="3C83A0DC">
      <w:pPr>
        <w:keepNext w:val="0"/>
        <w:keepLines w:val="0"/>
        <w:pageBreakBefore w:val="0"/>
        <w:kinsoku/>
        <w:wordWrap/>
        <w:overflowPunct/>
        <w:topLinePunct w:val="0"/>
        <w:autoSpaceDE w:val="0"/>
        <w:autoSpaceDN/>
        <w:bidi w:val="0"/>
        <w:adjustRightInd/>
        <w:snapToGrid/>
        <w:spacing w:line="600" w:lineRule="exact"/>
        <w:ind w:firstLine="641"/>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（十一）加强政府网站和政务新媒体监管力度。</w:t>
      </w:r>
      <w:r>
        <w:rPr>
          <w:rFonts w:hint="eastAsia" w:ascii="仿宋_GB2312" w:eastAsia="仿宋_GB2312" w:cs="仿宋_GB2312"/>
          <w:kern w:val="0"/>
          <w:sz w:val="32"/>
          <w:szCs w:val="32"/>
        </w:rPr>
        <w:t>按照国家、省、市有关要求，做好政府网站和政务新媒体监管工作，健全完善备案管理、开设关停、检查通报等全链条工作制度。持续做好“我为政府网站找错”平台留言办理工作。利用好“济南市政府网站和政务新媒体数字化监管平台”，严格落实信息发布“三审三校”制度，实现统一备案、统一运维平台、一键式发布、一体化监管。清理整合功能相近、用户关注度和利用率低的政务新媒体，集中力量做大做强主账号，打造一批优质精品账号。强化政务新媒体矩阵体系建设，及时、准确、集中转载重要信息，构建整体联动、集体发声的政务新媒体矩阵。</w:t>
      </w:r>
    </w:p>
    <w:p w14:paraId="327BB36C">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（十二）拓展公共企事业信息公开平台功能。</w:t>
      </w:r>
      <w:r>
        <w:rPr>
          <w:rFonts w:hint="eastAsia" w:ascii="仿宋_GB2312" w:eastAsia="仿宋_GB2312" w:cs="仿宋_GB2312"/>
          <w:kern w:val="0"/>
          <w:sz w:val="32"/>
          <w:szCs w:val="32"/>
        </w:rPr>
        <w:t>进一步完善全县公共企事业单位信息公开发布平台，主动公开教育、卫生健康等领域相关信息。逐步扩大公共企事业单位信息公开适用领域，探索建立各领域统一的行业性信息公开平台和咨询窗口，科学合理确定公开内容，推动信息公开“一站式”服务。定期开展全县公共企事业单位信息公开专项评估，及时发现和解决问题，推动工作有效落实。</w:t>
      </w:r>
    </w:p>
    <w:p w14:paraId="59FA5E55">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（十三）持续提升政务公开专区建设。</w:t>
      </w:r>
      <w:r>
        <w:rPr>
          <w:rFonts w:hint="eastAsia" w:ascii="仿宋_GB2312" w:eastAsia="仿宋_GB2312" w:cs="仿宋_GB2312"/>
          <w:kern w:val="0"/>
          <w:sz w:val="32"/>
          <w:szCs w:val="32"/>
        </w:rPr>
        <w:t>紧紧围绕企业群众需求，整合现有政务服务场所和信息化资源，对全县现有政务公开专区建设进行规范升级，做强政府信息查询、信息公开申请、办事咨询答复等服务，探索实现政务公开专区查询服务系统与政府信息公开专栏、政府文件库等互联互通。拓展政务公开专区功能，积极开展重要政策现场解读、综合政策咨询、办事流程演示等活动，推进政务公开与政务服务深度融合。在镇街便民服务中心等服务场所，筛选打造一批有特色有亮点的品牌专区。</w:t>
      </w:r>
    </w:p>
    <w:p w14:paraId="04DB9FE8">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黑体" w:hAnsi="宋体" w:eastAsia="黑体" w:cs="黑体"/>
          <w:kern w:val="0"/>
          <w:sz w:val="32"/>
          <w:szCs w:val="32"/>
        </w:rPr>
        <w:t>六、着力夯实政务公开工作基础</w:t>
      </w:r>
    </w:p>
    <w:p w14:paraId="309080EA">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hint="eastAsia" w:ascii="仿宋_GB2312" w:eastAsia="仿宋_GB2312" w:cs="仿宋_GB2312"/>
          <w:kern w:val="0"/>
          <w:sz w:val="32"/>
          <w:szCs w:val="32"/>
        </w:rPr>
      </w:pPr>
      <w:r>
        <w:rPr>
          <w:rFonts w:hint="eastAsia" w:ascii="楷体_GB2312" w:hAnsi="楷体_GB2312" w:eastAsia="楷体_GB2312" w:cs="楷体_GB2312"/>
          <w:kern w:val="0"/>
          <w:sz w:val="32"/>
          <w:szCs w:val="32"/>
        </w:rPr>
        <w:t>（十四）加大工作保障力度。</w:t>
      </w:r>
      <w:r>
        <w:rPr>
          <w:rFonts w:hint="eastAsia" w:ascii="仿宋_GB2312" w:eastAsia="仿宋_GB2312" w:cs="仿宋_GB2312"/>
          <w:kern w:val="0"/>
          <w:sz w:val="32"/>
          <w:szCs w:val="32"/>
        </w:rPr>
        <w:t>各镇街、各部门（单位）要</w:t>
      </w:r>
    </w:p>
    <w:p w14:paraId="7C09FF35">
      <w:pPr>
        <w:keepNext w:val="0"/>
        <w:keepLines w:val="0"/>
        <w:pageBreakBefore w:val="0"/>
        <w:widowControl/>
        <w:kinsoku/>
        <w:wordWrap/>
        <w:overflowPunct/>
        <w:topLinePunct w:val="0"/>
        <w:autoSpaceDE w:val="0"/>
        <w:autoSpaceDN/>
        <w:bidi w:val="0"/>
        <w:adjustRightInd/>
        <w:snapToGrid/>
        <w:spacing w:line="600" w:lineRule="exact"/>
        <w:jc w:val="both"/>
        <w:textAlignment w:val="auto"/>
      </w:pPr>
      <w:r>
        <w:rPr>
          <w:rFonts w:hint="eastAsia" w:ascii="仿宋_GB2312" w:eastAsia="仿宋_GB2312" w:cs="仿宋_GB2312"/>
          <w:kern w:val="0"/>
          <w:sz w:val="32"/>
          <w:szCs w:val="32"/>
        </w:rPr>
        <w:t>将政务公开纳入重要议事日程，着力推进重点领域业务工作与公开要求深入融合、互促互进。主要负责同志每年至少召开1次专题会议听取工作汇报，研究解决重点难点问题。对涉及需要多部门、多机构配合的公开工作，探索建立跨层级、跨部门协调联动工作机制。紧密联系工作实践，推进理论创新，鼓励到先进地区和基层一线调研学习，找差距、知不足，促进整体水平提升。各单位每年至少组织1次政务公开专题培训，把政务公开纳入领导干部和公务员教育培训内容，增强公开意识，提高公开本领。</w:t>
      </w:r>
    </w:p>
    <w:p w14:paraId="3E93DC54">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（十五）推进政务公开标准化建设。</w:t>
      </w:r>
      <w:r>
        <w:rPr>
          <w:rFonts w:hint="eastAsia" w:ascii="仿宋_GB2312" w:eastAsia="仿宋_GB2312" w:cs="仿宋_GB2312"/>
          <w:kern w:val="0"/>
          <w:sz w:val="32"/>
          <w:szCs w:val="32"/>
        </w:rPr>
        <w:t>要按照《全省主动公开事项目录编制工作方案》各项要求，分层级分领域梳理确定法定公开事项，明确公开主体、内容、时限、方式、渠道、责任等要素，形成本领域本系统主动公开事项目录，并动态调整更新，做到法定公开事项主动公开到位，其他事项审慎主动公开。积极开展全县政务公开工作典型案例评选，广泛征集和推广一批政策解读、依申请公开、政府网站和政务新媒体建设管理等方面的典型案例，充分发挥示范引领作用。</w:t>
      </w:r>
    </w:p>
    <w:p w14:paraId="190072D2">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楷体_GB2312" w:eastAsia="楷体_GB2312" w:cs="楷体_GB2312"/>
          <w:kern w:val="0"/>
          <w:sz w:val="32"/>
          <w:szCs w:val="32"/>
        </w:rPr>
        <w:t>（十六）切实抓好监督落实。</w:t>
      </w:r>
      <w:r>
        <w:rPr>
          <w:rFonts w:hint="eastAsia" w:ascii="仿宋_GB2312" w:eastAsia="仿宋_GB2312" w:cs="仿宋_GB2312"/>
          <w:kern w:val="0"/>
          <w:sz w:val="32"/>
          <w:szCs w:val="32"/>
        </w:rPr>
        <w:t>县政府办公室要持续加强日常监督，跟踪任务落实，定期通报情况，对表现突出的予以表扬，对工作落实不到位、问题较多的及时约谈提醒，依法依规追责问责。各镇街、各部门（单位）要坚持问题导向，聚焦问题短板，狠抓工作落实，确保完成好省、市、县明确的各项目标任务。鼓励各镇街、各部门（单位）在国家、省级主流媒体平台宣传推广</w:t>
      </w:r>
      <w:r>
        <w:rPr>
          <w:rFonts w:hint="eastAsia" w:ascii="仿宋_GB2312" w:eastAsia="仿宋_GB2312"/>
          <w:color w:val="000000"/>
          <w:sz w:val="32"/>
          <w:szCs w:val="32"/>
        </w:rPr>
        <w:t>政务公开工作经验，</w:t>
      </w:r>
      <w:r>
        <w:rPr>
          <w:rFonts w:hint="eastAsia" w:ascii="仿宋_GB2312" w:hAnsi="宋体" w:eastAsia="仿宋_GB2312" w:cs="宋体"/>
          <w:color w:val="000000"/>
          <w:kern w:val="0"/>
          <w:sz w:val="32"/>
          <w:szCs w:val="32"/>
        </w:rPr>
        <w:t>全面展示我县政务公开工作亮点，</w:t>
      </w:r>
      <w:r>
        <w:rPr>
          <w:rFonts w:hint="eastAsia" w:ascii="仿宋_GB2312" w:eastAsia="仿宋_GB2312" w:cs="仿宋_GB2312"/>
          <w:kern w:val="0"/>
          <w:sz w:val="32"/>
          <w:szCs w:val="32"/>
        </w:rPr>
        <w:t>共同打造县域政务公开品牌体系。</w:t>
      </w:r>
    </w:p>
    <w:p w14:paraId="0F80494E">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r>
        <w:rPr>
          <w:rFonts w:hint="eastAsia" w:ascii="仿宋_GB2312" w:eastAsia="仿宋_GB2312" w:cs="仿宋_GB2312"/>
          <w:kern w:val="0"/>
          <w:sz w:val="32"/>
          <w:szCs w:val="32"/>
        </w:rPr>
        <w:t>各镇街、各部门（单位）要按照重点任务分工抓好工作落实，于7月20日前编制政务公开要点工作实施方案。政务公开要点工作落实情况要纳入政府信息公开工作年度报告予以公开，接受社会监督。</w:t>
      </w:r>
    </w:p>
    <w:p w14:paraId="79FA150D">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pPr>
    </w:p>
    <w:p w14:paraId="28ABEAB1">
      <w:pPr>
        <w:keepNext w:val="0"/>
        <w:keepLines w:val="0"/>
        <w:pageBreakBefore w:val="0"/>
        <w:widowControl/>
        <w:kinsoku/>
        <w:wordWrap/>
        <w:overflowPunct/>
        <w:topLinePunct w:val="0"/>
        <w:autoSpaceDE w:val="0"/>
        <w:autoSpaceDN/>
        <w:bidi w:val="0"/>
        <w:adjustRightInd/>
        <w:snapToGrid/>
        <w:spacing w:line="600" w:lineRule="exact"/>
        <w:ind w:firstLine="640"/>
        <w:jc w:val="both"/>
        <w:textAlignment w:val="auto"/>
        <w:rPr>
          <w:rFonts w:ascii="仿宋_GB2312" w:eastAsia="仿宋_GB2312" w:cs="仿宋_GB2312"/>
          <w:kern w:val="0"/>
          <w:sz w:val="32"/>
          <w:szCs w:val="32"/>
        </w:rPr>
      </w:pPr>
      <w:r>
        <w:rPr>
          <w:rFonts w:hint="eastAsia" w:ascii="仿宋_GB2312" w:eastAsia="仿宋_GB2312" w:cs="仿宋_GB2312"/>
          <w:kern w:val="0"/>
          <w:sz w:val="32"/>
          <w:szCs w:val="32"/>
        </w:rPr>
        <w:t>附件：2024年平阴县政务公开重点工作任务分工</w:t>
      </w:r>
    </w:p>
    <w:p w14:paraId="3A8264C5">
      <w:pPr>
        <w:rPr>
          <w:rFonts w:ascii="宋体" w:hAnsi="宋体" w:eastAsia="宋体" w:cs="宋体"/>
          <w:sz w:val="24"/>
        </w:rPr>
      </w:pPr>
    </w:p>
    <w:p w14:paraId="78012F01">
      <w:pPr>
        <w:rPr>
          <w:rFonts w:ascii="宋体" w:hAnsi="宋体" w:eastAsia="宋体" w:cs="宋体"/>
          <w:sz w:val="24"/>
        </w:rPr>
      </w:pPr>
    </w:p>
    <w:p w14:paraId="1BC0FA26">
      <w:pPr>
        <w:rPr>
          <w:rFonts w:ascii="宋体" w:hAnsi="宋体" w:eastAsia="宋体" w:cs="宋体"/>
          <w:sz w:val="24"/>
        </w:rPr>
      </w:pPr>
    </w:p>
    <w:p w14:paraId="7DC69705">
      <w:pPr>
        <w:rPr>
          <w:rFonts w:ascii="宋体" w:hAnsi="宋体" w:eastAsia="宋体" w:cs="宋体"/>
          <w:sz w:val="24"/>
        </w:rPr>
      </w:pPr>
    </w:p>
    <w:p w14:paraId="72F8974A">
      <w:pPr>
        <w:rPr>
          <w:rFonts w:ascii="宋体" w:hAnsi="宋体" w:eastAsia="宋体" w:cs="宋体"/>
          <w:sz w:val="24"/>
        </w:rPr>
      </w:pPr>
    </w:p>
    <w:p w14:paraId="2A8C9D92">
      <w:pPr>
        <w:rPr>
          <w:rFonts w:ascii="宋体" w:hAnsi="宋体" w:eastAsia="宋体" w:cs="宋体"/>
          <w:sz w:val="24"/>
        </w:rPr>
      </w:pPr>
    </w:p>
    <w:p w14:paraId="49CF582F">
      <w:pPr>
        <w:rPr>
          <w:rFonts w:ascii="宋体" w:hAnsi="宋体" w:eastAsia="宋体" w:cs="宋体"/>
          <w:sz w:val="24"/>
        </w:rPr>
      </w:pPr>
    </w:p>
    <w:p w14:paraId="3D22DB80">
      <w:pPr>
        <w:rPr>
          <w:rFonts w:ascii="宋体" w:hAnsi="宋体" w:eastAsia="宋体" w:cs="宋体"/>
          <w:sz w:val="24"/>
        </w:rPr>
        <w:sectPr>
          <w:footerReference r:id="rId3" w:type="default"/>
          <w:pgSz w:w="11906" w:h="16838"/>
          <w:pgMar w:top="1701" w:right="1587" w:bottom="1587" w:left="1587"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9FB5C17">
      <w:pPr>
        <w:widowControl/>
        <w:autoSpaceDE w:val="0"/>
        <w:spacing w:line="62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w:t>
      </w:r>
    </w:p>
    <w:p w14:paraId="43157AAB">
      <w:pPr>
        <w:widowControl/>
        <w:autoSpaceDE w:val="0"/>
        <w:spacing w:line="620" w:lineRule="exact"/>
        <w:ind w:firstLine="6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2024年平阴县政务公开重点工作任务分工</w:t>
      </w:r>
    </w:p>
    <w:tbl>
      <w:tblPr>
        <w:tblStyle w:val="7"/>
        <w:tblW w:w="14332" w:type="dxa"/>
        <w:jc w:val="center"/>
        <w:tblLayout w:type="autofit"/>
        <w:tblCellMar>
          <w:top w:w="0" w:type="dxa"/>
          <w:left w:w="108" w:type="dxa"/>
          <w:bottom w:w="0" w:type="dxa"/>
          <w:right w:w="108" w:type="dxa"/>
        </w:tblCellMar>
      </w:tblPr>
      <w:tblGrid>
        <w:gridCol w:w="696"/>
        <w:gridCol w:w="1020"/>
        <w:gridCol w:w="1418"/>
        <w:gridCol w:w="7087"/>
        <w:gridCol w:w="2694"/>
        <w:gridCol w:w="1417"/>
      </w:tblGrid>
      <w:tr w14:paraId="2CA46B3A">
        <w:tblPrEx>
          <w:tblCellMar>
            <w:top w:w="0" w:type="dxa"/>
            <w:left w:w="108" w:type="dxa"/>
            <w:bottom w:w="0" w:type="dxa"/>
            <w:right w:w="108" w:type="dxa"/>
          </w:tblCellMar>
        </w:tblPrEx>
        <w:trPr>
          <w:trHeight w:val="598"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9E27">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24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FA1A8">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工作任务</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888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具体要求</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C256">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责任单位</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E51A">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完成时限</w:t>
            </w:r>
          </w:p>
        </w:tc>
      </w:tr>
      <w:tr w14:paraId="4B86E4E0">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6A5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A96B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一、深入落实高质量主动公开</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71C8D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（一）聚焦重点任务，推进高质量公开</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3CFC">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重点围绕扩大有效投资、招商引资、对外开放、绿色低碳高质量发展等方面的重要政策，做好高质量政策发布和宣传推送。</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1AC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县发改局、投促局、商务事业发展中心、生态环境局等相关部门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4AC7B95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3F3A9E51">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1C8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209C2">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4DC47">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212F">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完善全生命周期管理服务体系，全力做好国家重大战略、高质量产业、重点基础设施、水利工程、防灾减灾、民生保障等领域重大建设项目批准和实施信息公开工作。</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2554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县发改局、水务局、应急局、行政审批局、生态环境局等相关部门</w:t>
            </w:r>
          </w:p>
        </w:tc>
        <w:tc>
          <w:tcPr>
            <w:tcW w:w="1417" w:type="dxa"/>
            <w:vMerge w:val="continue"/>
            <w:tcBorders>
              <w:left w:val="single" w:color="000000" w:sz="4" w:space="0"/>
              <w:right w:val="single" w:color="000000" w:sz="4" w:space="0"/>
            </w:tcBorders>
            <w:shd w:val="clear" w:color="auto" w:fill="auto"/>
            <w:vAlign w:val="center"/>
          </w:tcPr>
          <w:p w14:paraId="6D413796">
            <w:pPr>
              <w:jc w:val="left"/>
              <w:textAlignment w:val="center"/>
              <w:rPr>
                <w:rFonts w:ascii="仿宋_GB2312" w:hAnsi="仿宋_GB2312" w:eastAsia="仿宋_GB2312" w:cs="仿宋_GB2312"/>
                <w:color w:val="000000"/>
                <w:sz w:val="24"/>
              </w:rPr>
            </w:pPr>
          </w:p>
        </w:tc>
      </w:tr>
      <w:tr w14:paraId="2C112608">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703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24C4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B42B">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392BB">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针对住房改善、医疗康养、直播电商、体育赛事等领域的消费支持政策，做好信息发布和舆论引导工作。</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DC20">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县发改局、住建局、卫健局、教体局、商务事业发展中心等相关部门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252FA9ED">
            <w:pPr>
              <w:widowControl/>
              <w:jc w:val="left"/>
              <w:textAlignment w:val="center"/>
              <w:rPr>
                <w:rFonts w:ascii="仿宋_GB2312" w:hAnsi="仿宋_GB2312" w:eastAsia="仿宋_GB2312" w:cs="仿宋_GB2312"/>
                <w:color w:val="000000"/>
                <w:sz w:val="24"/>
              </w:rPr>
            </w:pPr>
          </w:p>
        </w:tc>
      </w:tr>
      <w:tr w14:paraId="24155C42">
        <w:tblPrEx>
          <w:tblCellMar>
            <w:top w:w="0" w:type="dxa"/>
            <w:left w:w="108" w:type="dxa"/>
            <w:bottom w:w="0" w:type="dxa"/>
            <w:right w:w="108" w:type="dxa"/>
          </w:tblCellMar>
        </w:tblPrEx>
        <w:trPr>
          <w:trHeight w:val="111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0651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1701F">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FA1B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（二）聚焦重点领域，提升治理能力</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2494">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加大城市更新相关政策宣传力度，及时公开翠屏片区、锦水片区等40个老旧小区改造工程工作进展情况，积极回应群众关切，引导公众参与、支持城市更新工作。</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A692">
            <w:pPr>
              <w:widowControl/>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县住建局、城市更新中心、住房保障服务中心</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016CD1F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74264997">
        <w:tblPrEx>
          <w:tblCellMar>
            <w:top w:w="0" w:type="dxa"/>
            <w:left w:w="108" w:type="dxa"/>
            <w:bottom w:w="0" w:type="dxa"/>
            <w:right w:w="108" w:type="dxa"/>
          </w:tblCellMar>
        </w:tblPrEx>
        <w:trPr>
          <w:trHeight w:val="1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A56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527F6">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1FFBB">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FB36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稳步推进重大项目环评审批信息全过程公开。及时发布建设“无废城市”相关工作动态，做好政策宣传解读和引导。加强生活垃圾分类信息公开，持续开展生活垃圾分类宣传活动，推进垃圾分类宣传教育基地向社会公众开放。</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30420">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生态环境局</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环卫绿化管护中心</w:t>
            </w:r>
          </w:p>
        </w:tc>
        <w:tc>
          <w:tcPr>
            <w:tcW w:w="1417" w:type="dxa"/>
            <w:vMerge w:val="continue"/>
            <w:tcBorders>
              <w:left w:val="single" w:color="000000" w:sz="4" w:space="0"/>
              <w:right w:val="single" w:color="000000" w:sz="4" w:space="0"/>
            </w:tcBorders>
            <w:shd w:val="clear" w:color="auto" w:fill="auto"/>
            <w:vAlign w:val="center"/>
          </w:tcPr>
          <w:p w14:paraId="1E156C25">
            <w:pPr>
              <w:jc w:val="left"/>
              <w:textAlignment w:val="center"/>
              <w:rPr>
                <w:rFonts w:ascii="仿宋_GB2312" w:hAnsi="仿宋_GB2312" w:eastAsia="仿宋_GB2312" w:cs="仿宋_GB2312"/>
                <w:color w:val="000000"/>
                <w:sz w:val="24"/>
              </w:rPr>
            </w:pPr>
          </w:p>
        </w:tc>
      </w:tr>
      <w:tr w14:paraId="30A3CB3A">
        <w:tblPrEx>
          <w:tblCellMar>
            <w:top w:w="0" w:type="dxa"/>
            <w:left w:w="108" w:type="dxa"/>
            <w:bottom w:w="0" w:type="dxa"/>
            <w:right w:w="108" w:type="dxa"/>
          </w:tblCellMar>
        </w:tblPrEx>
        <w:trPr>
          <w:trHeight w:val="10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BBE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2EAAF">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83B88">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B91F0">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围绕打造乡村振兴齐鲁样板示范区、建设宜居宜业和美乡村，做好乡村产业、乡村建设、乡村治理等领域的乡村振兴信息公开，持续做好重要政策宣传发布。</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3B49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县农业农村局</w:t>
            </w:r>
          </w:p>
        </w:tc>
        <w:tc>
          <w:tcPr>
            <w:tcW w:w="1417" w:type="dxa"/>
            <w:vMerge w:val="continue"/>
            <w:tcBorders>
              <w:left w:val="single" w:color="000000" w:sz="4" w:space="0"/>
              <w:right w:val="single" w:color="000000" w:sz="4" w:space="0"/>
            </w:tcBorders>
            <w:shd w:val="clear" w:color="auto" w:fill="auto"/>
            <w:vAlign w:val="center"/>
          </w:tcPr>
          <w:p w14:paraId="5BF891A9">
            <w:pPr>
              <w:jc w:val="left"/>
              <w:textAlignment w:val="center"/>
              <w:rPr>
                <w:rFonts w:ascii="仿宋_GB2312" w:hAnsi="仿宋_GB2312" w:eastAsia="仿宋_GB2312" w:cs="仿宋_GB2312"/>
                <w:color w:val="000000"/>
                <w:sz w:val="24"/>
              </w:rPr>
            </w:pPr>
          </w:p>
        </w:tc>
      </w:tr>
      <w:tr w14:paraId="4C55B80C">
        <w:tblPrEx>
          <w:tblCellMar>
            <w:top w:w="0" w:type="dxa"/>
            <w:left w:w="108" w:type="dxa"/>
            <w:bottom w:w="0" w:type="dxa"/>
            <w:right w:w="108" w:type="dxa"/>
          </w:tblCellMar>
        </w:tblPrEx>
        <w:trPr>
          <w:trHeight w:val="8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F59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28547">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8EC2C">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50D2">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围绕惠农资金补助发放、拆迁安置方案等事项，通过结果公示与存档备查相结合的方式，加强对小微权力运行的监督。</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9B19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县人社局、农业农村局、财政局、民政局</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3F2BBA08">
            <w:pPr>
              <w:widowControl/>
              <w:jc w:val="left"/>
              <w:textAlignment w:val="center"/>
              <w:rPr>
                <w:rFonts w:ascii="仿宋_GB2312" w:hAnsi="仿宋_GB2312" w:eastAsia="仿宋_GB2312" w:cs="仿宋_GB2312"/>
                <w:color w:val="000000"/>
                <w:sz w:val="24"/>
              </w:rPr>
            </w:pPr>
          </w:p>
        </w:tc>
      </w:tr>
      <w:tr w14:paraId="680F3A73">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49E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1109C">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893F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（三）聚焦民生实事，增进民生福祉</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CB96">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及时更新发布就业创业政策清单，分类梳理面向高校毕业生、困难人员、退役军人等不同群体以及各类经营主体的政策举措，加大政策解读和推送力度。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2A39">
            <w:pPr>
              <w:widowControl/>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0"/>
                <w:sz w:val="24"/>
              </w:rPr>
              <w:t>县人社局</w:t>
            </w:r>
            <w:r>
              <w:rPr>
                <w:rFonts w:hint="eastAsia" w:ascii="仿宋_GB2312" w:hAnsi="仿宋_GB2312" w:eastAsia="仿宋_GB2312" w:cs="仿宋_GB2312"/>
                <w:color w:val="000000"/>
                <w:kern w:val="0"/>
                <w:sz w:val="24"/>
                <w:lang w:eastAsia="zh-CN"/>
              </w:rPr>
              <w:t>、</w:t>
            </w:r>
            <w:r>
              <w:rPr>
                <w:rFonts w:hint="eastAsia" w:ascii="仿宋_GB2312" w:hAnsi="仿宋_GB2312" w:eastAsia="仿宋_GB2312" w:cs="仿宋_GB2312"/>
                <w:color w:val="000000"/>
                <w:kern w:val="0"/>
                <w:sz w:val="24"/>
              </w:rPr>
              <w:t>退役军人</w:t>
            </w:r>
            <w:r>
              <w:rPr>
                <w:rFonts w:hint="eastAsia" w:ascii="仿宋_GB2312" w:hAnsi="仿宋_GB2312" w:eastAsia="仿宋_GB2312" w:cs="仿宋_GB2312"/>
                <w:color w:val="000000"/>
                <w:kern w:val="0"/>
                <w:sz w:val="24"/>
                <w:lang w:val="en-US" w:eastAsia="zh-CN"/>
              </w:rPr>
              <w:t>事务局</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3DAEAC5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3422DF00">
        <w:tblPrEx>
          <w:tblCellMar>
            <w:top w:w="0" w:type="dxa"/>
            <w:left w:w="108" w:type="dxa"/>
            <w:bottom w:w="0" w:type="dxa"/>
            <w:right w:w="108" w:type="dxa"/>
          </w:tblCellMar>
        </w:tblPrEx>
        <w:trPr>
          <w:trHeight w:val="7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09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2630">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01432">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5941">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加大县域智慧医共体建设、基层医疗卫生服务体系建设、中医药传承创新发展等领域信息公开力度。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B8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县卫健局</w:t>
            </w:r>
          </w:p>
        </w:tc>
        <w:tc>
          <w:tcPr>
            <w:tcW w:w="1417" w:type="dxa"/>
            <w:vMerge w:val="continue"/>
            <w:tcBorders>
              <w:left w:val="single" w:color="000000" w:sz="4" w:space="0"/>
              <w:right w:val="single" w:color="000000" w:sz="4" w:space="0"/>
            </w:tcBorders>
            <w:shd w:val="clear" w:color="auto" w:fill="auto"/>
            <w:vAlign w:val="center"/>
          </w:tcPr>
          <w:p w14:paraId="2E845BB2">
            <w:pPr>
              <w:jc w:val="left"/>
              <w:textAlignment w:val="center"/>
              <w:rPr>
                <w:rFonts w:ascii="仿宋_GB2312" w:hAnsi="仿宋_GB2312" w:eastAsia="仿宋_GB2312" w:cs="仿宋_GB2312"/>
                <w:color w:val="000000"/>
                <w:sz w:val="24"/>
              </w:rPr>
            </w:pPr>
          </w:p>
        </w:tc>
      </w:tr>
      <w:tr w14:paraId="41F5C057">
        <w:tblPrEx>
          <w:tblCellMar>
            <w:top w:w="0" w:type="dxa"/>
            <w:left w:w="108" w:type="dxa"/>
            <w:bottom w:w="0" w:type="dxa"/>
            <w:right w:w="108" w:type="dxa"/>
          </w:tblCellMar>
        </w:tblPrEx>
        <w:trPr>
          <w:trHeight w:val="6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CA0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C151">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7EA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F1BA9">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持续做好保障性住房建设和供给政策措施发布宣传，及时公开廉租住房、保障性租赁住房等相关信息。</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CE5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县住建局、住房保障服务中心</w:t>
            </w:r>
          </w:p>
        </w:tc>
        <w:tc>
          <w:tcPr>
            <w:tcW w:w="1417" w:type="dxa"/>
            <w:vMerge w:val="continue"/>
            <w:tcBorders>
              <w:left w:val="single" w:color="000000" w:sz="4" w:space="0"/>
              <w:right w:val="single" w:color="000000" w:sz="4" w:space="0"/>
            </w:tcBorders>
            <w:shd w:val="clear" w:color="auto" w:fill="auto"/>
            <w:vAlign w:val="center"/>
          </w:tcPr>
          <w:p w14:paraId="0CBAC8DE">
            <w:pPr>
              <w:jc w:val="left"/>
              <w:textAlignment w:val="center"/>
              <w:rPr>
                <w:rFonts w:ascii="仿宋_GB2312" w:hAnsi="仿宋_GB2312" w:eastAsia="仿宋_GB2312" w:cs="仿宋_GB2312"/>
                <w:color w:val="000000"/>
                <w:sz w:val="24"/>
              </w:rPr>
            </w:pPr>
          </w:p>
        </w:tc>
      </w:tr>
      <w:tr w14:paraId="29E41D3F">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103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A652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C58E1B">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1C2C">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持续推进义务教育、学前教育、特殊教育、职业教育等方面的信息公开。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676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w:t>
            </w:r>
          </w:p>
        </w:tc>
        <w:tc>
          <w:tcPr>
            <w:tcW w:w="1417" w:type="dxa"/>
            <w:vMerge w:val="continue"/>
            <w:tcBorders>
              <w:left w:val="single" w:color="000000" w:sz="4" w:space="0"/>
              <w:right w:val="single" w:color="000000" w:sz="4" w:space="0"/>
            </w:tcBorders>
            <w:shd w:val="clear" w:color="auto" w:fill="auto"/>
            <w:vAlign w:val="center"/>
          </w:tcPr>
          <w:p w14:paraId="2A666153">
            <w:pPr>
              <w:jc w:val="left"/>
              <w:textAlignment w:val="center"/>
              <w:rPr>
                <w:rFonts w:ascii="仿宋_GB2312" w:hAnsi="仿宋_GB2312" w:eastAsia="仿宋_GB2312" w:cs="仿宋_GB2312"/>
                <w:color w:val="000000"/>
                <w:sz w:val="24"/>
              </w:rPr>
            </w:pPr>
          </w:p>
        </w:tc>
      </w:tr>
      <w:tr w14:paraId="7CFBE7E8">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42D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846A">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9DBFDB">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5230">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加强“一老一小”服务保障有关政策推送，重点推送“玫好夕阳”养老服务体系建设、养老康复院项目、居民长期护理保险、儿童福利服务、学前教育资源覆盖等支持政策和措施，动态调整并公开社会救助标准。</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B55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县民政局、医保局、教体局</w:t>
            </w:r>
          </w:p>
        </w:tc>
        <w:tc>
          <w:tcPr>
            <w:tcW w:w="1417" w:type="dxa"/>
            <w:vMerge w:val="continue"/>
            <w:tcBorders>
              <w:left w:val="single" w:color="000000" w:sz="4" w:space="0"/>
              <w:right w:val="single" w:color="000000" w:sz="4" w:space="0"/>
            </w:tcBorders>
            <w:shd w:val="clear" w:color="auto" w:fill="auto"/>
            <w:vAlign w:val="center"/>
          </w:tcPr>
          <w:p w14:paraId="5156108E">
            <w:pPr>
              <w:jc w:val="left"/>
              <w:textAlignment w:val="center"/>
              <w:rPr>
                <w:rFonts w:ascii="仿宋_GB2312" w:hAnsi="仿宋_GB2312" w:eastAsia="仿宋_GB2312" w:cs="仿宋_GB2312"/>
                <w:color w:val="000000"/>
                <w:sz w:val="24"/>
              </w:rPr>
            </w:pPr>
          </w:p>
        </w:tc>
      </w:tr>
      <w:tr w14:paraId="0BBDD061">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5D1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4BB30">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3E6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08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加大物业、环卫、家政等从业群体社会保障信息公开力度。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972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县民政局、人社局、医保局</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1CCBC39C">
            <w:pPr>
              <w:widowControl/>
              <w:jc w:val="left"/>
              <w:textAlignment w:val="center"/>
              <w:rPr>
                <w:rFonts w:ascii="仿宋_GB2312" w:hAnsi="仿宋_GB2312" w:eastAsia="仿宋_GB2312" w:cs="仿宋_GB2312"/>
                <w:color w:val="000000"/>
                <w:sz w:val="24"/>
              </w:rPr>
            </w:pPr>
          </w:p>
        </w:tc>
      </w:tr>
      <w:tr w14:paraId="63D52ACB">
        <w:tblPrEx>
          <w:tblCellMar>
            <w:top w:w="0" w:type="dxa"/>
            <w:left w:w="108" w:type="dxa"/>
            <w:bottom w:w="0" w:type="dxa"/>
            <w:right w:w="108" w:type="dxa"/>
          </w:tblCellMar>
        </w:tblPrEx>
        <w:trPr>
          <w:trHeight w:val="88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CA5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CD12D">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039EA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（四）聚焦职能职责，提高监管效能</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BA83">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结合政府机构改革和职能优化，做好政府部门权责清单和机构职能信息的调整和公开工作。</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B8C2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79349CCC">
            <w:pPr>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3D8F7CD1">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3F9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040BC">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33DE9">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A1F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严格落实行政执法公示制度，加强“双随机、一公开”监管信息公开，规范行政事业性收费和政府性基金目录以及招投标、公共资源配置等领域政府信息公开。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17E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县政府相关部门</w:t>
            </w:r>
          </w:p>
        </w:tc>
        <w:tc>
          <w:tcPr>
            <w:tcW w:w="1417" w:type="dxa"/>
            <w:vMerge w:val="continue"/>
            <w:tcBorders>
              <w:left w:val="single" w:color="000000" w:sz="4" w:space="0"/>
              <w:right w:val="single" w:color="000000" w:sz="4" w:space="0"/>
            </w:tcBorders>
            <w:shd w:val="clear" w:color="auto" w:fill="auto"/>
            <w:vAlign w:val="center"/>
          </w:tcPr>
          <w:p w14:paraId="190943F1">
            <w:pPr>
              <w:jc w:val="left"/>
              <w:textAlignment w:val="center"/>
              <w:rPr>
                <w:rFonts w:ascii="仿宋_GB2312" w:hAnsi="仿宋_GB2312" w:eastAsia="仿宋_GB2312" w:cs="仿宋_GB2312"/>
                <w:color w:val="000000"/>
                <w:sz w:val="24"/>
              </w:rPr>
            </w:pPr>
          </w:p>
        </w:tc>
      </w:tr>
      <w:tr w14:paraId="7FC11B17">
        <w:tblPrEx>
          <w:tblCellMar>
            <w:top w:w="0" w:type="dxa"/>
            <w:left w:w="108" w:type="dxa"/>
            <w:bottom w:w="0" w:type="dxa"/>
            <w:right w:w="108" w:type="dxa"/>
          </w:tblCellMar>
        </w:tblPrEx>
        <w:trPr>
          <w:trHeight w:val="8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5EE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616A4D">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24FD77">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A51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加强市场监管制度规则和标准的更新发布和解读，及时公开建设高标准市场体系的具体措施，提高监管透明度。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1C5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县政府相关部门</w:t>
            </w:r>
          </w:p>
        </w:tc>
        <w:tc>
          <w:tcPr>
            <w:tcW w:w="1417" w:type="dxa"/>
            <w:vMerge w:val="continue"/>
            <w:tcBorders>
              <w:left w:val="single" w:color="000000" w:sz="4" w:space="0"/>
              <w:right w:val="single" w:color="000000" w:sz="4" w:space="0"/>
            </w:tcBorders>
            <w:shd w:val="clear" w:color="auto" w:fill="auto"/>
            <w:vAlign w:val="center"/>
          </w:tcPr>
          <w:p w14:paraId="41368E7C">
            <w:pPr>
              <w:jc w:val="left"/>
              <w:textAlignment w:val="center"/>
              <w:rPr>
                <w:rFonts w:ascii="仿宋_GB2312" w:hAnsi="仿宋_GB2312" w:eastAsia="仿宋_GB2312" w:cs="仿宋_GB2312"/>
                <w:color w:val="000000"/>
                <w:sz w:val="24"/>
              </w:rPr>
            </w:pPr>
          </w:p>
        </w:tc>
      </w:tr>
      <w:tr w14:paraId="504BCAA4">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E428">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79AE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E25C3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F2E">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加强对公共企事业单位的监管，推进信息公开与业务工作深度融合。</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781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县教体局、卫健局</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7FF6824E">
            <w:pPr>
              <w:widowControl/>
              <w:jc w:val="left"/>
              <w:textAlignment w:val="center"/>
              <w:rPr>
                <w:rFonts w:ascii="仿宋_GB2312" w:hAnsi="仿宋_GB2312" w:eastAsia="仿宋_GB2312" w:cs="仿宋_GB2312"/>
                <w:color w:val="000000"/>
                <w:sz w:val="24"/>
              </w:rPr>
            </w:pPr>
          </w:p>
        </w:tc>
      </w:tr>
      <w:tr w14:paraId="22E3030E">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D9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18</w:t>
            </w:r>
          </w:p>
        </w:tc>
        <w:tc>
          <w:tcPr>
            <w:tcW w:w="1020" w:type="dxa"/>
            <w:vMerge w:val="restart"/>
            <w:tcBorders>
              <w:top w:val="nil"/>
              <w:left w:val="single" w:color="000000" w:sz="4" w:space="0"/>
              <w:bottom w:val="single" w:color="000000" w:sz="4" w:space="0"/>
              <w:right w:val="single" w:color="000000" w:sz="4" w:space="0"/>
            </w:tcBorders>
            <w:shd w:val="clear" w:color="auto" w:fill="auto"/>
            <w:vAlign w:val="center"/>
          </w:tcPr>
          <w:p w14:paraId="4263A15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二、持续提高政策解读质效</w:t>
            </w:r>
          </w:p>
        </w:tc>
        <w:tc>
          <w:tcPr>
            <w:tcW w:w="1418" w:type="dxa"/>
            <w:vMerge w:val="restart"/>
            <w:tcBorders>
              <w:top w:val="nil"/>
              <w:left w:val="single" w:color="000000" w:sz="4" w:space="0"/>
              <w:bottom w:val="single" w:color="000000" w:sz="4" w:space="0"/>
              <w:right w:val="single" w:color="000000" w:sz="4" w:space="0"/>
            </w:tcBorders>
            <w:shd w:val="clear" w:color="auto" w:fill="auto"/>
            <w:vAlign w:val="center"/>
          </w:tcPr>
          <w:p w14:paraId="789DCA8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（五）集中精准，提高政策发布质量</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B4BE3">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统筹推进全县政策集中发布平台建设，强化政府网站政策数据同源管理，提升政策公开质量和效率。</w:t>
            </w:r>
          </w:p>
        </w:tc>
        <w:tc>
          <w:tcPr>
            <w:tcW w:w="2694" w:type="dxa"/>
            <w:tcBorders>
              <w:top w:val="nil"/>
              <w:left w:val="single" w:color="000000" w:sz="4" w:space="0"/>
              <w:bottom w:val="single" w:color="000000" w:sz="4" w:space="0"/>
              <w:right w:val="single" w:color="000000" w:sz="4" w:space="0"/>
            </w:tcBorders>
            <w:shd w:val="clear" w:color="auto" w:fill="auto"/>
            <w:vAlign w:val="center"/>
          </w:tcPr>
          <w:p w14:paraId="01A59EB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restart"/>
            <w:tcBorders>
              <w:top w:val="nil"/>
              <w:left w:val="single" w:color="000000" w:sz="4" w:space="0"/>
              <w:right w:val="single" w:color="000000" w:sz="4" w:space="0"/>
            </w:tcBorders>
            <w:shd w:val="clear" w:color="auto" w:fill="auto"/>
            <w:vAlign w:val="center"/>
          </w:tcPr>
          <w:p w14:paraId="31FA2EA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1FE4DB09">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E98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19</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5D2CA181">
            <w:pPr>
              <w:jc w:val="center"/>
              <w:rPr>
                <w:rFonts w:ascii="仿宋_GB2312" w:hAnsi="仿宋_GB2312" w:eastAsia="仿宋_GB2312" w:cs="仿宋_GB2312"/>
                <w:color w:val="000000"/>
                <w:sz w:val="24"/>
              </w:rPr>
            </w:pPr>
          </w:p>
        </w:tc>
        <w:tc>
          <w:tcPr>
            <w:tcW w:w="1418" w:type="dxa"/>
            <w:vMerge w:val="continue"/>
            <w:tcBorders>
              <w:top w:val="nil"/>
              <w:left w:val="single" w:color="000000" w:sz="4" w:space="0"/>
              <w:bottom w:val="single" w:color="000000" w:sz="4" w:space="0"/>
              <w:right w:val="single" w:color="000000" w:sz="4" w:space="0"/>
            </w:tcBorders>
            <w:shd w:val="clear" w:color="auto" w:fill="auto"/>
            <w:vAlign w:val="center"/>
          </w:tcPr>
          <w:p w14:paraId="27E77912">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8702B">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推进政策发布数字化转型，探索构建以网上发布为主、其他发布渠道为辅的政策发布新格局。</w:t>
            </w:r>
          </w:p>
        </w:tc>
        <w:tc>
          <w:tcPr>
            <w:tcW w:w="2694" w:type="dxa"/>
            <w:tcBorders>
              <w:top w:val="nil"/>
              <w:left w:val="single" w:color="000000" w:sz="4" w:space="0"/>
              <w:bottom w:val="single" w:color="000000" w:sz="4" w:space="0"/>
              <w:right w:val="single" w:color="000000" w:sz="4" w:space="0"/>
            </w:tcBorders>
            <w:shd w:val="clear" w:color="auto" w:fill="auto"/>
            <w:vAlign w:val="center"/>
          </w:tcPr>
          <w:p w14:paraId="4B7CCA2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continue"/>
            <w:tcBorders>
              <w:left w:val="single" w:color="000000" w:sz="4" w:space="0"/>
              <w:right w:val="single" w:color="000000" w:sz="4" w:space="0"/>
            </w:tcBorders>
            <w:shd w:val="clear" w:color="auto" w:fill="auto"/>
            <w:vAlign w:val="center"/>
          </w:tcPr>
          <w:p w14:paraId="2C1625A3">
            <w:pPr>
              <w:jc w:val="left"/>
              <w:textAlignment w:val="center"/>
              <w:rPr>
                <w:rFonts w:ascii="仿宋_GB2312" w:hAnsi="仿宋_GB2312" w:eastAsia="仿宋_GB2312" w:cs="仿宋_GB2312"/>
                <w:color w:val="000000"/>
                <w:sz w:val="24"/>
              </w:rPr>
            </w:pPr>
          </w:p>
        </w:tc>
      </w:tr>
      <w:tr w14:paraId="79854EB6">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855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2D237562">
            <w:pPr>
              <w:jc w:val="center"/>
              <w:rPr>
                <w:rFonts w:ascii="仿宋_GB2312" w:hAnsi="仿宋_GB2312" w:eastAsia="仿宋_GB2312" w:cs="仿宋_GB2312"/>
                <w:color w:val="000000"/>
                <w:sz w:val="24"/>
              </w:rPr>
            </w:pPr>
          </w:p>
        </w:tc>
        <w:tc>
          <w:tcPr>
            <w:tcW w:w="1418" w:type="dxa"/>
            <w:vMerge w:val="continue"/>
            <w:tcBorders>
              <w:top w:val="nil"/>
              <w:left w:val="single" w:color="000000" w:sz="4" w:space="0"/>
              <w:bottom w:val="single" w:color="000000" w:sz="4" w:space="0"/>
              <w:right w:val="single" w:color="000000" w:sz="4" w:space="0"/>
            </w:tcBorders>
            <w:shd w:val="clear" w:color="auto" w:fill="auto"/>
            <w:vAlign w:val="center"/>
          </w:tcPr>
          <w:p w14:paraId="6E15E230">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E4C">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严格按照全市政府文件库建设要求，提高入库政府文件质量，做好日常运维和动态更新，确保入库文件全量覆盖、内容要素齐全、格式文本规范、检索查询便利。</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53A9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right w:val="single" w:color="000000" w:sz="4" w:space="0"/>
            </w:tcBorders>
            <w:shd w:val="clear" w:color="auto" w:fill="auto"/>
            <w:vAlign w:val="center"/>
          </w:tcPr>
          <w:p w14:paraId="7BF77E7E">
            <w:pPr>
              <w:jc w:val="left"/>
              <w:textAlignment w:val="center"/>
              <w:rPr>
                <w:rFonts w:ascii="仿宋_GB2312" w:hAnsi="仿宋_GB2312" w:eastAsia="仿宋_GB2312" w:cs="仿宋_GB2312"/>
                <w:color w:val="000000"/>
                <w:sz w:val="24"/>
              </w:rPr>
            </w:pPr>
          </w:p>
        </w:tc>
      </w:tr>
      <w:tr w14:paraId="1CAC6CAF">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6A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21</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39A195C8">
            <w:pPr>
              <w:jc w:val="center"/>
              <w:rPr>
                <w:rFonts w:ascii="仿宋_GB2312" w:hAnsi="仿宋_GB2312" w:eastAsia="仿宋_GB2312" w:cs="仿宋_GB2312"/>
                <w:color w:val="000000"/>
                <w:sz w:val="24"/>
              </w:rPr>
            </w:pPr>
          </w:p>
        </w:tc>
        <w:tc>
          <w:tcPr>
            <w:tcW w:w="1418" w:type="dxa"/>
            <w:vMerge w:val="continue"/>
            <w:tcBorders>
              <w:top w:val="nil"/>
              <w:left w:val="single" w:color="000000" w:sz="4" w:space="0"/>
              <w:bottom w:val="single" w:color="000000" w:sz="4" w:space="0"/>
              <w:right w:val="single" w:color="000000" w:sz="4" w:space="0"/>
            </w:tcBorders>
            <w:shd w:val="clear" w:color="auto" w:fill="auto"/>
            <w:vAlign w:val="center"/>
          </w:tcPr>
          <w:p w14:paraId="6DD09F7E">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1064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将行政规范性文件作为工作重点，加强已公开政策的信息管理，根据立改废情况动态更新，以公开的准确性保障执行的准确性。</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B3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right w:val="single" w:color="000000" w:sz="4" w:space="0"/>
            </w:tcBorders>
            <w:shd w:val="clear" w:color="auto" w:fill="auto"/>
            <w:vAlign w:val="center"/>
          </w:tcPr>
          <w:p w14:paraId="696DA269">
            <w:pPr>
              <w:jc w:val="left"/>
              <w:textAlignment w:val="center"/>
              <w:rPr>
                <w:rFonts w:ascii="仿宋_GB2312" w:hAnsi="仿宋_GB2312" w:eastAsia="仿宋_GB2312" w:cs="仿宋_GB2312"/>
                <w:color w:val="000000"/>
                <w:sz w:val="24"/>
              </w:rPr>
            </w:pPr>
          </w:p>
        </w:tc>
      </w:tr>
      <w:tr w14:paraId="74B96C0A">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AD8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22</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20EF50F0">
            <w:pPr>
              <w:jc w:val="center"/>
              <w:rPr>
                <w:rFonts w:ascii="仿宋_GB2312" w:hAnsi="仿宋_GB2312" w:eastAsia="仿宋_GB2312" w:cs="仿宋_GB2312"/>
                <w:color w:val="000000"/>
                <w:sz w:val="24"/>
              </w:rPr>
            </w:pPr>
          </w:p>
        </w:tc>
        <w:tc>
          <w:tcPr>
            <w:tcW w:w="1418" w:type="dxa"/>
            <w:vMerge w:val="continue"/>
            <w:tcBorders>
              <w:top w:val="nil"/>
              <w:left w:val="single" w:color="000000" w:sz="4" w:space="0"/>
              <w:bottom w:val="single" w:color="000000" w:sz="4" w:space="0"/>
              <w:right w:val="single" w:color="000000" w:sz="4" w:space="0"/>
            </w:tcBorders>
            <w:shd w:val="clear" w:color="auto" w:fill="auto"/>
            <w:vAlign w:val="center"/>
          </w:tcPr>
          <w:p w14:paraId="325EDCFA">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5FB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围绕“高效办成一件事”，选取部分企业群众关注度高、办事需求大、政策体量大的领域，建设专题专栏，对企业群众高频咨询政策实行集成发布和一站式公开。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798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县政府相关部门</w:t>
            </w:r>
          </w:p>
        </w:tc>
        <w:tc>
          <w:tcPr>
            <w:tcW w:w="1417" w:type="dxa"/>
            <w:vMerge w:val="continue"/>
            <w:tcBorders>
              <w:left w:val="single" w:color="000000" w:sz="4" w:space="0"/>
              <w:right w:val="single" w:color="000000" w:sz="4" w:space="0"/>
            </w:tcBorders>
            <w:shd w:val="clear" w:color="auto" w:fill="auto"/>
            <w:vAlign w:val="center"/>
          </w:tcPr>
          <w:p w14:paraId="438AC556">
            <w:pPr>
              <w:jc w:val="left"/>
              <w:textAlignment w:val="center"/>
              <w:rPr>
                <w:rFonts w:ascii="仿宋_GB2312" w:hAnsi="仿宋_GB2312" w:eastAsia="仿宋_GB2312" w:cs="仿宋_GB2312"/>
                <w:color w:val="000000"/>
                <w:sz w:val="24"/>
              </w:rPr>
            </w:pPr>
          </w:p>
        </w:tc>
      </w:tr>
      <w:tr w14:paraId="60BC44F9">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16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23</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16E75CA8">
            <w:pPr>
              <w:jc w:val="center"/>
              <w:rPr>
                <w:rFonts w:ascii="仿宋_GB2312" w:hAnsi="仿宋_GB2312" w:eastAsia="仿宋_GB2312" w:cs="仿宋_GB2312"/>
                <w:color w:val="000000"/>
                <w:sz w:val="24"/>
              </w:rPr>
            </w:pPr>
          </w:p>
        </w:tc>
        <w:tc>
          <w:tcPr>
            <w:tcW w:w="1418" w:type="dxa"/>
            <w:vMerge w:val="continue"/>
            <w:tcBorders>
              <w:top w:val="nil"/>
              <w:left w:val="single" w:color="000000" w:sz="4" w:space="0"/>
              <w:bottom w:val="single" w:color="000000" w:sz="4" w:space="0"/>
              <w:right w:val="single" w:color="000000" w:sz="4" w:space="0"/>
            </w:tcBorders>
            <w:shd w:val="clear" w:color="auto" w:fill="auto"/>
            <w:vAlign w:val="center"/>
          </w:tcPr>
          <w:p w14:paraId="7DE1DE82">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7D3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探索运用大数据、人工智能等信息技术优化政策点对点推送，确保政策直达基层、直达企业、直达群众。加强政府公报数字化服务功能，利用新媒体加强政府公报内容传播。</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BB78">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7E4BDBFD">
            <w:pPr>
              <w:widowControl/>
              <w:jc w:val="left"/>
              <w:textAlignment w:val="center"/>
              <w:rPr>
                <w:rFonts w:ascii="仿宋_GB2312" w:hAnsi="仿宋_GB2312" w:eastAsia="仿宋_GB2312" w:cs="仿宋_GB2312"/>
                <w:color w:val="000000"/>
                <w:sz w:val="24"/>
              </w:rPr>
            </w:pPr>
          </w:p>
        </w:tc>
      </w:tr>
      <w:tr w14:paraId="2C9297B2">
        <w:tblPrEx>
          <w:tblCellMar>
            <w:top w:w="0" w:type="dxa"/>
            <w:left w:w="108" w:type="dxa"/>
            <w:bottom w:w="0" w:type="dxa"/>
            <w:right w:w="108" w:type="dxa"/>
          </w:tblCellMar>
        </w:tblPrEx>
        <w:trPr>
          <w:trHeight w:val="102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E83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24</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49C71995">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1582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（六）全面准确，提高政策解读质量</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0E6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聚焦扩大有效需求、数字经济发展、重点领域改革、高水平对外开放、高质量招商引资、乡村振兴、新型城镇化建设、降碳减污扩绿、保障改善民生等方面政策，深入实施解读。</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47B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77C2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779ECAAF">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E28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25</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61E89252">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0AFAE">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5241">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充分利用政府网站、政务服务大厅、12345市民服务热线等渠道收集企业群众诉求，对政策中与企业群众生产生活密切相关的具体条款和事项，进行要点拆分、深度解读和综合指引，不断丰富解读内容，提高解读质量。对涉及办事服务的政策性文件，确保政策解读内容与实际办事要求一致。</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330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47A543C5">
            <w:pPr>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长期坚持</w:t>
            </w:r>
          </w:p>
        </w:tc>
      </w:tr>
      <w:tr w14:paraId="3FAED3EC">
        <w:tblPrEx>
          <w:tblCellMar>
            <w:top w:w="0" w:type="dxa"/>
            <w:left w:w="108" w:type="dxa"/>
            <w:bottom w:w="0" w:type="dxa"/>
            <w:right w:w="108" w:type="dxa"/>
          </w:tblCellMar>
        </w:tblPrEx>
        <w:trPr>
          <w:trHeight w:val="3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89D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26</w:t>
            </w:r>
          </w:p>
        </w:tc>
        <w:tc>
          <w:tcPr>
            <w:tcW w:w="1020" w:type="dxa"/>
            <w:vMerge w:val="continue"/>
            <w:tcBorders>
              <w:top w:val="nil"/>
              <w:left w:val="single" w:color="000000" w:sz="4" w:space="0"/>
              <w:bottom w:val="single" w:color="000000" w:sz="4" w:space="0"/>
              <w:right w:val="single" w:color="000000" w:sz="4" w:space="0"/>
            </w:tcBorders>
            <w:shd w:val="clear" w:color="auto" w:fill="auto"/>
            <w:vAlign w:val="center"/>
          </w:tcPr>
          <w:p w14:paraId="4727332B">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6BA59">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7953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充分发挥部门主要负责人、政策参与制定者和熟悉业务的专家学者、新闻评论员、媒体记者作用，综合运用新闻发布会、互动直播、现场宣讲、撰写评论文章等方式多角度全方位开展解读。</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49ED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63E0C9F1">
            <w:pPr>
              <w:widowControl/>
              <w:jc w:val="left"/>
              <w:textAlignment w:val="center"/>
              <w:rPr>
                <w:rFonts w:ascii="仿宋_GB2312" w:hAnsi="仿宋_GB2312" w:eastAsia="仿宋_GB2312" w:cs="仿宋_GB2312"/>
                <w:color w:val="000000"/>
                <w:sz w:val="24"/>
              </w:rPr>
            </w:pPr>
          </w:p>
        </w:tc>
      </w:tr>
      <w:tr w14:paraId="13B6D3C9">
        <w:tblPrEx>
          <w:tblCellMar>
            <w:top w:w="0" w:type="dxa"/>
            <w:left w:w="108" w:type="dxa"/>
            <w:bottom w:w="0" w:type="dxa"/>
            <w:right w:w="108" w:type="dxa"/>
          </w:tblCellMar>
        </w:tblPrEx>
        <w:trPr>
          <w:trHeight w:val="1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D70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27</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4020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三、切实增强政民互动交流能力</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137DB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（七）推进重大决策公众参与</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DF70">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深入落实重大决策公众参与程序，健全公众参与政策制定机制，制定涉及重大公共利益的政策，除依法应当保密的外，应当采取征求意见、听证座谈、实地走访、民意调查等方式扩大公众参与。制定涉企政策应主动听取相关企业的意见。</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520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362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52CD7475">
        <w:tblPrEx>
          <w:tblCellMar>
            <w:top w:w="0" w:type="dxa"/>
            <w:left w:w="108" w:type="dxa"/>
            <w:bottom w:w="0" w:type="dxa"/>
            <w:right w:w="108" w:type="dxa"/>
          </w:tblCellMar>
        </w:tblPrEx>
        <w:trPr>
          <w:trHeight w:val="79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396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76D1">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B631">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2BF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继续推进邀请利益相关方、公众代表、企业法人等列席政府有关会议工作，列席代表的意见发表和采纳情况要向社会公开。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AC3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03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长期坚持</w:t>
            </w:r>
          </w:p>
        </w:tc>
      </w:tr>
      <w:tr w14:paraId="352FD542">
        <w:tblPrEx>
          <w:tblCellMar>
            <w:top w:w="0" w:type="dxa"/>
            <w:left w:w="108" w:type="dxa"/>
            <w:bottom w:w="0" w:type="dxa"/>
            <w:right w:w="108" w:type="dxa"/>
          </w:tblCellMar>
        </w:tblPrEx>
        <w:trPr>
          <w:trHeight w:val="87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510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E850">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B60DB">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C853">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探索建立政务公开监督员制度，积极向政务公开工作机构反馈企业群众的意见建议。</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0C7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761F02D8">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763963F1">
        <w:tblPrEx>
          <w:tblCellMar>
            <w:top w:w="0" w:type="dxa"/>
            <w:left w:w="108" w:type="dxa"/>
            <w:bottom w:w="0" w:type="dxa"/>
            <w:right w:w="108" w:type="dxa"/>
          </w:tblCellMar>
        </w:tblPrEx>
        <w:trPr>
          <w:trHeight w:val="11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B2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8D563">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BB32A">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17E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建立政策效果评价机制，常态化开展政策评价，制定政策性文件的部门原则上每年至少开展2次专题性政策评价工作，围绕政策使用情况、取得成效、存在问题等开展效果评价。</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B394">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县政府相关部门</w:t>
            </w:r>
          </w:p>
        </w:tc>
        <w:tc>
          <w:tcPr>
            <w:tcW w:w="1417" w:type="dxa"/>
            <w:vMerge w:val="continue"/>
            <w:tcBorders>
              <w:left w:val="single" w:color="000000" w:sz="4" w:space="0"/>
              <w:right w:val="single" w:color="000000" w:sz="4" w:space="0"/>
            </w:tcBorders>
            <w:shd w:val="clear" w:color="auto" w:fill="auto"/>
            <w:vAlign w:val="center"/>
          </w:tcPr>
          <w:p w14:paraId="40B0A7E9">
            <w:pPr>
              <w:widowControl/>
              <w:jc w:val="left"/>
              <w:textAlignment w:val="center"/>
              <w:rPr>
                <w:rFonts w:ascii="仿宋_GB2312" w:hAnsi="仿宋_GB2312" w:eastAsia="仿宋_GB2312" w:cs="仿宋_GB2312"/>
                <w:color w:val="000000"/>
                <w:sz w:val="24"/>
              </w:rPr>
            </w:pPr>
          </w:p>
        </w:tc>
      </w:tr>
      <w:tr w14:paraId="45522DC7">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200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5B22">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7BFF8">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BC9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要深入分析政策评价结果，适时转化为调整政策制定的措施，每年年底前将政策评价结果和运用情况向社会公开。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71D4">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县政府相关部门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16A10665">
            <w:pPr>
              <w:widowControl/>
              <w:jc w:val="left"/>
              <w:textAlignment w:val="center"/>
              <w:rPr>
                <w:rFonts w:ascii="仿宋_GB2312" w:hAnsi="仿宋_GB2312" w:eastAsia="仿宋_GB2312" w:cs="仿宋_GB2312"/>
                <w:color w:val="000000"/>
                <w:sz w:val="24"/>
              </w:rPr>
            </w:pPr>
          </w:p>
        </w:tc>
      </w:tr>
      <w:tr w14:paraId="7DD929EA">
        <w:tblPrEx>
          <w:tblCellMar>
            <w:top w:w="0" w:type="dxa"/>
            <w:left w:w="108" w:type="dxa"/>
            <w:bottom w:w="0" w:type="dxa"/>
            <w:right w:w="108" w:type="dxa"/>
          </w:tblCellMar>
        </w:tblPrEx>
        <w:trPr>
          <w:trHeight w:val="7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D4D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35C96">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0E4A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（八）提升政民互动交流实效</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CA5E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组织开展以企业群众重点关注事项为主要内容的政府开放活动，精心设置议题，通过线上线下联动，畅通企业群众反映诉求的渠道。</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E8F2">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7A6091C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25CEDA67">
        <w:tblPrEx>
          <w:tblCellMar>
            <w:top w:w="0" w:type="dxa"/>
            <w:left w:w="108" w:type="dxa"/>
            <w:bottom w:w="0" w:type="dxa"/>
            <w:right w:w="108" w:type="dxa"/>
          </w:tblCellMar>
        </w:tblPrEx>
        <w:trPr>
          <w:trHeight w:val="6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884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1194F">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911DE">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3AD">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鼓励以公开征集意见方式，确定政府开放活动主题和场次，推动政府开放活动常态化。</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B74C">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right w:val="single" w:color="000000" w:sz="4" w:space="0"/>
            </w:tcBorders>
            <w:shd w:val="clear" w:color="auto" w:fill="auto"/>
            <w:vAlign w:val="center"/>
          </w:tcPr>
          <w:p w14:paraId="1F6951E4">
            <w:pPr>
              <w:jc w:val="left"/>
              <w:textAlignment w:val="center"/>
              <w:rPr>
                <w:rFonts w:ascii="仿宋_GB2312" w:hAnsi="仿宋_GB2312" w:eastAsia="仿宋_GB2312" w:cs="仿宋_GB2312"/>
                <w:color w:val="000000"/>
                <w:sz w:val="24"/>
              </w:rPr>
            </w:pPr>
          </w:p>
        </w:tc>
      </w:tr>
      <w:tr w14:paraId="0DF2A22F">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50B0">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ACC19">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54D4">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D0C42">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统筹做好在线访谈、民生连线、意见征集等互动渠道建设，严格落实各渠道办理时限，及时公开公众意见建议采纳情况。</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05B3">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right w:val="single" w:color="000000" w:sz="4" w:space="0"/>
            </w:tcBorders>
            <w:shd w:val="clear" w:color="auto" w:fill="auto"/>
            <w:vAlign w:val="center"/>
          </w:tcPr>
          <w:p w14:paraId="45255E2F">
            <w:pPr>
              <w:jc w:val="left"/>
              <w:textAlignment w:val="center"/>
              <w:rPr>
                <w:rFonts w:ascii="仿宋_GB2312" w:hAnsi="仿宋_GB2312" w:eastAsia="仿宋_GB2312" w:cs="仿宋_GB2312"/>
                <w:color w:val="000000"/>
                <w:sz w:val="24"/>
              </w:rPr>
            </w:pPr>
          </w:p>
        </w:tc>
      </w:tr>
      <w:tr w14:paraId="4987D090">
        <w:tblPrEx>
          <w:tblCellMar>
            <w:top w:w="0" w:type="dxa"/>
            <w:left w:w="108" w:type="dxa"/>
            <w:bottom w:w="0" w:type="dxa"/>
            <w:right w:w="108" w:type="dxa"/>
          </w:tblCellMar>
        </w:tblPrEx>
        <w:trPr>
          <w:trHeight w:val="87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BAC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1C19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21A0C">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2A0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加强对收集意见建议的分析研究，在作出公开决策时予以考虑，并将吸收采纳情况向社会公开。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EC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18450D3D">
            <w:pPr>
              <w:widowControl/>
              <w:jc w:val="left"/>
              <w:textAlignment w:val="center"/>
              <w:rPr>
                <w:rFonts w:ascii="仿宋_GB2312" w:hAnsi="仿宋_GB2312" w:eastAsia="仿宋_GB2312" w:cs="仿宋_GB2312"/>
                <w:color w:val="000000"/>
                <w:sz w:val="24"/>
              </w:rPr>
            </w:pPr>
          </w:p>
        </w:tc>
      </w:tr>
      <w:tr w14:paraId="4E08E129">
        <w:tblPrEx>
          <w:tblCellMar>
            <w:top w:w="0" w:type="dxa"/>
            <w:left w:w="108" w:type="dxa"/>
            <w:bottom w:w="0" w:type="dxa"/>
            <w:right w:w="108" w:type="dxa"/>
          </w:tblCellMar>
        </w:tblPrEx>
        <w:trPr>
          <w:trHeight w:val="8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9324">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36</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BBB2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四、全面提升依申请公开办理水平</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215BA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（九）规范依申请公开办理工作</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292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认真落实全省“依申请公开质效提升年”活动要求，全面提升全县依申请公开办理水平。</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3AE4">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3AA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57A43A0E">
        <w:tblPrEx>
          <w:tblCellMar>
            <w:top w:w="0" w:type="dxa"/>
            <w:left w:w="108" w:type="dxa"/>
            <w:bottom w:w="0" w:type="dxa"/>
            <w:right w:w="108" w:type="dxa"/>
          </w:tblCellMar>
        </w:tblPrEx>
        <w:trPr>
          <w:trHeight w:val="13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64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1F1DA2">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5500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903F">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坚持实事求是，注重温情服务，主动与申请人沟通，做好便民解答、指引和服务，推动申请人合理诉求的实质性解决。围绕征地拆迁、项目建设、社会保障等企业群众重点关注领域，深入研究分析，积极推动申请较为集中的政府信息由依申请公开向主动公开转化。</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2C7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608E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长期坚持</w:t>
            </w:r>
          </w:p>
        </w:tc>
      </w:tr>
      <w:tr w14:paraId="0C432DE6">
        <w:tblPrEx>
          <w:tblCellMar>
            <w:top w:w="0" w:type="dxa"/>
            <w:left w:w="108" w:type="dxa"/>
            <w:bottom w:w="0" w:type="dxa"/>
            <w:right w:w="108" w:type="dxa"/>
          </w:tblCellMar>
        </w:tblPrEx>
        <w:trPr>
          <w:trHeight w:val="9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2525">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86E8F">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8476E">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720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加强跨层级、跨部门协调联动，研究制定相关约束转办机制，有效解决申请人权利滥用、行政机关未依法行政等问题。</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036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0A5618A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4DB7C3DC">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4D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39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73EF1">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6767F">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A43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加强对全县依申请公开的工作指导、跟踪督导，对影响面广、敏感度高的申请，做到早了解、早研究，妥善处理疑难复杂案件。认真落实省市依申请公开一体化管理平台建设工作相关要求，对依申请公开加强全流程监管，借助信息化手段，推进依申请办理程序化、规范化、标准化。</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E7D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6FF23675">
            <w:pPr>
              <w:widowControl/>
              <w:jc w:val="left"/>
              <w:textAlignment w:val="center"/>
              <w:rPr>
                <w:rFonts w:ascii="仿宋_GB2312" w:hAnsi="仿宋_GB2312" w:eastAsia="仿宋_GB2312" w:cs="仿宋_GB2312"/>
                <w:color w:val="000000"/>
                <w:sz w:val="24"/>
              </w:rPr>
            </w:pPr>
          </w:p>
        </w:tc>
      </w:tr>
      <w:tr w14:paraId="2B3F6EEE">
        <w:tblPrEx>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7B5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40</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949C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五、大力推进公开平台建设</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4F731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（十）优化提升政府网站功能</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8EBA">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持续做好政务公开专题专栏建设，提升政府网站信息发布、解读回应、办事服务、互动交流服务效能。</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7676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58E6E80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4D2E4F2F">
        <w:tblPrEx>
          <w:tblCellMar>
            <w:top w:w="0" w:type="dxa"/>
            <w:left w:w="108" w:type="dxa"/>
            <w:bottom w:w="0" w:type="dxa"/>
            <w:right w:w="108" w:type="dxa"/>
          </w:tblCellMar>
        </w:tblPrEx>
        <w:trPr>
          <w:trHeight w:val="10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8A8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89BC5">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8EED7">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48A3">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完善政府网站站内检索功能，增设错别字自动纠正、关键词推荐、拼音转化搜索、通俗语言搜索等功能，对搜索结果提供多维度分类展现，实现“搜索即服务”。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4B9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continue"/>
            <w:tcBorders>
              <w:left w:val="single" w:color="000000" w:sz="4" w:space="0"/>
              <w:right w:val="single" w:color="000000" w:sz="4" w:space="0"/>
            </w:tcBorders>
            <w:shd w:val="clear" w:color="auto" w:fill="auto"/>
            <w:vAlign w:val="center"/>
          </w:tcPr>
          <w:p w14:paraId="22C2631C">
            <w:pPr>
              <w:jc w:val="left"/>
              <w:textAlignment w:val="center"/>
              <w:rPr>
                <w:rFonts w:ascii="仿宋_GB2312" w:hAnsi="仿宋_GB2312" w:eastAsia="仿宋_GB2312" w:cs="仿宋_GB2312"/>
                <w:color w:val="000000"/>
                <w:sz w:val="24"/>
              </w:rPr>
            </w:pPr>
          </w:p>
        </w:tc>
      </w:tr>
      <w:tr w14:paraId="087E885B">
        <w:tblPrEx>
          <w:tblCellMar>
            <w:top w:w="0" w:type="dxa"/>
            <w:left w:w="108" w:type="dxa"/>
            <w:bottom w:w="0" w:type="dxa"/>
            <w:right w:w="108" w:type="dxa"/>
          </w:tblCellMar>
        </w:tblPrEx>
        <w:trPr>
          <w:trHeight w:val="141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54D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42</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0D3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4F7BC">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BA0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完善政策问答平台运行机制，围绕高频政策咨询事项构建知识库，形成各级各部门协同联动、对接共享的政策问答体系。推动12345市民服务热线与政务服务平台、政府网站政民互动栏目、政务新媒体等互联互通、共享共用政策咨询问答知识库。</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52A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5B855324">
            <w:pPr>
              <w:widowControl/>
              <w:jc w:val="left"/>
              <w:textAlignment w:val="center"/>
              <w:rPr>
                <w:rFonts w:ascii="仿宋_GB2312" w:hAnsi="仿宋_GB2312" w:eastAsia="仿宋_GB2312" w:cs="仿宋_GB2312"/>
                <w:color w:val="000000"/>
                <w:sz w:val="24"/>
              </w:rPr>
            </w:pPr>
          </w:p>
        </w:tc>
      </w:tr>
      <w:tr w14:paraId="0CEB632F">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D42B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A2599">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D803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（十一）加强政府网站和政务新媒体监管力度</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024B">
            <w:pPr>
              <w:keepNext w:val="0"/>
              <w:keepLines w:val="0"/>
              <w:pageBreakBefore w:val="0"/>
              <w:widowControl/>
              <w:kinsoku/>
              <w:wordWrap/>
              <w:overflowPunct/>
              <w:topLinePunct w:val="0"/>
              <w:autoSpaceDE/>
              <w:autoSpaceDN/>
              <w:bidi w:val="0"/>
              <w:adjustRightInd/>
              <w:snapToGrid/>
              <w:spacing w:line="29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按照国家、省、市有关要求，做好政府网站和政务新媒体监管工作，健全完善备案管理、开设关停、检查通报等全链条工作制度。</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C52D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622CC8B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210A4795">
        <w:tblPrEx>
          <w:tblCellMar>
            <w:top w:w="0" w:type="dxa"/>
            <w:left w:w="108" w:type="dxa"/>
            <w:bottom w:w="0" w:type="dxa"/>
            <w:right w:w="108" w:type="dxa"/>
          </w:tblCellMar>
        </w:tblPrEx>
        <w:trPr>
          <w:trHeight w:val="53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55D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BE879">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D444C">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CC200">
            <w:pPr>
              <w:keepNext w:val="0"/>
              <w:keepLines w:val="0"/>
              <w:pageBreakBefore w:val="0"/>
              <w:widowControl/>
              <w:kinsoku/>
              <w:wordWrap/>
              <w:overflowPunct/>
              <w:topLinePunct w:val="0"/>
              <w:autoSpaceDE/>
              <w:autoSpaceDN/>
              <w:bidi w:val="0"/>
              <w:adjustRightInd/>
              <w:snapToGrid/>
              <w:spacing w:line="29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持续做好“我为政府网站找错”平台留言办理工作。</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281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vMerge w:val="continue"/>
            <w:tcBorders>
              <w:left w:val="single" w:color="000000" w:sz="4" w:space="0"/>
              <w:right w:val="single" w:color="000000" w:sz="4" w:space="0"/>
            </w:tcBorders>
            <w:shd w:val="clear" w:color="auto" w:fill="auto"/>
            <w:vAlign w:val="center"/>
          </w:tcPr>
          <w:p w14:paraId="3F94B92F">
            <w:pPr>
              <w:jc w:val="left"/>
              <w:textAlignment w:val="center"/>
              <w:rPr>
                <w:rFonts w:ascii="仿宋_GB2312" w:hAnsi="仿宋_GB2312" w:eastAsia="仿宋_GB2312" w:cs="仿宋_GB2312"/>
                <w:color w:val="000000"/>
                <w:sz w:val="24"/>
              </w:rPr>
            </w:pPr>
          </w:p>
        </w:tc>
      </w:tr>
      <w:tr w14:paraId="646C0D29">
        <w:tblPrEx>
          <w:tblCellMar>
            <w:top w:w="0" w:type="dxa"/>
            <w:left w:w="108" w:type="dxa"/>
            <w:bottom w:w="0" w:type="dxa"/>
            <w:right w:w="108" w:type="dxa"/>
          </w:tblCellMar>
        </w:tblPrEx>
        <w:trPr>
          <w:trHeight w:val="10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619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C260B">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89B2F">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B708">
            <w:pPr>
              <w:keepNext w:val="0"/>
              <w:keepLines w:val="0"/>
              <w:pageBreakBefore w:val="0"/>
              <w:widowControl/>
              <w:kinsoku/>
              <w:wordWrap/>
              <w:overflowPunct/>
              <w:topLinePunct w:val="0"/>
              <w:autoSpaceDE/>
              <w:autoSpaceDN/>
              <w:bidi w:val="0"/>
              <w:adjustRightInd/>
              <w:snapToGrid/>
              <w:spacing w:line="29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利用好“济南市政府网站和政务新媒体数字化监管平台”，严格落实信息发布“三审三校”制度，实现统一备案、统一运维平台、一键式发布、一体化监管。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820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right w:val="single" w:color="000000" w:sz="4" w:space="0"/>
            </w:tcBorders>
            <w:shd w:val="clear" w:color="auto" w:fill="auto"/>
            <w:vAlign w:val="center"/>
          </w:tcPr>
          <w:p w14:paraId="029DCDBB">
            <w:pPr>
              <w:widowControl/>
              <w:jc w:val="left"/>
              <w:textAlignment w:val="center"/>
              <w:rPr>
                <w:rFonts w:ascii="仿宋_GB2312" w:hAnsi="仿宋_GB2312" w:eastAsia="仿宋_GB2312" w:cs="仿宋_GB2312"/>
                <w:color w:val="000000"/>
                <w:sz w:val="24"/>
              </w:rPr>
            </w:pPr>
          </w:p>
        </w:tc>
      </w:tr>
      <w:tr w14:paraId="1C482030">
        <w:tblPrEx>
          <w:tblCellMar>
            <w:top w:w="0" w:type="dxa"/>
            <w:left w:w="108" w:type="dxa"/>
            <w:bottom w:w="0" w:type="dxa"/>
            <w:right w:w="108" w:type="dxa"/>
          </w:tblCellMar>
        </w:tblPrEx>
        <w:trPr>
          <w:trHeight w:val="130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5D3F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EE288">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43F34">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B8AC">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清理整合功能相近、用户关注度和利用率低的政务新媒体，集中力量做大做强主账号，打造一批优质精品账号。强化政务新媒体矩阵体系建设，及时、准确、集中转载重要信息，构建整体联动、集体发声的政务新媒体矩阵。</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81712">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6DB1E252">
            <w:pPr>
              <w:widowControl/>
              <w:jc w:val="left"/>
              <w:textAlignment w:val="center"/>
              <w:rPr>
                <w:rFonts w:ascii="仿宋_GB2312" w:hAnsi="仿宋_GB2312" w:eastAsia="仿宋_GB2312" w:cs="仿宋_GB2312"/>
                <w:color w:val="000000"/>
                <w:sz w:val="24"/>
              </w:rPr>
            </w:pPr>
          </w:p>
        </w:tc>
      </w:tr>
      <w:tr w14:paraId="054EF786">
        <w:tblPrEx>
          <w:tblCellMar>
            <w:top w:w="0" w:type="dxa"/>
            <w:left w:w="108" w:type="dxa"/>
            <w:bottom w:w="0" w:type="dxa"/>
            <w:right w:w="108" w:type="dxa"/>
          </w:tblCellMar>
        </w:tblPrEx>
        <w:trPr>
          <w:trHeight w:val="6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7209">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6A4B">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1032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（十二）拓展公共企事业信息公开平台功能</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7F95">
            <w:pPr>
              <w:keepNext w:val="0"/>
              <w:keepLines w:val="0"/>
              <w:pageBreakBefore w:val="0"/>
              <w:widowControl/>
              <w:kinsoku/>
              <w:wordWrap/>
              <w:overflowPunct/>
              <w:topLinePunct w:val="0"/>
              <w:autoSpaceDE/>
              <w:autoSpaceDN/>
              <w:bidi w:val="0"/>
              <w:adjustRightInd/>
              <w:snapToGrid/>
              <w:spacing w:line="29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进一步完善全县公共企事业单位信息公开发布平台，主动公开教育、卫生健康等领域相关信息。</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50F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县教体局、卫健局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599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2024年10月底前</w:t>
            </w:r>
          </w:p>
        </w:tc>
      </w:tr>
      <w:tr w14:paraId="16B0E8E1">
        <w:tblPrEx>
          <w:tblCellMar>
            <w:top w:w="0" w:type="dxa"/>
            <w:left w:w="108" w:type="dxa"/>
            <w:bottom w:w="0" w:type="dxa"/>
            <w:right w:w="108" w:type="dxa"/>
          </w:tblCellMar>
        </w:tblPrEx>
        <w:trPr>
          <w:trHeight w:val="95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10F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0E3DB">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DEB69">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D049">
            <w:pPr>
              <w:keepNext w:val="0"/>
              <w:keepLines w:val="0"/>
              <w:pageBreakBefore w:val="0"/>
              <w:widowControl/>
              <w:kinsoku/>
              <w:wordWrap/>
              <w:overflowPunct/>
              <w:topLinePunct w:val="0"/>
              <w:autoSpaceDE/>
              <w:autoSpaceDN/>
              <w:bidi w:val="0"/>
              <w:adjustRightInd/>
              <w:snapToGrid/>
              <w:spacing w:line="29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逐步扩大公共企事业单位信息公开适用领域，探索建立各领域统一的行业性信息公开平台和咨询窗口，科学合理确定公开内容，推动信息公开“一站式”服务。</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134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县教体局、卫健局</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A17C7">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4D72DC84">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955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49</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1B894">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1845">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8BBB">
            <w:pPr>
              <w:keepNext w:val="0"/>
              <w:keepLines w:val="0"/>
              <w:pageBreakBefore w:val="0"/>
              <w:widowControl/>
              <w:kinsoku/>
              <w:wordWrap/>
              <w:overflowPunct/>
              <w:topLinePunct w:val="0"/>
              <w:autoSpaceDE/>
              <w:autoSpaceDN/>
              <w:bidi w:val="0"/>
              <w:adjustRightInd/>
              <w:snapToGrid/>
              <w:spacing w:line="29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定期开展全县公共企事业单位信息公开专项评估，及时发现和解决问题，推动工作有效落实。</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AC7D">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F24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7081E9E9">
        <w:tblPrEx>
          <w:tblCellMar>
            <w:top w:w="0" w:type="dxa"/>
            <w:left w:w="108" w:type="dxa"/>
            <w:bottom w:w="0" w:type="dxa"/>
            <w:right w:w="108" w:type="dxa"/>
          </w:tblCellMar>
        </w:tblPrEx>
        <w:trPr>
          <w:trHeight w:val="19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C333">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50</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154C1">
            <w:pPr>
              <w:jc w:val="center"/>
              <w:rPr>
                <w:rFonts w:ascii="仿宋_GB2312" w:hAnsi="仿宋_GB2312" w:eastAsia="仿宋_GB2312" w:cs="仿宋_GB2312"/>
                <w:color w:val="000000"/>
                <w:sz w:val="24"/>
              </w:rPr>
            </w:pP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76F3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（十三）持续提升政务公开专区建设</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62D2">
            <w:pPr>
              <w:keepNext w:val="0"/>
              <w:keepLines w:val="0"/>
              <w:pageBreakBefore w:val="0"/>
              <w:widowControl/>
              <w:kinsoku/>
              <w:wordWrap/>
              <w:overflowPunct/>
              <w:topLinePunct w:val="0"/>
              <w:autoSpaceDE/>
              <w:autoSpaceDN/>
              <w:bidi w:val="0"/>
              <w:adjustRightInd/>
              <w:snapToGrid/>
              <w:spacing w:line="30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紧紧围绕企业群众需求，整合现有政务服务场所和信息化资源，对全县现有政务公开专区建设进行规范升级，做强政府信息查询、信息公开申请、办事咨询答复等服务，探索实现政务公开专区查询服务系统与政府信息公开专栏、政府文件库等互联互通。拓展政务公开专区功能，积极开展重要政策现场解读、综合政策咨询、办事流程演示等活动，推进政务公开与政务服务深度融合。</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4F1E">
            <w:pPr>
              <w:widowControl/>
              <w:jc w:val="left"/>
              <w:textAlignment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各镇（街道）</w:t>
            </w:r>
          </w:p>
          <w:p w14:paraId="7D5393E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县政府办公室、行政审批局</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14CD149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6549631D">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524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51</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8463E">
            <w:pPr>
              <w:jc w:val="center"/>
              <w:rPr>
                <w:rFonts w:ascii="仿宋_GB2312" w:hAnsi="仿宋_GB2312" w:eastAsia="仿宋_GB2312" w:cs="仿宋_GB2312"/>
                <w:color w:val="000000"/>
                <w:sz w:val="24"/>
              </w:rPr>
            </w:pP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A2FF">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BFB65">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在镇街便民服务中心等服务场所，筛选打造一批有特色有亮点的品牌专区。</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FC1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县政府办公室、行政审批局</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02D5443D">
            <w:pPr>
              <w:widowControl/>
              <w:jc w:val="left"/>
              <w:textAlignment w:val="center"/>
              <w:rPr>
                <w:rFonts w:ascii="仿宋_GB2312" w:hAnsi="仿宋_GB2312" w:eastAsia="仿宋_GB2312" w:cs="仿宋_GB2312"/>
                <w:color w:val="000000"/>
                <w:sz w:val="24"/>
              </w:rPr>
            </w:pPr>
          </w:p>
        </w:tc>
      </w:tr>
      <w:tr w14:paraId="78AC42A3">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EE021">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52</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2E4D8B">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六、着力夯实政务公开工作基础</w:t>
            </w: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14:paraId="7FD0A0EC">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（十四）加大工作保障力度</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C27">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各镇街、各部门（单位）要将政务公开纳入重要议事日程，着力推进重点领域业务工作与公开要求深入融合、互促互进。</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EE91">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311B4469">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长期坚持</w:t>
            </w:r>
          </w:p>
        </w:tc>
      </w:tr>
      <w:tr w14:paraId="6BADCA0B">
        <w:tblPrEx>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731A">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53</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E7066">
            <w:pPr>
              <w:jc w:val="center"/>
              <w:rPr>
                <w:rFonts w:ascii="仿宋_GB2312" w:hAnsi="仿宋_GB2312" w:eastAsia="仿宋_GB2312" w:cs="仿宋_GB2312"/>
                <w:color w:val="000000"/>
                <w:sz w:val="24"/>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14:paraId="62FC6AC1">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14E2">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主要负责同志每年至少召开1次专题会议听取工作汇报，研究解决重点难点问题。对涉及需要多部门、多机构配合的公开工作，探索建立跨层级、跨部门协调联动工作机制。紧密联系工作实践，推进理论创新，鼓励到先进地区和基层一线调研学习，找差距、知不足，促进整体水平提升。</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DCE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685EB4A6">
            <w:pPr>
              <w:widowControl/>
              <w:jc w:val="left"/>
              <w:textAlignment w:val="center"/>
              <w:rPr>
                <w:rFonts w:ascii="仿宋_GB2312" w:hAnsi="仿宋_GB2312" w:eastAsia="仿宋_GB2312" w:cs="仿宋_GB2312"/>
                <w:color w:val="000000"/>
                <w:sz w:val="24"/>
              </w:rPr>
            </w:pPr>
          </w:p>
        </w:tc>
      </w:tr>
      <w:tr w14:paraId="17B28E85">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FCB2">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54</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A2D43">
            <w:pPr>
              <w:jc w:val="center"/>
              <w:rPr>
                <w:rFonts w:ascii="仿宋_GB2312" w:hAnsi="仿宋_GB2312" w:eastAsia="仿宋_GB2312" w:cs="仿宋_GB2312"/>
                <w:color w:val="000000"/>
                <w:sz w:val="24"/>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14:paraId="4007FA7E">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2F63">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各单位每年至少组织1次政务公开专题培训，把政务公开纳入领导干部和公务员教育培训内容，增强公开意识，提高公开本领。</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7B41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1F36">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2011F1EF">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D63F">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55</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B4A6A">
            <w:pPr>
              <w:jc w:val="center"/>
              <w:rPr>
                <w:rFonts w:ascii="仿宋_GB2312" w:hAnsi="仿宋_GB2312" w:eastAsia="仿宋_GB2312" w:cs="仿宋_GB2312"/>
                <w:color w:val="000000"/>
                <w:sz w:val="24"/>
              </w:rPr>
            </w:pP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14:paraId="63747D5D">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（十五）推进政务公开标准化建设</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3733">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要按照《全省主动公开事项目录编制工作方案》各项要求，分层级分领域梳理确定法定公开事项，明确公开主体、内容、时限、方式、渠道、责任等要素，形成本领域本系统主动公开事项目录，并动态调整更新，做到法定公开事项主动公开到位，其他事项审慎主动公开。</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66E7C">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restart"/>
            <w:tcBorders>
              <w:top w:val="single" w:color="000000" w:sz="4" w:space="0"/>
              <w:left w:val="single" w:color="000000" w:sz="4" w:space="0"/>
              <w:right w:val="single" w:color="000000" w:sz="4" w:space="0"/>
            </w:tcBorders>
            <w:shd w:val="clear" w:color="auto" w:fill="auto"/>
            <w:vAlign w:val="center"/>
          </w:tcPr>
          <w:p w14:paraId="085BE3E0">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r w14:paraId="37DC908E">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255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56</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4FD8C2">
            <w:pPr>
              <w:jc w:val="center"/>
              <w:rPr>
                <w:rFonts w:ascii="仿宋_GB2312" w:hAnsi="仿宋_GB2312" w:eastAsia="仿宋_GB2312" w:cs="仿宋_GB2312"/>
                <w:color w:val="000000"/>
                <w:sz w:val="24"/>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14:paraId="558658B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02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积极开展全县政务公开工作典型案例评选，广泛征集和推广一批政策解读、依申请公开、政府网站和政务新媒体建设管理等方面的典型案例，充分发挥示范引领作用。</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5F7A">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vMerge w:val="continue"/>
            <w:tcBorders>
              <w:left w:val="single" w:color="000000" w:sz="4" w:space="0"/>
              <w:bottom w:val="single" w:color="000000" w:sz="4" w:space="0"/>
              <w:right w:val="single" w:color="000000" w:sz="4" w:space="0"/>
            </w:tcBorders>
            <w:shd w:val="clear" w:color="auto" w:fill="auto"/>
            <w:vAlign w:val="center"/>
          </w:tcPr>
          <w:p w14:paraId="025B27F2">
            <w:pPr>
              <w:widowControl/>
              <w:jc w:val="left"/>
              <w:textAlignment w:val="center"/>
              <w:rPr>
                <w:rFonts w:ascii="仿宋_GB2312" w:hAnsi="仿宋_GB2312" w:eastAsia="仿宋_GB2312" w:cs="仿宋_GB2312"/>
                <w:color w:val="000000"/>
                <w:sz w:val="24"/>
              </w:rPr>
            </w:pPr>
          </w:p>
        </w:tc>
      </w:tr>
      <w:tr w14:paraId="61B63D46">
        <w:tblPrEx>
          <w:tblCellMar>
            <w:top w:w="0" w:type="dxa"/>
            <w:left w:w="108" w:type="dxa"/>
            <w:bottom w:w="0" w:type="dxa"/>
            <w:right w:w="108" w:type="dxa"/>
          </w:tblCellMar>
        </w:tblPrEx>
        <w:trPr>
          <w:trHeight w:val="5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5ADE">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57</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70ED5">
            <w:pPr>
              <w:jc w:val="center"/>
              <w:rPr>
                <w:rFonts w:ascii="仿宋_GB2312" w:hAnsi="仿宋_GB2312" w:eastAsia="仿宋_GB2312" w:cs="仿宋_GB2312"/>
                <w:color w:val="000000"/>
                <w:sz w:val="24"/>
              </w:rPr>
            </w:pPr>
          </w:p>
        </w:tc>
        <w:tc>
          <w:tcPr>
            <w:tcW w:w="1418" w:type="dxa"/>
            <w:vMerge w:val="restart"/>
            <w:tcBorders>
              <w:top w:val="single" w:color="000000" w:sz="4" w:space="0"/>
              <w:left w:val="nil"/>
              <w:bottom w:val="single" w:color="000000" w:sz="4" w:space="0"/>
              <w:right w:val="single" w:color="000000" w:sz="4" w:space="0"/>
            </w:tcBorders>
            <w:shd w:val="clear" w:color="auto" w:fill="auto"/>
            <w:vAlign w:val="center"/>
          </w:tcPr>
          <w:p w14:paraId="75328517">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(十六）切实抓好监督落实</w:t>
            </w: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A07A8">
            <w:pPr>
              <w:widowControl/>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县政府办公室要持续加强日常监督，跟踪任务落实，定期通报情况，对表现突出的予以表扬，对工作落实不到位、问题较多的及时约谈提醒，依法依规追责问责。</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2B7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县政府办公室</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6F0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长期坚持</w:t>
            </w:r>
          </w:p>
        </w:tc>
      </w:tr>
      <w:tr w14:paraId="1EA5832D">
        <w:tblPrEx>
          <w:tblCellMar>
            <w:top w:w="0" w:type="dxa"/>
            <w:left w:w="108" w:type="dxa"/>
            <w:bottom w:w="0" w:type="dxa"/>
            <w:right w:w="108" w:type="dxa"/>
          </w:tblCellMar>
        </w:tblPrEx>
        <w:trPr>
          <w:trHeight w:val="85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E2C6">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58</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4027">
            <w:pPr>
              <w:jc w:val="center"/>
              <w:rPr>
                <w:rFonts w:ascii="仿宋_GB2312" w:hAnsi="仿宋_GB2312" w:eastAsia="仿宋_GB2312" w:cs="仿宋_GB2312"/>
                <w:color w:val="000000"/>
                <w:sz w:val="24"/>
              </w:rPr>
            </w:pPr>
          </w:p>
        </w:tc>
        <w:tc>
          <w:tcPr>
            <w:tcW w:w="1418" w:type="dxa"/>
            <w:vMerge w:val="continue"/>
            <w:tcBorders>
              <w:top w:val="single" w:color="000000" w:sz="4" w:space="0"/>
              <w:left w:val="nil"/>
              <w:bottom w:val="single" w:color="000000" w:sz="4" w:space="0"/>
              <w:right w:val="single" w:color="000000" w:sz="4" w:space="0"/>
            </w:tcBorders>
            <w:shd w:val="clear" w:color="auto" w:fill="auto"/>
            <w:vAlign w:val="center"/>
          </w:tcPr>
          <w:p w14:paraId="10431BAD">
            <w:pPr>
              <w:jc w:val="center"/>
              <w:rPr>
                <w:rFonts w:ascii="仿宋_GB2312" w:hAnsi="仿宋_GB2312" w:eastAsia="仿宋_GB2312" w:cs="仿宋_GB2312"/>
                <w:color w:val="000000"/>
                <w:sz w:val="24"/>
              </w:rPr>
            </w:pPr>
          </w:p>
        </w:tc>
        <w:tc>
          <w:tcPr>
            <w:tcW w:w="7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508F">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各镇街、各部门（单位）要坚持问题导向，聚焦问题短板，狠抓工作落实，确保完成好省、市、县明确的各项目标任务。鼓励各镇街、各部门（单位）在国家、省级主流媒体平台宣传推广</w:t>
            </w:r>
            <w:r>
              <w:rPr>
                <w:rStyle w:val="12"/>
                <w:rFonts w:hint="default" w:ascii="仿宋_GB2312" w:hAnsi="仿宋_GB2312" w:eastAsia="仿宋_GB2312" w:cs="仿宋_GB2312"/>
              </w:rPr>
              <w:t>政务公开工作经验，全面展示我县政务公开工作亮点，</w:t>
            </w:r>
            <w:r>
              <w:rPr>
                <w:rStyle w:val="13"/>
                <w:rFonts w:hint="default" w:ascii="仿宋_GB2312" w:hAnsi="仿宋_GB2312" w:eastAsia="仿宋_GB2312" w:cs="仿宋_GB2312"/>
              </w:rPr>
              <w:t>共同打造县域政务公开品牌体系。</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D5B">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各镇（街道）、县政府各部门</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BBCE">
            <w:pPr>
              <w:widowControl/>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2024年12月底前</w:t>
            </w:r>
          </w:p>
        </w:tc>
      </w:tr>
    </w:tbl>
    <w:p w14:paraId="358D03E9">
      <w:pPr>
        <w:rPr>
          <w:rFonts w:ascii="仿宋_GB2312" w:hAnsi="仿宋_GB2312" w:eastAsia="仿宋_GB2312" w:cs="仿宋_GB2312"/>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270143B">
      <w:pPr>
        <w:rPr>
          <w:rFonts w:ascii="仿宋_GB2312" w:hAnsi="仿宋_GB2312" w:eastAsia="仿宋_GB2312" w:cs="仿宋_GB2312"/>
        </w:rPr>
      </w:pPr>
    </w:p>
    <w:p w14:paraId="1FF33851">
      <w:pPr>
        <w:rPr>
          <w:rFonts w:ascii="仿宋_GB2312" w:hAnsi="仿宋_GB2312" w:eastAsia="仿宋_GB2312" w:cs="仿宋_GB2312"/>
        </w:rPr>
      </w:pPr>
    </w:p>
    <w:p w14:paraId="5CE89BA6">
      <w:pPr>
        <w:rPr>
          <w:rFonts w:ascii="仿宋_GB2312" w:hAnsi="仿宋_GB2312" w:eastAsia="仿宋_GB2312" w:cs="仿宋_GB2312"/>
        </w:rPr>
      </w:pPr>
    </w:p>
    <w:p w14:paraId="3F39ABBF">
      <w:pPr>
        <w:rPr>
          <w:rFonts w:ascii="仿宋_GB2312" w:hAnsi="仿宋_GB2312" w:eastAsia="仿宋_GB2312" w:cs="仿宋_GB2312"/>
        </w:rPr>
      </w:pPr>
    </w:p>
    <w:p w14:paraId="0BD3C10B">
      <w:pPr>
        <w:rPr>
          <w:rFonts w:ascii="仿宋_GB2312" w:hAnsi="仿宋_GB2312" w:eastAsia="仿宋_GB2312" w:cs="仿宋_GB2312"/>
        </w:rPr>
      </w:pPr>
    </w:p>
    <w:p w14:paraId="07A87F22">
      <w:pPr>
        <w:rPr>
          <w:rFonts w:ascii="仿宋_GB2312" w:hAnsi="仿宋_GB2312" w:eastAsia="仿宋_GB2312" w:cs="仿宋_GB2312"/>
        </w:rPr>
      </w:pPr>
    </w:p>
    <w:p w14:paraId="569F7EB5">
      <w:pPr>
        <w:rPr>
          <w:rFonts w:ascii="仿宋_GB2312" w:hAnsi="仿宋_GB2312" w:eastAsia="仿宋_GB2312" w:cs="仿宋_GB2312"/>
        </w:rPr>
      </w:pPr>
    </w:p>
    <w:p w14:paraId="479C4B86">
      <w:pPr>
        <w:rPr>
          <w:rFonts w:ascii="仿宋_GB2312" w:hAnsi="仿宋_GB2312" w:eastAsia="仿宋_GB2312" w:cs="仿宋_GB2312"/>
        </w:rPr>
      </w:pPr>
    </w:p>
    <w:p w14:paraId="33B4897F">
      <w:pPr>
        <w:rPr>
          <w:rFonts w:ascii="仿宋_GB2312" w:hAnsi="仿宋_GB2312" w:eastAsia="仿宋_GB2312" w:cs="仿宋_GB2312"/>
        </w:rPr>
      </w:pPr>
    </w:p>
    <w:p w14:paraId="0FBC4651">
      <w:pPr>
        <w:rPr>
          <w:rFonts w:ascii="仿宋_GB2312" w:hAnsi="仿宋_GB2312" w:eastAsia="仿宋_GB2312" w:cs="仿宋_GB2312"/>
        </w:rPr>
      </w:pPr>
    </w:p>
    <w:p w14:paraId="2209FFE3">
      <w:pPr>
        <w:pStyle w:val="3"/>
        <w:rPr>
          <w:rFonts w:hint="eastAsia"/>
        </w:rPr>
      </w:pPr>
    </w:p>
    <w:p w14:paraId="1501AFF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5CA639D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5FFDBED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72E10541">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5525470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02518EC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04B0443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3CCF94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26DC54D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F1AECC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025473D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39C05A3">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2455E465">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23A2656">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6C740748">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B97E5F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37A360C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6AB89E17">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5E1A733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72C19489">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0CC0384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B9E303A">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0954603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2C1217FD">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5D37AFFE">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630B02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C82C6BF">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027596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3EC7F2A8">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7976814C">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7A78001">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6160A6F0">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7E32A9B">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68AED6F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1961F0F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298FF4E3">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2F351A64">
      <w:pPr>
        <w:keepNext w:val="0"/>
        <w:keepLines w:val="0"/>
        <w:pageBreakBefore w:val="0"/>
        <w:widowControl w:val="0"/>
        <w:kinsoku/>
        <w:wordWrap/>
        <w:overflowPunct/>
        <w:topLinePunct w:val="0"/>
        <w:autoSpaceDE/>
        <w:autoSpaceDN/>
        <w:bidi w:val="0"/>
        <w:adjustRightInd/>
        <w:snapToGrid/>
        <w:spacing w:line="240" w:lineRule="exact"/>
        <w:ind w:left="0"/>
        <w:textAlignment w:val="auto"/>
        <w:rPr>
          <w:rFonts w:hint="eastAsia" w:ascii="仿宋_GB2312" w:hAnsi="仿宋_GB2312" w:eastAsia="仿宋_GB2312" w:cs="仿宋_GB2312"/>
          <w:color w:val="auto"/>
          <w:sz w:val="32"/>
          <w:szCs w:val="32"/>
        </w:rPr>
      </w:pPr>
    </w:p>
    <w:p w14:paraId="4FB4037B">
      <w:pPr>
        <w:keepNext w:val="0"/>
        <w:keepLines w:val="0"/>
        <w:pageBreakBefore w:val="0"/>
        <w:widowControl/>
        <w:pBdr>
          <w:top w:val="single" w:color="auto" w:sz="6" w:space="1"/>
          <w:bottom w:val="single" w:color="auto" w:sz="6" w:space="1"/>
          <w:between w:val="single" w:color="auto" w:sz="6" w:space="1"/>
        </w:pBdr>
        <w:shd w:val="clear" w:color="auto" w:fill="auto"/>
        <w:tabs>
          <w:tab w:val="left" w:pos="8460"/>
        </w:tabs>
        <w:kinsoku/>
        <w:wordWrap/>
        <w:overflowPunct/>
        <w:topLinePunct w:val="0"/>
        <w:autoSpaceDE/>
        <w:autoSpaceDN/>
        <w:bidi w:val="0"/>
        <w:adjustRightInd/>
        <w:snapToGrid/>
        <w:spacing w:afterAutospacing="0" w:line="240" w:lineRule="auto"/>
        <w:ind w:right="0" w:firstLine="280" w:firstLineChars="100"/>
        <w:jc w:val="left"/>
        <w:textAlignment w:val="auto"/>
        <w:rPr>
          <w:rFonts w:hint="eastAsia"/>
          <w:color w:val="auto"/>
        </w:rPr>
      </w:pPr>
      <w:r>
        <w:rPr>
          <w:rFonts w:hint="eastAsia" w:ascii="仿宋_GB2312" w:hAnsi="仿宋_GB2312" w:eastAsia="仿宋_GB2312" w:cs="仿宋_GB2312"/>
          <w:b w:val="0"/>
          <w:bCs w:val="0"/>
          <w:color w:val="auto"/>
          <w:sz w:val="28"/>
          <w:szCs w:val="28"/>
        </w:rPr>
        <w:t xml:space="preserve">平阴县人民政府办公室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val="en-US" w:eastAsia="zh-CN"/>
        </w:rPr>
        <w:t xml:space="preserve">  </w:t>
      </w:r>
      <w:r>
        <w:rPr>
          <w:rFonts w:ascii="仿宋_GB2312" w:hAnsi="仿宋_GB2312" w:eastAsia="仿宋_GB2312" w:cs="仿宋_GB2312"/>
          <w:b w:val="0"/>
          <w:bCs w:val="0"/>
          <w:color w:val="auto"/>
          <w:spacing w:val="17"/>
          <w:sz w:val="28"/>
          <w:szCs w:val="28"/>
        </w:rPr>
        <w:t>20</w:t>
      </w:r>
      <w:r>
        <w:rPr>
          <w:rFonts w:hint="eastAsia" w:ascii="仿宋_GB2312" w:hAnsi="仿宋_GB2312" w:eastAsia="仿宋_GB2312" w:cs="仿宋_GB2312"/>
          <w:b w:val="0"/>
          <w:bCs w:val="0"/>
          <w:color w:val="auto"/>
          <w:spacing w:val="17"/>
          <w:sz w:val="28"/>
          <w:szCs w:val="28"/>
          <w:lang w:val="en-US" w:eastAsia="zh-CN"/>
        </w:rPr>
        <w:t>24</w:t>
      </w:r>
      <w:r>
        <w:rPr>
          <w:rFonts w:ascii="仿宋_GB2312" w:hAnsi="仿宋_GB2312" w:eastAsia="仿宋_GB2312" w:cs="仿宋_GB2312"/>
          <w:b w:val="0"/>
          <w:bCs w:val="0"/>
          <w:color w:val="auto"/>
          <w:spacing w:val="17"/>
          <w:sz w:val="28"/>
          <w:szCs w:val="28"/>
        </w:rPr>
        <w:t>年</w:t>
      </w:r>
      <w:r>
        <w:rPr>
          <w:rFonts w:hint="eastAsia" w:ascii="仿宋_GB2312" w:hAnsi="仿宋_GB2312" w:cs="仿宋_GB2312"/>
          <w:b w:val="0"/>
          <w:bCs w:val="0"/>
          <w:color w:val="auto"/>
          <w:spacing w:val="17"/>
          <w:sz w:val="28"/>
          <w:szCs w:val="28"/>
          <w:lang w:val="en-US" w:eastAsia="zh-CN"/>
        </w:rPr>
        <w:t>6</w:t>
      </w:r>
      <w:r>
        <w:rPr>
          <w:rFonts w:ascii="仿宋_GB2312" w:hAnsi="仿宋_GB2312" w:eastAsia="仿宋_GB2312" w:cs="仿宋_GB2312"/>
          <w:b w:val="0"/>
          <w:bCs w:val="0"/>
          <w:color w:val="auto"/>
          <w:spacing w:val="17"/>
          <w:sz w:val="28"/>
          <w:szCs w:val="28"/>
        </w:rPr>
        <w:t>月</w:t>
      </w:r>
      <w:r>
        <w:rPr>
          <w:rFonts w:hint="eastAsia" w:ascii="仿宋_GB2312" w:hAnsi="仿宋_GB2312" w:cs="仿宋_GB2312"/>
          <w:b w:val="0"/>
          <w:bCs w:val="0"/>
          <w:color w:val="auto"/>
          <w:spacing w:val="17"/>
          <w:sz w:val="28"/>
          <w:szCs w:val="28"/>
          <w:lang w:val="en-US" w:eastAsia="zh-CN"/>
        </w:rPr>
        <w:t>28</w:t>
      </w:r>
      <w:r>
        <w:rPr>
          <w:rFonts w:ascii="仿宋_GB2312" w:hAnsi="仿宋_GB2312" w:eastAsia="仿宋_GB2312" w:cs="仿宋_GB2312"/>
          <w:b w:val="0"/>
          <w:bCs w:val="0"/>
          <w:color w:val="auto"/>
          <w:sz w:val="28"/>
          <w:szCs w:val="28"/>
        </w:rPr>
        <w:t>日</w:t>
      </w:r>
      <w:r>
        <w:rPr>
          <w:rFonts w:hint="eastAsia" w:ascii="仿宋_GB2312" w:hAnsi="仿宋_GB2312" w:eastAsia="仿宋_GB2312" w:cs="仿宋_GB2312"/>
          <w:b w:val="0"/>
          <w:bCs w:val="0"/>
          <w:color w:val="auto"/>
          <w:sz w:val="28"/>
          <w:szCs w:val="28"/>
        </w:rPr>
        <w:t>印发</w:t>
      </w:r>
    </w:p>
    <w:p w14:paraId="7A290199">
      <w:pPr>
        <w:keepNext w:val="0"/>
        <w:keepLines w:val="0"/>
        <w:pageBreakBefore w:val="0"/>
        <w:widowControl w:val="0"/>
        <w:kinsoku/>
        <w:wordWrap/>
        <w:overflowPunct/>
        <w:topLinePunct w:val="0"/>
        <w:autoSpaceDE/>
        <w:autoSpaceDN/>
        <w:bidi w:val="0"/>
        <w:adjustRightInd/>
        <w:snapToGrid/>
        <w:spacing w:line="16" w:lineRule="exact"/>
        <w:ind w:right="159"/>
        <w:textAlignment w:val="auto"/>
        <w:rPr>
          <w:rFonts w:hint="eastAsia" w:ascii="仿宋_GB2312" w:hAnsi="仿宋_GB2312" w:eastAsia="仿宋_GB2312" w:cs="仿宋_GB2312"/>
          <w:color w:val="000000"/>
          <w:kern w:val="0"/>
          <w:sz w:val="24"/>
          <w:lang w:bidi="ar"/>
        </w:rPr>
      </w:pPr>
    </w:p>
    <w:p w14:paraId="31BA5441">
      <w:pPr>
        <w:keepNext w:val="0"/>
        <w:keepLines w:val="0"/>
        <w:pageBreakBefore w:val="0"/>
        <w:widowControl w:val="0"/>
        <w:kinsoku/>
        <w:wordWrap/>
        <w:overflowPunct/>
        <w:topLinePunct w:val="0"/>
        <w:autoSpaceDE/>
        <w:autoSpaceDN/>
        <w:bidi w:val="0"/>
        <w:adjustRightInd/>
        <w:snapToGrid/>
        <w:spacing w:line="16" w:lineRule="exact"/>
        <w:textAlignment w:val="auto"/>
        <w:rPr>
          <w:rFonts w:ascii="宋体" w:hAnsi="宋体" w:eastAsia="宋体" w:cs="宋体"/>
          <w:sz w:val="24"/>
        </w:rPr>
      </w:pPr>
    </w:p>
    <w:sectPr>
      <w:pgSz w:w="11906" w:h="16838"/>
      <w:pgMar w:top="1701" w:right="1587" w:bottom="1587" w:left="1587" w:header="851" w:footer="124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BC9F5">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609DBD2">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RkZGM1ZjlhZTVjOTYxZGMxYWY5YWMyMTg5NDA5M2EifQ=="/>
  </w:docVars>
  <w:rsids>
    <w:rsidRoot w:val="6FA81261"/>
    <w:rsid w:val="00001866"/>
    <w:rsid w:val="00011FE2"/>
    <w:rsid w:val="00032D5D"/>
    <w:rsid w:val="00104C5E"/>
    <w:rsid w:val="00142A9C"/>
    <w:rsid w:val="00153A2D"/>
    <w:rsid w:val="0016684B"/>
    <w:rsid w:val="00167FF0"/>
    <w:rsid w:val="00220D09"/>
    <w:rsid w:val="002303E4"/>
    <w:rsid w:val="00232426"/>
    <w:rsid w:val="002B6A4D"/>
    <w:rsid w:val="002C3699"/>
    <w:rsid w:val="002D2D5A"/>
    <w:rsid w:val="00305A6C"/>
    <w:rsid w:val="00323E9E"/>
    <w:rsid w:val="00344AFE"/>
    <w:rsid w:val="00354E9D"/>
    <w:rsid w:val="0035626A"/>
    <w:rsid w:val="003B4249"/>
    <w:rsid w:val="00415EA2"/>
    <w:rsid w:val="00501088"/>
    <w:rsid w:val="00524781"/>
    <w:rsid w:val="00526604"/>
    <w:rsid w:val="0053182F"/>
    <w:rsid w:val="00572599"/>
    <w:rsid w:val="005F12A6"/>
    <w:rsid w:val="005F279C"/>
    <w:rsid w:val="0060131F"/>
    <w:rsid w:val="006135FD"/>
    <w:rsid w:val="0062162A"/>
    <w:rsid w:val="0063456B"/>
    <w:rsid w:val="00642900"/>
    <w:rsid w:val="006459B4"/>
    <w:rsid w:val="00690815"/>
    <w:rsid w:val="00693277"/>
    <w:rsid w:val="006937CF"/>
    <w:rsid w:val="006A55C7"/>
    <w:rsid w:val="006B645F"/>
    <w:rsid w:val="006E2D3A"/>
    <w:rsid w:val="006E5573"/>
    <w:rsid w:val="00721662"/>
    <w:rsid w:val="00724FD5"/>
    <w:rsid w:val="00730B9D"/>
    <w:rsid w:val="00736C45"/>
    <w:rsid w:val="00797F2A"/>
    <w:rsid w:val="007A0369"/>
    <w:rsid w:val="007B6E16"/>
    <w:rsid w:val="00804096"/>
    <w:rsid w:val="00812E5E"/>
    <w:rsid w:val="00813797"/>
    <w:rsid w:val="0084533C"/>
    <w:rsid w:val="008547D8"/>
    <w:rsid w:val="0085480D"/>
    <w:rsid w:val="008D37CC"/>
    <w:rsid w:val="00936E0F"/>
    <w:rsid w:val="00947655"/>
    <w:rsid w:val="00957F4F"/>
    <w:rsid w:val="009626A5"/>
    <w:rsid w:val="009C1EA3"/>
    <w:rsid w:val="00A11D96"/>
    <w:rsid w:val="00A55810"/>
    <w:rsid w:val="00A7181B"/>
    <w:rsid w:val="00A8778F"/>
    <w:rsid w:val="00AA318D"/>
    <w:rsid w:val="00AD0685"/>
    <w:rsid w:val="00AD4752"/>
    <w:rsid w:val="00AF3223"/>
    <w:rsid w:val="00AF5657"/>
    <w:rsid w:val="00B36412"/>
    <w:rsid w:val="00B412B8"/>
    <w:rsid w:val="00B416BE"/>
    <w:rsid w:val="00C4114A"/>
    <w:rsid w:val="00C95C75"/>
    <w:rsid w:val="00CC25AA"/>
    <w:rsid w:val="00CD1788"/>
    <w:rsid w:val="00D558F6"/>
    <w:rsid w:val="00D62064"/>
    <w:rsid w:val="00D65A12"/>
    <w:rsid w:val="00D82738"/>
    <w:rsid w:val="00D865C5"/>
    <w:rsid w:val="00D92C0E"/>
    <w:rsid w:val="00DB180F"/>
    <w:rsid w:val="00E24628"/>
    <w:rsid w:val="00E82FAE"/>
    <w:rsid w:val="00EA42FF"/>
    <w:rsid w:val="00ED7EB0"/>
    <w:rsid w:val="00EE1715"/>
    <w:rsid w:val="00F11581"/>
    <w:rsid w:val="00F81A85"/>
    <w:rsid w:val="00F84FE6"/>
    <w:rsid w:val="00FC127E"/>
    <w:rsid w:val="00FE6801"/>
    <w:rsid w:val="015D36C0"/>
    <w:rsid w:val="01FA47FF"/>
    <w:rsid w:val="020C62E0"/>
    <w:rsid w:val="02581525"/>
    <w:rsid w:val="04275653"/>
    <w:rsid w:val="04405814"/>
    <w:rsid w:val="04CE3D21"/>
    <w:rsid w:val="05373674"/>
    <w:rsid w:val="05A21435"/>
    <w:rsid w:val="05C03FCA"/>
    <w:rsid w:val="05F9548B"/>
    <w:rsid w:val="06020126"/>
    <w:rsid w:val="068C3934"/>
    <w:rsid w:val="0748600C"/>
    <w:rsid w:val="07550E9D"/>
    <w:rsid w:val="08624EAC"/>
    <w:rsid w:val="088C3CD7"/>
    <w:rsid w:val="091D49B7"/>
    <w:rsid w:val="097C1F9D"/>
    <w:rsid w:val="09831C78"/>
    <w:rsid w:val="098B21E0"/>
    <w:rsid w:val="09BA2AC6"/>
    <w:rsid w:val="09EF451D"/>
    <w:rsid w:val="0A026047"/>
    <w:rsid w:val="0A396FBF"/>
    <w:rsid w:val="0A690774"/>
    <w:rsid w:val="0AD52B9A"/>
    <w:rsid w:val="0B776EC0"/>
    <w:rsid w:val="0B9C2483"/>
    <w:rsid w:val="0BB772BD"/>
    <w:rsid w:val="0BC67500"/>
    <w:rsid w:val="0BC814CA"/>
    <w:rsid w:val="0CCE634C"/>
    <w:rsid w:val="0D55296A"/>
    <w:rsid w:val="0D58062B"/>
    <w:rsid w:val="0D825309"/>
    <w:rsid w:val="0DF465A6"/>
    <w:rsid w:val="0DFA7935"/>
    <w:rsid w:val="0E313D99"/>
    <w:rsid w:val="0E3B064F"/>
    <w:rsid w:val="0E4066A7"/>
    <w:rsid w:val="0E511C4A"/>
    <w:rsid w:val="0E67321C"/>
    <w:rsid w:val="0E912047"/>
    <w:rsid w:val="0F2509E1"/>
    <w:rsid w:val="11A958FA"/>
    <w:rsid w:val="12CC5D44"/>
    <w:rsid w:val="12DE15D3"/>
    <w:rsid w:val="13031039"/>
    <w:rsid w:val="131B45D5"/>
    <w:rsid w:val="136046DE"/>
    <w:rsid w:val="140432BB"/>
    <w:rsid w:val="145F2E88"/>
    <w:rsid w:val="14720225"/>
    <w:rsid w:val="150766F5"/>
    <w:rsid w:val="15880755"/>
    <w:rsid w:val="15DE18EA"/>
    <w:rsid w:val="166D339A"/>
    <w:rsid w:val="167364D6"/>
    <w:rsid w:val="16A13043"/>
    <w:rsid w:val="17005FBC"/>
    <w:rsid w:val="17233A58"/>
    <w:rsid w:val="185F1AD7"/>
    <w:rsid w:val="19AC41D9"/>
    <w:rsid w:val="19CD231A"/>
    <w:rsid w:val="1B2236A3"/>
    <w:rsid w:val="1B917B2A"/>
    <w:rsid w:val="1C24274C"/>
    <w:rsid w:val="1C5D7A0C"/>
    <w:rsid w:val="1C625023"/>
    <w:rsid w:val="1CA27B15"/>
    <w:rsid w:val="1CC604EA"/>
    <w:rsid w:val="1CFD2F9D"/>
    <w:rsid w:val="1CFE6C5C"/>
    <w:rsid w:val="1D643869"/>
    <w:rsid w:val="1D7C2114"/>
    <w:rsid w:val="1D8E3BF5"/>
    <w:rsid w:val="1DC7532A"/>
    <w:rsid w:val="1DC83EF3"/>
    <w:rsid w:val="1E5D0198"/>
    <w:rsid w:val="1E953AE5"/>
    <w:rsid w:val="1EC21262"/>
    <w:rsid w:val="1EEE180B"/>
    <w:rsid w:val="1EF87EC0"/>
    <w:rsid w:val="1F130856"/>
    <w:rsid w:val="1F505606"/>
    <w:rsid w:val="1F83778A"/>
    <w:rsid w:val="20474C5B"/>
    <w:rsid w:val="20AD03D6"/>
    <w:rsid w:val="20D14047"/>
    <w:rsid w:val="21A8797C"/>
    <w:rsid w:val="21FA2BF3"/>
    <w:rsid w:val="22B42350"/>
    <w:rsid w:val="22C04851"/>
    <w:rsid w:val="22DB5B2F"/>
    <w:rsid w:val="22FC71C7"/>
    <w:rsid w:val="22FE72E8"/>
    <w:rsid w:val="23D22A8E"/>
    <w:rsid w:val="24342124"/>
    <w:rsid w:val="243F3E9B"/>
    <w:rsid w:val="248144B4"/>
    <w:rsid w:val="24833D88"/>
    <w:rsid w:val="24A87C93"/>
    <w:rsid w:val="2565291F"/>
    <w:rsid w:val="258231E5"/>
    <w:rsid w:val="2604539D"/>
    <w:rsid w:val="263348B8"/>
    <w:rsid w:val="26492DAF"/>
    <w:rsid w:val="26CC7C68"/>
    <w:rsid w:val="27A02EA3"/>
    <w:rsid w:val="27EB6814"/>
    <w:rsid w:val="281C0984"/>
    <w:rsid w:val="28531578"/>
    <w:rsid w:val="28810F26"/>
    <w:rsid w:val="28AF34F5"/>
    <w:rsid w:val="28C606E7"/>
    <w:rsid w:val="2903193C"/>
    <w:rsid w:val="29C15A7E"/>
    <w:rsid w:val="2AB54EB7"/>
    <w:rsid w:val="2B0674C1"/>
    <w:rsid w:val="2B2067D5"/>
    <w:rsid w:val="2B2F07C6"/>
    <w:rsid w:val="2B3945CF"/>
    <w:rsid w:val="2BB60EE7"/>
    <w:rsid w:val="2C5524AE"/>
    <w:rsid w:val="2CAD22EA"/>
    <w:rsid w:val="2CF0667B"/>
    <w:rsid w:val="2D143717"/>
    <w:rsid w:val="2D482013"/>
    <w:rsid w:val="2D806E49"/>
    <w:rsid w:val="2DA07495"/>
    <w:rsid w:val="2DEA131C"/>
    <w:rsid w:val="2DF126AA"/>
    <w:rsid w:val="2E505623"/>
    <w:rsid w:val="2E954DE4"/>
    <w:rsid w:val="2EDF0755"/>
    <w:rsid w:val="3014442E"/>
    <w:rsid w:val="302C79CA"/>
    <w:rsid w:val="30912F7D"/>
    <w:rsid w:val="31870817"/>
    <w:rsid w:val="31EE08DC"/>
    <w:rsid w:val="327B0FAB"/>
    <w:rsid w:val="33185416"/>
    <w:rsid w:val="331B03A0"/>
    <w:rsid w:val="331F3816"/>
    <w:rsid w:val="33C61EE3"/>
    <w:rsid w:val="344F3C87"/>
    <w:rsid w:val="359978AF"/>
    <w:rsid w:val="36491C87"/>
    <w:rsid w:val="36EB4800"/>
    <w:rsid w:val="371F2036"/>
    <w:rsid w:val="373652B7"/>
    <w:rsid w:val="375872F6"/>
    <w:rsid w:val="37F94635"/>
    <w:rsid w:val="3810372D"/>
    <w:rsid w:val="389E51DD"/>
    <w:rsid w:val="38AC78FA"/>
    <w:rsid w:val="38F417C2"/>
    <w:rsid w:val="39897C3B"/>
    <w:rsid w:val="3A4D52D8"/>
    <w:rsid w:val="3A533B6D"/>
    <w:rsid w:val="3AF16365"/>
    <w:rsid w:val="3BA66882"/>
    <w:rsid w:val="3BA86859"/>
    <w:rsid w:val="3BAB3E99"/>
    <w:rsid w:val="3BDD601C"/>
    <w:rsid w:val="3C2854E9"/>
    <w:rsid w:val="3CAF79B9"/>
    <w:rsid w:val="3CB5681D"/>
    <w:rsid w:val="3CF61E96"/>
    <w:rsid w:val="3D0A2E41"/>
    <w:rsid w:val="3D75621E"/>
    <w:rsid w:val="3DC76F84"/>
    <w:rsid w:val="3DFF04CC"/>
    <w:rsid w:val="3ED90D1D"/>
    <w:rsid w:val="3EF23B8C"/>
    <w:rsid w:val="3F2D1069"/>
    <w:rsid w:val="3F402B4A"/>
    <w:rsid w:val="3F5B3E28"/>
    <w:rsid w:val="3FC25C55"/>
    <w:rsid w:val="400A1A7C"/>
    <w:rsid w:val="40646D0C"/>
    <w:rsid w:val="408829FA"/>
    <w:rsid w:val="409D4039"/>
    <w:rsid w:val="40AB66E9"/>
    <w:rsid w:val="40CB0B39"/>
    <w:rsid w:val="41354204"/>
    <w:rsid w:val="422A1BD8"/>
    <w:rsid w:val="42A17DA3"/>
    <w:rsid w:val="42C45840"/>
    <w:rsid w:val="42D00689"/>
    <w:rsid w:val="433225FF"/>
    <w:rsid w:val="43E9208D"/>
    <w:rsid w:val="441B5933"/>
    <w:rsid w:val="447D214A"/>
    <w:rsid w:val="454A22B8"/>
    <w:rsid w:val="4584650F"/>
    <w:rsid w:val="45B63B66"/>
    <w:rsid w:val="463902F3"/>
    <w:rsid w:val="465E7D59"/>
    <w:rsid w:val="46D70238"/>
    <w:rsid w:val="47B24A09"/>
    <w:rsid w:val="47EA3F9B"/>
    <w:rsid w:val="47EF7803"/>
    <w:rsid w:val="48180B08"/>
    <w:rsid w:val="48275441"/>
    <w:rsid w:val="49374FBE"/>
    <w:rsid w:val="49830203"/>
    <w:rsid w:val="4A2319E6"/>
    <w:rsid w:val="4A6824E5"/>
    <w:rsid w:val="4AC9433B"/>
    <w:rsid w:val="4AD54A8E"/>
    <w:rsid w:val="4B180E1F"/>
    <w:rsid w:val="4B1F3F5B"/>
    <w:rsid w:val="4BD72A88"/>
    <w:rsid w:val="4BE56F53"/>
    <w:rsid w:val="4C03387D"/>
    <w:rsid w:val="4D1D3111"/>
    <w:rsid w:val="4D233D79"/>
    <w:rsid w:val="4EB319B0"/>
    <w:rsid w:val="4EC866B8"/>
    <w:rsid w:val="4F0A09C7"/>
    <w:rsid w:val="4F5A4E69"/>
    <w:rsid w:val="4F6E3703"/>
    <w:rsid w:val="4FCD667C"/>
    <w:rsid w:val="500B71A4"/>
    <w:rsid w:val="50355FCF"/>
    <w:rsid w:val="504F7091"/>
    <w:rsid w:val="5056633D"/>
    <w:rsid w:val="50BA483E"/>
    <w:rsid w:val="50E517A3"/>
    <w:rsid w:val="51081306"/>
    <w:rsid w:val="511A58F1"/>
    <w:rsid w:val="513A1AEF"/>
    <w:rsid w:val="51B86EB8"/>
    <w:rsid w:val="52721C64"/>
    <w:rsid w:val="52CA0C50"/>
    <w:rsid w:val="52D90E94"/>
    <w:rsid w:val="52E2243E"/>
    <w:rsid w:val="52F91536"/>
    <w:rsid w:val="534A1D91"/>
    <w:rsid w:val="53A616BE"/>
    <w:rsid w:val="53C850C1"/>
    <w:rsid w:val="53FF492A"/>
    <w:rsid w:val="540B63BE"/>
    <w:rsid w:val="54674C86"/>
    <w:rsid w:val="54A8492F"/>
    <w:rsid w:val="54C6402E"/>
    <w:rsid w:val="54F92BB0"/>
    <w:rsid w:val="558A0B6B"/>
    <w:rsid w:val="56933A4F"/>
    <w:rsid w:val="56C360E3"/>
    <w:rsid w:val="570566FB"/>
    <w:rsid w:val="577B69BD"/>
    <w:rsid w:val="579730CB"/>
    <w:rsid w:val="57EE718F"/>
    <w:rsid w:val="57F06963"/>
    <w:rsid w:val="582F1556"/>
    <w:rsid w:val="58C63C68"/>
    <w:rsid w:val="58FA7DB6"/>
    <w:rsid w:val="59123351"/>
    <w:rsid w:val="592A4A08"/>
    <w:rsid w:val="59814033"/>
    <w:rsid w:val="59E46FE1"/>
    <w:rsid w:val="5A522BFB"/>
    <w:rsid w:val="5A643739"/>
    <w:rsid w:val="5A6A4B79"/>
    <w:rsid w:val="5AFF7905"/>
    <w:rsid w:val="5B656260"/>
    <w:rsid w:val="5BAF4E87"/>
    <w:rsid w:val="5C1E200D"/>
    <w:rsid w:val="5C6E6AF1"/>
    <w:rsid w:val="5C910A31"/>
    <w:rsid w:val="5CAC13C7"/>
    <w:rsid w:val="5CBA402B"/>
    <w:rsid w:val="5D3F66DF"/>
    <w:rsid w:val="5E070FAB"/>
    <w:rsid w:val="5E110375"/>
    <w:rsid w:val="5ED30E8D"/>
    <w:rsid w:val="5EFF1C82"/>
    <w:rsid w:val="5FB32A6C"/>
    <w:rsid w:val="5FE315A4"/>
    <w:rsid w:val="602B2A31"/>
    <w:rsid w:val="60457B68"/>
    <w:rsid w:val="60686CBD"/>
    <w:rsid w:val="60D81B28"/>
    <w:rsid w:val="60DF7FBD"/>
    <w:rsid w:val="61243C22"/>
    <w:rsid w:val="6142054C"/>
    <w:rsid w:val="6166423A"/>
    <w:rsid w:val="61783C41"/>
    <w:rsid w:val="61903065"/>
    <w:rsid w:val="61B01805"/>
    <w:rsid w:val="62A44FC8"/>
    <w:rsid w:val="62FA10DE"/>
    <w:rsid w:val="634A36E8"/>
    <w:rsid w:val="639C2195"/>
    <w:rsid w:val="646802C9"/>
    <w:rsid w:val="647C5B23"/>
    <w:rsid w:val="64D43BB1"/>
    <w:rsid w:val="64DE2339"/>
    <w:rsid w:val="655F1B8F"/>
    <w:rsid w:val="65A672FB"/>
    <w:rsid w:val="65A75488"/>
    <w:rsid w:val="65DC4ACB"/>
    <w:rsid w:val="66967370"/>
    <w:rsid w:val="66CF58A9"/>
    <w:rsid w:val="66DB4D83"/>
    <w:rsid w:val="68494C27"/>
    <w:rsid w:val="68A65864"/>
    <w:rsid w:val="69076303"/>
    <w:rsid w:val="69222618"/>
    <w:rsid w:val="69390486"/>
    <w:rsid w:val="69504E24"/>
    <w:rsid w:val="69561038"/>
    <w:rsid w:val="69586B5E"/>
    <w:rsid w:val="69F61ED3"/>
    <w:rsid w:val="6A016A41"/>
    <w:rsid w:val="6A162576"/>
    <w:rsid w:val="6AA45DD3"/>
    <w:rsid w:val="6AEB57B0"/>
    <w:rsid w:val="6C1413E7"/>
    <w:rsid w:val="6C7C57CC"/>
    <w:rsid w:val="6D036DE1"/>
    <w:rsid w:val="6D0A4613"/>
    <w:rsid w:val="6D192AA9"/>
    <w:rsid w:val="6D8048D6"/>
    <w:rsid w:val="6DE05374"/>
    <w:rsid w:val="6E0077C5"/>
    <w:rsid w:val="6E6715F2"/>
    <w:rsid w:val="6F1C418A"/>
    <w:rsid w:val="6F7E4E45"/>
    <w:rsid w:val="6FA81261"/>
    <w:rsid w:val="6FEF5D43"/>
    <w:rsid w:val="700A4E79"/>
    <w:rsid w:val="7047792D"/>
    <w:rsid w:val="71512BEF"/>
    <w:rsid w:val="71A53478"/>
    <w:rsid w:val="72011973"/>
    <w:rsid w:val="72823538"/>
    <w:rsid w:val="729247AC"/>
    <w:rsid w:val="72C139C6"/>
    <w:rsid w:val="745A5E80"/>
    <w:rsid w:val="74BF0AC3"/>
    <w:rsid w:val="74CB0AB2"/>
    <w:rsid w:val="750A2F40"/>
    <w:rsid w:val="750B0F29"/>
    <w:rsid w:val="751F2C26"/>
    <w:rsid w:val="753A7A60"/>
    <w:rsid w:val="75B90985"/>
    <w:rsid w:val="763C3B14"/>
    <w:rsid w:val="76D87530"/>
    <w:rsid w:val="772B3B04"/>
    <w:rsid w:val="775A6197"/>
    <w:rsid w:val="77B92EBE"/>
    <w:rsid w:val="77CE623E"/>
    <w:rsid w:val="78016613"/>
    <w:rsid w:val="78202F3D"/>
    <w:rsid w:val="78306EF8"/>
    <w:rsid w:val="788441A5"/>
    <w:rsid w:val="78E1177F"/>
    <w:rsid w:val="7AA31C03"/>
    <w:rsid w:val="7AA53BCD"/>
    <w:rsid w:val="7ADA2B6C"/>
    <w:rsid w:val="7BD31EBA"/>
    <w:rsid w:val="7BE67FFA"/>
    <w:rsid w:val="7BF00E78"/>
    <w:rsid w:val="7C0B180E"/>
    <w:rsid w:val="7CA81753"/>
    <w:rsid w:val="7D5F709D"/>
    <w:rsid w:val="7D7D04EA"/>
    <w:rsid w:val="7E1075B0"/>
    <w:rsid w:val="7E215319"/>
    <w:rsid w:val="7E4D6E1E"/>
    <w:rsid w:val="7E6B47E6"/>
    <w:rsid w:val="7EC30AC6"/>
    <w:rsid w:val="7F08443D"/>
    <w:rsid w:val="7F17496E"/>
    <w:rsid w:val="7F565496"/>
    <w:rsid w:val="7F6D27E0"/>
    <w:rsid w:val="7FB81CAD"/>
    <w:rsid w:val="7FBD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600" w:lineRule="exact"/>
      <w:jc w:val="center"/>
      <w:outlineLvl w:val="0"/>
    </w:pPr>
    <w:rPr>
      <w:rFonts w:ascii="Calibri" w:hAnsi="Calibri" w:eastAsia="方正小标宋简体" w:cs="Times New Roman"/>
      <w:b/>
      <w:kern w:val="44"/>
      <w:sz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1"/>
    <w:pPr>
      <w:ind w:left="716"/>
    </w:pPr>
    <w:rPr>
      <w:rFonts w:ascii="Times New Roman" w:hAnsi="Times New Roman" w:eastAsia="宋体" w:cs="Times New Roman"/>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page number"/>
    <w:qFormat/>
    <w:uiPriority w:val="0"/>
  </w:style>
  <w:style w:type="character" w:styleId="11">
    <w:name w:val="Emphasis"/>
    <w:basedOn w:val="8"/>
    <w:qFormat/>
    <w:uiPriority w:val="20"/>
    <w:rPr>
      <w:i/>
      <w:iCs/>
    </w:rPr>
  </w:style>
  <w:style w:type="character" w:customStyle="1" w:styleId="12">
    <w:name w:val="font31"/>
    <w:basedOn w:val="8"/>
    <w:qFormat/>
    <w:uiPriority w:val="0"/>
    <w:rPr>
      <w:rFonts w:hint="eastAsia" w:ascii="宋体" w:hAnsi="宋体" w:eastAsia="宋体" w:cs="宋体"/>
      <w:color w:val="000000"/>
      <w:sz w:val="24"/>
      <w:szCs w:val="24"/>
      <w:u w:val="none"/>
    </w:rPr>
  </w:style>
  <w:style w:type="character" w:customStyle="1" w:styleId="13">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9856</Words>
  <Characters>10033</Characters>
  <Lines>74</Lines>
  <Paragraphs>20</Paragraphs>
  <TotalTime>35</TotalTime>
  <ScaleCrop>false</ScaleCrop>
  <LinksUpToDate>false</LinksUpToDate>
  <CharactersWithSpaces>10080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2024-05-13T03:28:00Z</dcterms:created>
  <dc:creator>Administrator</dc:creator>
  <cp:lastModifiedBy>雨中独行</cp:lastModifiedBy>
  <cp:lastPrinted>2024-07-01T09:40:14Z</cp:lastPrinted>
  <dcterms:modified xsi:type="dcterms:W3CDTF">2024-07-01T09:42:42Z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82B77DBB52A44C329DA65F5044826E30_11</vt:lpwstr>
  </property>
</Properties>
</file>