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《济南市数据登记暂行办法（征求意见稿）》</w:t>
      </w:r>
    </w:p>
    <w:p>
      <w:pPr>
        <w:pStyle w:val="5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起草说明</w:t>
      </w:r>
    </w:p>
    <w:p>
      <w:pPr>
        <w:pStyle w:val="7"/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</w:pPr>
    </w:p>
    <w:p>
      <w:pPr>
        <w:pStyle w:val="6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一、起草背景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rPr>
          <w:rFonts w:hint="eastAsia"/>
          <w:color w:val="auto"/>
          <w:highlight w:val="none"/>
          <w:u w:val="none"/>
        </w:rPr>
        <w:t>贯彻落实《中共中央</w:t>
      </w:r>
      <w:r>
        <w:rPr>
          <w:rFonts w:hint="eastAsia"/>
          <w:color w:val="auto"/>
          <w:highlight w:val="none"/>
          <w:u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u w:val="none"/>
        </w:rPr>
        <w:t>国务院关于构建数据基础制度更好发挥数据要素作用的意见》等</w:t>
      </w:r>
      <w:r>
        <w:rPr>
          <w:rFonts w:hint="eastAsia"/>
          <w:color w:val="auto"/>
          <w:highlight w:val="none"/>
          <w:u w:val="none"/>
          <w:lang w:val="en-US" w:eastAsia="zh-CN"/>
        </w:rPr>
        <w:t>文件</w:t>
      </w:r>
      <w:r>
        <w:rPr>
          <w:rFonts w:hint="eastAsia"/>
          <w:color w:val="auto"/>
          <w:highlight w:val="none"/>
          <w:u w:val="none"/>
        </w:rPr>
        <w:t>要求</w:t>
      </w:r>
      <w:r>
        <w:rPr>
          <w:rFonts w:hint="eastAsia"/>
          <w:color w:val="auto"/>
          <w:highlight w:val="none"/>
          <w:u w:val="none"/>
          <w:lang w:eastAsia="zh-CN"/>
        </w:rPr>
        <w:t>，</w:t>
      </w:r>
      <w:r>
        <w:rPr>
          <w:rFonts w:hint="eastAsia"/>
          <w:highlight w:val="none"/>
        </w:rPr>
        <w:t>培育发展数据要素市场，</w:t>
      </w:r>
      <w:r>
        <w:rPr>
          <w:rFonts w:hint="eastAsia"/>
          <w:highlight w:val="none"/>
          <w:lang w:val="en-US" w:eastAsia="zh-CN"/>
        </w:rPr>
        <w:t>规范数据登记行为，促进数据要素合规开发利用及流通，进一步释放数据要素潜力。</w:t>
      </w:r>
    </w:p>
    <w:p>
      <w:pPr>
        <w:pStyle w:val="6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  <w:lang w:val="en-US"/>
        </w:rPr>
      </w:pPr>
      <w:r>
        <w:rPr>
          <w:rFonts w:hint="eastAsia"/>
          <w:lang w:val="en-US" w:eastAsia="zh-CN"/>
        </w:rPr>
        <w:t>二、政策依据</w:t>
      </w:r>
    </w:p>
    <w:p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</w:pPr>
      <w:r>
        <w:t>依据</w:t>
      </w:r>
      <w:r>
        <w:rPr>
          <w:rFonts w:hint="eastAsia"/>
          <w:color w:val="auto"/>
          <w:highlight w:val="none"/>
          <w:u w:val="none"/>
        </w:rPr>
        <w:t>《中共中央</w:t>
      </w:r>
      <w:r>
        <w:rPr>
          <w:rFonts w:hint="eastAsia"/>
          <w:color w:val="auto"/>
          <w:highlight w:val="none"/>
          <w:u w:val="none"/>
          <w:lang w:val="en-US" w:eastAsia="zh-CN"/>
        </w:rPr>
        <w:t xml:space="preserve"> </w:t>
      </w:r>
      <w:r>
        <w:rPr>
          <w:rFonts w:hint="eastAsia"/>
          <w:color w:val="auto"/>
          <w:highlight w:val="none"/>
          <w:u w:val="none"/>
        </w:rPr>
        <w:t>国务院关于构建数据基础制度更好发挥数据要素作用的意见》</w:t>
      </w:r>
      <w:r>
        <w:rPr>
          <w:rFonts w:hint="eastAsia"/>
          <w:lang w:val="en-US" w:eastAsia="zh-CN"/>
        </w:rPr>
        <w:t>《“数据要素×”三年行动计划（2024—2026年）》（国数政策〔2023〕11号）《关于加强数据资产管理的指导意见》（财资〔2023〕141号）</w:t>
      </w:r>
      <w:r>
        <w:t>等有关要求，制定</w:t>
      </w:r>
      <w:r>
        <w:rPr>
          <w:rFonts w:hint="eastAsia"/>
          <w:lang w:val="en-US" w:eastAsia="zh-CN"/>
        </w:rPr>
        <w:t>本办法</w:t>
      </w:r>
      <w:r>
        <w:t>。</w:t>
      </w:r>
    </w:p>
    <w:p>
      <w:pPr>
        <w:pStyle w:val="6"/>
        <w:keepNext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Lines="0" w:afterLines="0"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三、主要内容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包括总则、登记事项、登记程序、登记证书的使用、监督与管理、附则共六章37条。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/>
          <w:lang w:val="en-US" w:eastAsia="zh-CN"/>
        </w:rPr>
      </w:pPr>
      <w:r>
        <w:rPr>
          <w:rFonts w:hint="eastAsia"/>
          <w:color w:val="auto"/>
          <w:highlight w:val="none"/>
          <w:lang w:val="en-US" w:eastAsia="zh-CN"/>
        </w:rPr>
        <w:t>总则。共4条，具体条款包括制定目的、术语定义、登记主体及主管部门。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firstLine="640" w:firstLineChars="200"/>
        <w:textAlignment w:val="auto"/>
        <w:rPr>
          <w:rFonts w:hint="default"/>
          <w:color w:val="auto"/>
          <w:highlight w:val="none"/>
          <w:lang w:val="en-US" w:eastAsia="zh-CN"/>
        </w:rPr>
      </w:pPr>
      <w:r>
        <w:rPr>
          <w:rFonts w:hint="eastAsia"/>
          <w:lang w:val="en-US" w:eastAsia="zh-CN"/>
        </w:rPr>
        <w:t>登记事项。共6条，主要</w:t>
      </w:r>
      <w:r>
        <w:rPr>
          <w:rFonts w:hint="eastAsia"/>
          <w:color w:val="auto"/>
          <w:highlight w:val="none"/>
          <w:lang w:val="en-US" w:eastAsia="zh-CN"/>
        </w:rPr>
        <w:t>明确了包括委托登记、实名登记、数据资源登记、数据产品登记及数据资产登记等在内的登记事项。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</w:rPr>
        <w:t>登记程序。共8条，</w:t>
      </w:r>
      <w:r>
        <w:rPr>
          <w:rFonts w:hint="eastAsia" w:ascii="仿宋_GB2312" w:hAnsi="仿宋_GB2312" w:cstheme="minorBidi"/>
          <w:kern w:val="2"/>
          <w:sz w:val="32"/>
          <w:szCs w:val="22"/>
          <w:lang w:val="en-US" w:eastAsia="zh-CN" w:bidi="ar-SA"/>
        </w:rPr>
        <w:t>主要明确了</w:t>
      </w: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</w:rPr>
        <w:t>登记</w:t>
      </w:r>
      <w:r>
        <w:rPr>
          <w:rFonts w:hint="eastAsia" w:ascii="仿宋_GB2312" w:hAnsi="仿宋_GB2312" w:cstheme="minorBidi"/>
          <w:kern w:val="2"/>
          <w:sz w:val="32"/>
          <w:szCs w:val="22"/>
          <w:lang w:val="en-US" w:eastAsia="zh-CN" w:bidi="ar-SA"/>
        </w:rPr>
        <w:t>申请递交</w:t>
      </w: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</w:rPr>
        <w:t>、登记</w:t>
      </w:r>
      <w:r>
        <w:rPr>
          <w:rFonts w:hint="eastAsia" w:ascii="仿宋_GB2312" w:hAnsi="仿宋_GB2312" w:cstheme="minorBidi"/>
          <w:kern w:val="2"/>
          <w:sz w:val="32"/>
          <w:szCs w:val="22"/>
          <w:lang w:val="en-US" w:eastAsia="zh-CN" w:bidi="ar-SA"/>
        </w:rPr>
        <w:t>材料</w:t>
      </w: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</w:rPr>
        <w:t>审查、登记</w:t>
      </w:r>
      <w:r>
        <w:rPr>
          <w:rFonts w:hint="eastAsia" w:ascii="仿宋_GB2312" w:hAnsi="仿宋_GB2312" w:cstheme="minorBidi"/>
          <w:kern w:val="2"/>
          <w:sz w:val="32"/>
          <w:szCs w:val="22"/>
          <w:lang w:val="en-US" w:eastAsia="zh-CN" w:bidi="ar-SA"/>
        </w:rPr>
        <w:t>公示</w:t>
      </w: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</w:rPr>
        <w:t>、登记证书</w:t>
      </w:r>
      <w:r>
        <w:rPr>
          <w:rFonts w:hint="eastAsia" w:ascii="仿宋_GB2312" w:hAnsi="仿宋_GB2312" w:cstheme="minorBidi"/>
          <w:kern w:val="2"/>
          <w:sz w:val="32"/>
          <w:szCs w:val="22"/>
          <w:lang w:val="en-US" w:eastAsia="zh-CN" w:bidi="ar-SA"/>
        </w:rPr>
        <w:t>发放等登记流程</w:t>
      </w: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</w:rPr>
        <w:t>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登记证书的使用。共7条，主要明确了登记主体权利、登记证书效力、注销登记、登记信息变更、续展登记、撤销登记情形等内容。</w:t>
      </w:r>
    </w:p>
    <w:p>
      <w:pPr>
        <w:pStyle w:val="2"/>
        <w:numPr>
          <w:ilvl w:val="0"/>
          <w:numId w:val="1"/>
        </w:numPr>
        <w:ind w:left="0" w:leftChars="0" w:firstLine="640" w:firstLineChars="200"/>
        <w:rPr>
          <w:rFonts w:hint="eastAsia" w:ascii="仿宋_GB2312" w:hAnsi="仿宋_GB2312" w:cstheme="minorBidi"/>
          <w:kern w:val="2"/>
          <w:sz w:val="32"/>
          <w:szCs w:val="22"/>
          <w:lang w:val="en-US" w:eastAsia="zh-CN" w:bidi="ar-SA"/>
        </w:rPr>
      </w:pPr>
      <w:r>
        <w:rPr>
          <w:rFonts w:hint="eastAsia" w:ascii="仿宋_GB2312" w:hAnsi="仿宋_GB2312" w:eastAsia="仿宋_GB2312" w:cstheme="minorBidi"/>
          <w:kern w:val="2"/>
          <w:sz w:val="32"/>
          <w:szCs w:val="22"/>
          <w:lang w:val="en-US" w:eastAsia="zh-CN" w:bidi="ar-SA"/>
        </w:rPr>
        <w:t>监督与管理。共9条，</w:t>
      </w:r>
      <w:r>
        <w:rPr>
          <w:rFonts w:hint="eastAsia" w:ascii="仿宋_GB2312" w:hAnsi="仿宋_GB2312" w:cstheme="minorBidi"/>
          <w:kern w:val="2"/>
          <w:sz w:val="32"/>
          <w:szCs w:val="22"/>
          <w:lang w:val="en-US" w:eastAsia="zh-CN" w:bidi="ar-SA"/>
        </w:rPr>
        <w:t>主要明确了登记机构应履行的责任及义务。</w:t>
      </w:r>
    </w:p>
    <w:p>
      <w:pPr>
        <w:numPr>
          <w:ilvl w:val="0"/>
          <w:numId w:val="1"/>
        </w:numPr>
        <w:ind w:left="0" w:leftChars="0" w:firstLine="64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附则。共3条，</w:t>
      </w:r>
      <w:bookmarkStart w:id="0" w:name="_GoBack"/>
      <w:bookmarkEnd w:id="0"/>
      <w:r>
        <w:rPr>
          <w:rFonts w:hint="eastAsia"/>
          <w:lang w:val="en-US" w:eastAsia="zh-CN"/>
        </w:rPr>
        <w:t>具体条款包括办法适用范围、办法解释单位及施行日期。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1" w:fontKey="{56B09EEC-EEB3-16B5-2E54-54664E6E1E9A}"/>
  </w:font>
  <w:font w:name="方正小标宋简体"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微软雅黑"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Tahoma">
    <w:panose1 w:val="020B0604030504040204"/>
    <w:charset w:val="00"/>
    <w:family w:val="auto"/>
    <w:pitch w:val="default"/>
    <w:sig w:usb0="00000000" w:usb1="00000000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ind w:firstLine="0" w:firstLineChars="0"/>
      <w:jc w:val="center"/>
    </w:pPr>
    <w:sdt>
      <w:sdtPr>
        <w:id w:val="-1"/>
      </w:sdtPr>
      <w:sdtContent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sdtContent>
    </w:sdt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pBdr>
        <w:bottom w:val="none" w:color="auto" w:sz="0" w:space="1"/>
      </w:pBdr>
      <w:ind w:firstLine="0" w:firstLineChars="0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841CB"/>
    <w:multiLevelType w:val="singleLevel"/>
    <w:tmpl w:val="0B1841C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218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"/>
  </w:docVar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eepNext/>
      <w:keepLines/>
      <w:widowControl w:val="0"/>
      <w:ind w:firstLine="880" w:firstLineChars="200"/>
      <w:jc w:val="both"/>
    </w:pPr>
    <w:rPr>
      <w:rFonts w:ascii="仿宋_GB2312" w:hAnsi="仿宋_GB2312" w:eastAsia="仿宋_GB2312" w:cstheme="minorBidi"/>
      <w:kern w:val="2"/>
      <w:sz w:val="32"/>
      <w:szCs w:val="22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0"/>
    </w:pPr>
    <w:rPr>
      <w:rFonts w:eastAsia="方正小标宋简体"/>
      <w:kern w:val="44"/>
      <w:sz w:val="44"/>
    </w:rPr>
  </w:style>
  <w:style w:type="paragraph" w:styleId="6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1"/>
    </w:pPr>
    <w:rPr>
      <w:rFonts w:ascii="Arial" w:hAnsi="Arial" w:eastAsia="黑体"/>
    </w:rPr>
  </w:style>
  <w:style w:type="paragraph" w:styleId="7">
    <w:name w:val="heading 3"/>
    <w:basedOn w:val="1"/>
    <w:next w:val="1"/>
    <w:link w:val="17"/>
    <w:unhideWhenUsed/>
    <w:qFormat/>
    <w:uiPriority w:val="0"/>
    <w:pPr>
      <w:keepNext/>
      <w:keepLines/>
      <w:spacing w:beforeLines="0" w:beforeAutospacing="0" w:afterLines="0" w:afterAutospacing="0" w:line="240" w:lineRule="auto"/>
      <w:outlineLvl w:val="2"/>
    </w:pPr>
    <w:rPr>
      <w:rFonts w:eastAsia="楷体_GB2312"/>
    </w:rPr>
  </w:style>
  <w:style w:type="paragraph" w:styleId="8">
    <w:name w:val="heading 4"/>
    <w:basedOn w:val="1"/>
    <w:next w:val="1"/>
    <w:link w:val="18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center"/>
      <w:outlineLvl w:val="3"/>
    </w:pPr>
    <w:rPr>
      <w:rFonts w:ascii="楷体_GB2312" w:hAnsi="楷体_GB2312" w:eastAsia="楷体_GB2312"/>
    </w:rPr>
  </w:style>
  <w:style w:type="paragraph" w:styleId="9">
    <w:name w:val="heading 5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240" w:lineRule="auto"/>
      <w:ind w:firstLine="0" w:firstLineChars="0"/>
      <w:jc w:val="left"/>
      <w:outlineLvl w:val="4"/>
    </w:pPr>
    <w:rPr>
      <w:rFonts w:ascii="仿宋_GB2312" w:hAnsi="仿宋_GB2312" w:eastAsia="仿宋_GB2312"/>
      <w:b/>
      <w:sz w:val="32"/>
    </w:rPr>
  </w:style>
  <w:style w:type="character" w:default="1" w:styleId="14">
    <w:name w:val="Default Paragraph Font"/>
    <w:semiHidden/>
    <w:qFormat/>
    <w:uiPriority w:val="0"/>
  </w:style>
  <w:style w:type="table" w:default="1" w:styleId="16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  <w:rPr>
      <w:rFonts w:ascii="Times New Roman"/>
      <w:sz w:val="36"/>
    </w:rPr>
  </w:style>
  <w:style w:type="paragraph" w:styleId="3">
    <w:name w:val="Body Text Indent"/>
    <w:basedOn w:val="1"/>
    <w:next w:val="4"/>
    <w:qFormat/>
    <w:uiPriority w:val="99"/>
    <w:pPr>
      <w:spacing w:line="560" w:lineRule="exact"/>
    </w:pPr>
    <w:rPr>
      <w:rFonts w:hAnsi="Times New Roman"/>
    </w:rPr>
  </w:style>
  <w:style w:type="paragraph" w:styleId="4">
    <w:name w:val="Normal Indent"/>
    <w:basedOn w:val="1"/>
    <w:next w:val="1"/>
    <w:qFormat/>
    <w:uiPriority w:val="99"/>
    <w:pPr>
      <w:ind w:firstLine="420"/>
    </w:pPr>
    <w:rPr>
      <w:rFonts w:eastAsia="华文仿宋"/>
      <w:sz w:val="36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rPr>
      <w:sz w:val="24"/>
    </w:rPr>
  </w:style>
  <w:style w:type="paragraph" w:styleId="1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character" w:styleId="15">
    <w:name w:val="Hyperlink"/>
    <w:basedOn w:val="14"/>
    <w:uiPriority w:val="0"/>
    <w:rPr>
      <w:color w:val="0000FF"/>
      <w:u w:val="single"/>
    </w:rPr>
  </w:style>
  <w:style w:type="character" w:customStyle="1" w:styleId="17">
    <w:name w:val="标题 3 Char"/>
    <w:link w:val="7"/>
    <w:qFormat/>
    <w:uiPriority w:val="0"/>
    <w:rPr>
      <w:rFonts w:eastAsia="楷体_GB2312"/>
    </w:rPr>
  </w:style>
  <w:style w:type="character" w:customStyle="1" w:styleId="18">
    <w:name w:val="标题 4 Char"/>
    <w:link w:val="8"/>
    <w:qFormat/>
    <w:uiPriority w:val="0"/>
    <w:rPr>
      <w:rFonts w:ascii="楷体_GB2312" w:hAnsi="楷体_GB2312" w:eastAsia="楷体_GB2312"/>
    </w:rPr>
  </w:style>
  <w:style w:type="character" w:customStyle="1" w:styleId="19">
    <w:name w:val="font11"/>
    <w:basedOn w:val="14"/>
    <w:qFormat/>
    <w:uiPriority w:val="0"/>
    <w:rPr>
      <w:rFonts w:hint="eastAsia" w:ascii="黑体" w:hAnsi="宋体" w:eastAsia="黑体" w:cs="黑体"/>
      <w:color w:val="000000"/>
      <w:sz w:val="32"/>
      <w:szCs w:val="3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22566</Words>
  <Characters>23166</Characters>
  <Lines>0</Lines>
  <Paragraphs>0</Paragraphs>
  <TotalTime>0</TotalTime>
  <ScaleCrop>false</ScaleCrop>
  <LinksUpToDate>false</LinksUpToDate>
  <CharactersWithSpaces>23169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2024-03-25T14:04:00Z</dcterms:created>
  <dc:creator>范冬冬</dc:creator>
  <cp:lastModifiedBy>iPhone</cp:lastModifiedBy>
  <cp:lastPrinted>2024-05-20T11:33:00Z</cp:lastPrinted>
  <dcterms:modified xsi:type="dcterms:W3CDTF">2024-05-27T17:36:46Z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2052-12.12.1</vt:lpwstr>
  </property>
  <property fmtid="{D5CDD505-2E9C-101B-9397-08002B2CF9AE}" pid="3" name="ICV">
    <vt:lpwstr>6D83BD4F8C24440D8BA9D8C2B9C5A880_13</vt:lpwstr>
  </property>
</Properties>
</file>