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Calibri" w:eastAsia="方正小标宋简体"/>
          <w:sz w:val="36"/>
          <w:szCs w:val="36"/>
        </w:rPr>
      </w:pPr>
    </w:p>
    <w:p>
      <w:pPr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平阴县孝直镇202</w:t>
      </w:r>
      <w:r>
        <w:rPr>
          <w:rFonts w:ascii="方正小标宋简体" w:hAnsi="Calibri" w:eastAsia="方正小标宋简体"/>
          <w:sz w:val="36"/>
          <w:szCs w:val="36"/>
        </w:rPr>
        <w:t>3</w:t>
      </w:r>
      <w:r>
        <w:rPr>
          <w:rFonts w:hint="eastAsia" w:ascii="方正小标宋简体" w:hAnsi="Calibri" w:eastAsia="方正小标宋简体"/>
          <w:sz w:val="36"/>
          <w:szCs w:val="36"/>
        </w:rPr>
        <w:t>年《政府工作报告》第</w:t>
      </w:r>
      <w:r>
        <w:rPr>
          <w:rFonts w:hint="eastAsia" w:ascii="方正小标宋简体" w:hAnsi="Calibri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Calibri" w:eastAsia="方正小标宋简体"/>
          <w:sz w:val="36"/>
          <w:szCs w:val="36"/>
        </w:rPr>
        <w:t>季度工作进展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1559"/>
        <w:gridCol w:w="1559"/>
        <w:gridCol w:w="2977"/>
        <w:gridCol w:w="1843"/>
        <w:gridCol w:w="1701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sz w:val="28"/>
                <w:szCs w:val="28"/>
              </w:rPr>
              <w:t>事项名称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sz w:val="28"/>
                <w:szCs w:val="28"/>
              </w:rPr>
              <w:t>责任单位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sz w:val="28"/>
                <w:szCs w:val="28"/>
              </w:rPr>
              <w:t>年度计划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sz w:val="28"/>
                <w:szCs w:val="28"/>
              </w:rPr>
              <w:t>进展情况及取得成效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仿宋"/>
                <w:color w:val="FF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sz w:val="28"/>
                <w:szCs w:val="28"/>
              </w:rPr>
              <w:t>完成时限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sz w:val="28"/>
                <w:szCs w:val="28"/>
              </w:rPr>
              <w:t>后续举措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sz w:val="28"/>
                <w:szCs w:val="28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hint="eastAsia" w:ascii="仿宋_GB2312" w:hAnsi="Calibri" w:eastAsia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实现2023年全县经济社会发展主要预期目标，一般公共预算收入增长8%左右。地区生产总值增长7%左右。固定资产投资增长10%左右。规模以上工业增加值增长8.5%左右。社会消费品零售总额增长6.5%左右。城乡居民人均可支配收入增长5.5%左右。</w:t>
            </w:r>
          </w:p>
          <w:p>
            <w:pPr>
              <w:spacing w:line="24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Calibri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孝直镇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一般公共预算收入2</w:t>
            </w:r>
            <w:r>
              <w:rPr>
                <w:rFonts w:ascii="仿宋_GB2312" w:hAnsi="Calibri" w:eastAsia="仿宋_GB2312"/>
                <w:sz w:val="21"/>
                <w:szCs w:val="21"/>
              </w:rPr>
              <w:t>0000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万元，固定资产投资8</w:t>
            </w:r>
            <w:r>
              <w:rPr>
                <w:rFonts w:ascii="仿宋_GB2312" w:hAnsi="Calibri" w:eastAsia="仿宋_GB2312"/>
                <w:sz w:val="21"/>
                <w:szCs w:val="21"/>
              </w:rPr>
              <w:t>9689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万元，规上工业产值2</w:t>
            </w:r>
            <w:r>
              <w:rPr>
                <w:rFonts w:ascii="仿宋_GB2312" w:hAnsi="Calibri" w:eastAsia="仿宋_GB2312"/>
                <w:sz w:val="21"/>
                <w:szCs w:val="21"/>
              </w:rPr>
              <w:t>67000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万元，限上销售额5</w:t>
            </w:r>
            <w:r>
              <w:rPr>
                <w:rFonts w:ascii="仿宋_GB2312" w:hAnsi="Calibri" w:eastAsia="仿宋_GB2312"/>
                <w:sz w:val="21"/>
                <w:szCs w:val="21"/>
              </w:rPr>
              <w:t>0000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万元，限上零售额1</w:t>
            </w:r>
            <w:r>
              <w:rPr>
                <w:rFonts w:ascii="仿宋_GB2312" w:hAnsi="Calibri" w:eastAsia="仿宋_GB2312"/>
                <w:sz w:val="21"/>
                <w:szCs w:val="21"/>
              </w:rPr>
              <w:t>328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万元，进出口贸易额2</w:t>
            </w:r>
            <w:r>
              <w:rPr>
                <w:rFonts w:ascii="仿宋_GB2312" w:hAnsi="Calibri" w:eastAsia="仿宋_GB2312"/>
                <w:sz w:val="21"/>
                <w:szCs w:val="21"/>
              </w:rPr>
              <w:t>0715.6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万元。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孝直镇1-9月份一般公共预算收入基础目标为9049万元，累计完成8042万元，完成全年计划的71.31%。其中税收收入7494万元，财政收入548万元</w:t>
            </w:r>
            <w:r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2</w:t>
            </w:r>
            <w:r>
              <w:rPr>
                <w:rFonts w:ascii="仿宋_GB2312" w:hAnsi="Calibri" w:eastAsia="仿宋_GB2312"/>
                <w:sz w:val="21"/>
                <w:szCs w:val="21"/>
              </w:rPr>
              <w:t>023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年底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一是做大总量，提高质量。二是明确重点，优化结构。三是培养人才，提升能力。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孝直镇纪委：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0</w:t>
            </w:r>
            <w:r>
              <w:rPr>
                <w:rFonts w:ascii="仿宋_GB2312" w:hAnsi="Calibri" w:eastAsia="仿宋_GB2312"/>
                <w:sz w:val="21"/>
                <w:szCs w:val="21"/>
              </w:rPr>
              <w:t>531-87718968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孝直镇党政办：0</w:t>
            </w:r>
            <w:r>
              <w:rPr>
                <w:rFonts w:ascii="仿宋_GB2312" w:hAnsi="Calibri" w:eastAsia="仿宋_GB2312"/>
                <w:sz w:val="21"/>
                <w:szCs w:val="21"/>
              </w:rPr>
              <w:t>531-87716998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聚力乡村振兴，以更强力度统筹城乡融合。接续开展农村人居环境五年提升行动，加大农村污水处理、村容村貌提升、残垣断壁清理等工作力度，提高农村环境整体水平。</w:t>
            </w:r>
          </w:p>
          <w:p>
            <w:pPr>
              <w:spacing w:line="240" w:lineRule="exact"/>
              <w:rPr>
                <w:rFonts w:hint="eastAsia" w:ascii="仿宋_GB2312" w:hAnsi="Calibri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孝直镇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仿宋_GB2312" w:hAnsi="Calibri" w:eastAsia="仿宋_GB2312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18"/>
                <w:szCs w:val="18"/>
              </w:rPr>
              <w:t>以黄河流域生态保护和高质量发展理念为指导，坚决打好蓝天、碧水、净土保卫战，推进国家级园林城市建设，深入推进“幸福河湖”“美丽庭院”建设，常态化落实“河湖林路田长制”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持续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对人居环境整治工作进行细分，将其融入衣食住行、水电路讯、医教文保各个领域，融入配套设施建设及公共服务过程中，让人民群众生活环境更美好、办事更便捷、心情更舒畅。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2</w:t>
            </w:r>
            <w:r>
              <w:rPr>
                <w:rFonts w:ascii="仿宋_GB2312" w:hAnsi="Calibri" w:eastAsia="仿宋_GB2312"/>
                <w:sz w:val="21"/>
                <w:szCs w:val="21"/>
              </w:rPr>
              <w:t>023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年底</w:t>
            </w:r>
          </w:p>
        </w:tc>
        <w:tc>
          <w:tcPr>
            <w:tcW w:w="1701" w:type="dxa"/>
            <w:vAlign w:val="center"/>
          </w:tcPr>
          <w:p>
            <w:pPr>
              <w:spacing w:line="200" w:lineRule="exact"/>
              <w:rPr>
                <w:rFonts w:ascii="仿宋_GB2312" w:hAnsi="Calibri" w:eastAsia="仿宋_GB2312"/>
                <w:sz w:val="16"/>
                <w:szCs w:val="16"/>
              </w:rPr>
            </w:pPr>
            <w:r>
              <w:rPr>
                <w:rFonts w:hint="eastAsia" w:ascii="仿宋_GB2312" w:hAnsi="Calibri" w:eastAsia="仿宋_GB2312"/>
                <w:sz w:val="16"/>
                <w:szCs w:val="16"/>
              </w:rPr>
              <w:t>聚力打好突出环境问题整改、大气污染治理、农业面源污染治理、黑臭水体治理的“组合拳”，让良好生态赋能高质量发展。持续推进农村人居环境整治，加快美丽宜居村庄规划和建设，借助“和风里”乡村振兴衔接区规划和上级惠民政策，加快打造强村组群。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孝直镇纪委：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0</w:t>
            </w:r>
            <w:r>
              <w:rPr>
                <w:rFonts w:ascii="仿宋_GB2312" w:hAnsi="Calibri" w:eastAsia="仿宋_GB2312"/>
                <w:sz w:val="21"/>
                <w:szCs w:val="21"/>
              </w:rPr>
              <w:t>531-87718968</w:t>
            </w: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孝直镇党政办：0</w:t>
            </w:r>
            <w:r>
              <w:rPr>
                <w:rFonts w:ascii="仿宋_GB2312" w:hAnsi="Calibri" w:eastAsia="仿宋_GB2312"/>
                <w:sz w:val="21"/>
                <w:szCs w:val="21"/>
              </w:rPr>
              <w:t>531-87716998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巩固拓展脱贫攻坚成果同乡村振兴有效衔接，落实防止返贫动态监测帮扶机制，确保不出现规模性返贫和新致贫。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孝直镇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巩固脱贫攻坚成果与乡村振兴工作同步开展，利用“三色”预警帮扶工作法动态监控帮扶脱贫户，确保辖区内无规模性返贫和新致贫群众。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“三色”预警帮扶工作法</w:t>
            </w: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持续深入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推进，380名城乡公益岗</w:t>
            </w: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在岗正常开展工作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，</w:t>
            </w: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进一步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开展面向弱势群体和脱贫群体的就业招聘会活动。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2</w:t>
            </w:r>
            <w:r>
              <w:rPr>
                <w:rFonts w:ascii="仿宋_GB2312" w:hAnsi="Calibri" w:eastAsia="仿宋_GB2312"/>
                <w:sz w:val="21"/>
                <w:szCs w:val="21"/>
              </w:rPr>
              <w:t>023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年底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rPr>
                <w:rFonts w:ascii="仿宋_GB2312" w:hAnsi="Calibri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Calibri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面向振兴保民生，扎实办好民生实事，全力做好巩固脱贫攻坚成果与乡村振兴工作的有效衔接，深入实施“三色”预警帮扶工作法，发挥扶贫产业园作用，推进东润种业科研基地项目和智能温室连栋大棚项目，千方百计为脱贫群众过上幸福生活提供坚强保障。</w:t>
            </w:r>
          </w:p>
          <w:p>
            <w:pPr>
              <w:spacing w:line="240" w:lineRule="exact"/>
              <w:rPr>
                <w:rFonts w:ascii="仿宋_GB2312" w:hAnsi="Calibri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Calibri" w:eastAsia="仿宋_GB2312"/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孝直镇纪委：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0</w:t>
            </w:r>
            <w:r>
              <w:rPr>
                <w:rFonts w:ascii="仿宋_GB2312" w:hAnsi="Calibri" w:eastAsia="仿宋_GB2312"/>
                <w:sz w:val="21"/>
                <w:szCs w:val="21"/>
              </w:rPr>
              <w:t>531-87718968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孝直镇党政办：0</w:t>
            </w:r>
            <w:r>
              <w:rPr>
                <w:rFonts w:ascii="仿宋_GB2312" w:hAnsi="Calibri" w:eastAsia="仿宋_GB2312"/>
                <w:sz w:val="21"/>
                <w:szCs w:val="21"/>
              </w:rPr>
              <w:t>531-87716998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聚力开放创新，以更大潜能释放内生动力。以推行农村集体经营性资产股份合作制度为抓手，深化农村综合改革，盘活闲置资源资产，促进资源变资产、资金变股金、农民变股东，增加农民财产性收入。</w:t>
            </w:r>
          </w:p>
          <w:p>
            <w:pPr>
              <w:spacing w:line="240" w:lineRule="exact"/>
              <w:rPr>
                <w:rFonts w:hint="eastAsia" w:ascii="仿宋_GB2312" w:hAnsi="Calibri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孝直镇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以坚持党建引领为根本，以深化农村产权制度改革为主线，以“一村一业、一村一策”乡村产业振兴行动为纽带，提高农村资源、资产、资金管理使用效率，探索多元化经营模式路径，促进村集体和农民双增收。</w:t>
            </w:r>
          </w:p>
          <w:p>
            <w:pPr>
              <w:spacing w:line="240" w:lineRule="exact"/>
              <w:rPr>
                <w:rFonts w:hint="eastAsia" w:ascii="仿宋_GB2312" w:hAnsi="Calibri" w:eastAsia="仿宋_GB2312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已下发孝发〔2</w:t>
            </w:r>
            <w:r>
              <w:rPr>
                <w:rFonts w:ascii="仿宋_GB2312" w:hAnsi="Calibri" w:eastAsia="仿宋_GB2312"/>
                <w:sz w:val="21"/>
                <w:szCs w:val="21"/>
              </w:rPr>
              <w:t>023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〕</w:t>
            </w:r>
            <w:r>
              <w:rPr>
                <w:rFonts w:ascii="仿宋_GB2312" w:hAnsi="Calibri" w:eastAsia="仿宋_GB2312"/>
                <w:sz w:val="21"/>
                <w:szCs w:val="21"/>
              </w:rPr>
              <w:t>8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号《中共平阴县孝直镇委员会关于印发〈孝直镇进一步深化农村三变改革实施方案〉的通知》，并要求各办事处、村、镇直各部门结合实际认真抓好贯彻落实。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2</w:t>
            </w:r>
            <w:r>
              <w:rPr>
                <w:rFonts w:ascii="仿宋_GB2312" w:hAnsi="Calibri" w:eastAsia="仿宋_GB2312"/>
                <w:sz w:val="21"/>
                <w:szCs w:val="21"/>
              </w:rPr>
              <w:t>023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年底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进一步深化农村“三变”改革”，以试点村居工作经验为蓝本，在全镇进一步铺开相关工作并扎实推进。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孝直镇纪委：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0</w:t>
            </w:r>
            <w:r>
              <w:rPr>
                <w:rFonts w:ascii="仿宋_GB2312" w:hAnsi="Calibri" w:eastAsia="仿宋_GB2312"/>
                <w:sz w:val="21"/>
                <w:szCs w:val="21"/>
              </w:rPr>
              <w:t>531-87718968</w:t>
            </w: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孝直镇党政办：0</w:t>
            </w:r>
            <w:r>
              <w:rPr>
                <w:rFonts w:ascii="仿宋_GB2312" w:hAnsi="Calibri" w:eastAsia="仿宋_GB2312"/>
                <w:sz w:val="21"/>
                <w:szCs w:val="21"/>
              </w:rPr>
              <w:t>531-87716998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51" w:type="dxa"/>
            <w:vAlign w:val="center"/>
          </w:tcPr>
          <w:p>
            <w:pPr>
              <w:rPr>
                <w:rFonts w:hint="eastAsia"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hint="eastAsia" w:ascii="仿宋_GB2312" w:hAnsi="Calibri" w:eastAsia="仿宋_GB2312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聚力绿色发展，以更严要求筑牢生态屏障。严格落实“河长制”，排查整改5条入黄支流隐患，降低入黄支流总氮浓度，实现重点河流断面水质稳定达标。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孝直镇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_GB2312" w:hAnsi="Calibri" w:eastAsia="仿宋_GB2312"/>
                <w:sz w:val="21"/>
                <w:szCs w:val="21"/>
              </w:rPr>
            </w:pPr>
          </w:p>
          <w:p>
            <w:pPr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严格落实“河长制”，完成孝直镇辖区内的汇河治理工程。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仿宋_GB2312" w:hAnsi="Calibri" w:eastAsia="仿宋_GB2312"/>
                <w:sz w:val="21"/>
                <w:szCs w:val="21"/>
              </w:rPr>
            </w:pPr>
          </w:p>
          <w:p>
            <w:pPr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镇级河湖长巡河完成率</w:t>
            </w:r>
            <w:r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村级河湖长巡河完成率</w:t>
            </w: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进一步提高</w:t>
            </w:r>
            <w:r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汇河治理工程已完成任务量的93%，正在进行绿化工作，准备铺设水稳层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。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2</w:t>
            </w:r>
            <w:r>
              <w:rPr>
                <w:rFonts w:ascii="仿宋_GB2312" w:hAnsi="Calibri" w:eastAsia="仿宋_GB2312"/>
                <w:sz w:val="21"/>
                <w:szCs w:val="21"/>
              </w:rPr>
              <w:t>023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年底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_GB2312" w:hAnsi="Calibri" w:eastAsia="仿宋_GB2312"/>
                <w:sz w:val="21"/>
                <w:szCs w:val="21"/>
              </w:rPr>
            </w:pPr>
          </w:p>
          <w:p>
            <w:pPr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进一步落实“河长制”。完成孝直镇辖区内的汇河治理工程。</w:t>
            </w: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制作辅助设施（限高杆等）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。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孝直镇纪委：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0</w:t>
            </w:r>
            <w:r>
              <w:rPr>
                <w:rFonts w:ascii="仿宋_GB2312" w:hAnsi="Calibri" w:eastAsia="仿宋_GB2312"/>
                <w:sz w:val="21"/>
                <w:szCs w:val="21"/>
              </w:rPr>
              <w:t>531-87718968</w:t>
            </w:r>
          </w:p>
          <w:p>
            <w:pPr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孝直镇党政办：0</w:t>
            </w:r>
            <w:r>
              <w:rPr>
                <w:rFonts w:ascii="仿宋_GB2312" w:hAnsi="Calibri" w:eastAsia="仿宋_GB2312"/>
                <w:sz w:val="21"/>
                <w:szCs w:val="21"/>
              </w:rPr>
              <w:t>531-87716998</w:t>
            </w:r>
          </w:p>
        </w:tc>
      </w:tr>
    </w:tbl>
    <w:p>
      <w:pPr>
        <w:spacing w:line="600" w:lineRule="exact"/>
        <w:rPr>
          <w:rFonts w:ascii="仿宋_GB2312" w:hAnsi="Calibri" w:eastAsia="仿宋_GB2312"/>
          <w:b/>
          <w:sz w:val="32"/>
          <w:szCs w:val="32"/>
        </w:rPr>
      </w:pPr>
    </w:p>
    <w:p>
      <w:pPr>
        <w:jc w:val="center"/>
        <w:rPr>
          <w:rFonts w:ascii="方正小标宋简体" w:hAnsi="Calibri" w:eastAsia="方正小标宋简体"/>
          <w:sz w:val="36"/>
          <w:szCs w:val="36"/>
        </w:rPr>
      </w:pPr>
    </w:p>
    <w:p>
      <w:pPr>
        <w:jc w:val="center"/>
        <w:rPr>
          <w:rFonts w:ascii="方正小标宋简体" w:hAnsi="Calibri" w:eastAsia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方正小标宋简体" w:hAnsi="Calibri" w:eastAsia="方正小标宋简体"/>
          <w:sz w:val="36"/>
          <w:szCs w:val="36"/>
        </w:rPr>
      </w:pPr>
    </w:p>
    <w:p>
      <w:pPr>
        <w:jc w:val="center"/>
        <w:rPr>
          <w:rFonts w:ascii="方正小标宋简体" w:hAnsi="Calibri" w:eastAsia="方正小标宋简体"/>
          <w:sz w:val="36"/>
          <w:szCs w:val="36"/>
        </w:rPr>
      </w:pPr>
    </w:p>
    <w:p>
      <w:pPr>
        <w:jc w:val="center"/>
        <w:rPr>
          <w:rFonts w:ascii="方正小标宋简体" w:hAnsi="Calibri" w:eastAsia="方正小标宋简体"/>
          <w:sz w:val="36"/>
          <w:szCs w:val="36"/>
        </w:rPr>
      </w:pPr>
    </w:p>
    <w:p>
      <w:pPr>
        <w:jc w:val="center"/>
        <w:rPr>
          <w:rFonts w:ascii="方正小标宋简体" w:hAnsi="Calibri" w:eastAsia="方正小标宋简体"/>
          <w:sz w:val="36"/>
          <w:szCs w:val="36"/>
        </w:rPr>
      </w:pPr>
    </w:p>
    <w:p>
      <w:pPr>
        <w:jc w:val="center"/>
        <w:rPr>
          <w:rFonts w:ascii="方正小标宋简体" w:hAnsi="Calibri" w:eastAsia="方正小标宋简体"/>
          <w:sz w:val="36"/>
          <w:szCs w:val="36"/>
        </w:rPr>
      </w:pPr>
    </w:p>
    <w:p>
      <w:pPr>
        <w:jc w:val="center"/>
        <w:rPr>
          <w:rFonts w:ascii="方正小标宋简体" w:hAnsi="Calibri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Calibri" w:eastAsia="方正小标宋简体"/>
          <w:sz w:val="36"/>
          <w:szCs w:val="36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418" w:right="1418" w:bottom="1418" w:left="1418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2013295222"/>
      <w:showingPlcHdr/>
    </w:sdtPr>
    <w:sdtEndPr>
      <w:rPr>
        <w:rFonts w:ascii="宋体" w:hAnsi="宋体"/>
        <w:sz w:val="28"/>
        <w:szCs w:val="28"/>
      </w:rPr>
    </w:sdtEndPr>
    <w:sdtContent>
      <w:p>
        <w:pPr>
          <w:pStyle w:val="11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921764989"/>
    </w:sdtPr>
    <w:sdtEndPr>
      <w:rPr>
        <w:rFonts w:ascii="宋体" w:hAnsi="宋体"/>
        <w:sz w:val="28"/>
        <w:szCs w:val="28"/>
      </w:rPr>
    </w:sdtEndPr>
    <w:sdtContent>
      <w:p>
        <w:pPr>
          <w:pStyle w:val="11"/>
          <w:numPr>
            <w:ilvl w:val="0"/>
            <w:numId w:val="1"/>
          </w:numPr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10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D1F5D"/>
    <w:multiLevelType w:val="multilevel"/>
    <w:tmpl w:val="04ED1F5D"/>
    <w:lvl w:ilvl="0" w:tentative="0">
      <w:start w:val="6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yZTMxODkzMjFhYjVkZWE1ZTM5YTk4ZDgxZWMzMDQifQ=="/>
  </w:docVars>
  <w:rsids>
    <w:rsidRoot w:val="00712639"/>
    <w:rsid w:val="00064573"/>
    <w:rsid w:val="000F2EB5"/>
    <w:rsid w:val="001103A0"/>
    <w:rsid w:val="002942C4"/>
    <w:rsid w:val="00316CF6"/>
    <w:rsid w:val="00340AFD"/>
    <w:rsid w:val="003C3F9C"/>
    <w:rsid w:val="00415011"/>
    <w:rsid w:val="00422812"/>
    <w:rsid w:val="004E56A7"/>
    <w:rsid w:val="004F5EFC"/>
    <w:rsid w:val="00580F28"/>
    <w:rsid w:val="00603896"/>
    <w:rsid w:val="00607E84"/>
    <w:rsid w:val="006B04BA"/>
    <w:rsid w:val="006D4133"/>
    <w:rsid w:val="00712639"/>
    <w:rsid w:val="00741407"/>
    <w:rsid w:val="0074484F"/>
    <w:rsid w:val="009363F6"/>
    <w:rsid w:val="00936612"/>
    <w:rsid w:val="00A74D74"/>
    <w:rsid w:val="00B07336"/>
    <w:rsid w:val="00CB0B98"/>
    <w:rsid w:val="00CB3A88"/>
    <w:rsid w:val="00D6383D"/>
    <w:rsid w:val="00DD08D3"/>
    <w:rsid w:val="00DD4715"/>
    <w:rsid w:val="00E6051B"/>
    <w:rsid w:val="00F14D0A"/>
    <w:rsid w:val="00F16EAD"/>
    <w:rsid w:val="00F462E4"/>
    <w:rsid w:val="2E026857"/>
    <w:rsid w:val="36C2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spacing w:line="600" w:lineRule="exact"/>
      <w:jc w:val="center"/>
      <w:outlineLvl w:val="0"/>
    </w:pPr>
    <w:rPr>
      <w:rFonts w:eastAsia="方正小标宋简体" w:asciiTheme="majorHAnsi" w:hAnsiTheme="majorHAnsi" w:cstheme="majorBidi"/>
      <w:bCs/>
      <w:sz w:val="40"/>
      <w:szCs w:val="32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三级标题"/>
    <w:basedOn w:val="1"/>
    <w:next w:val="1"/>
    <w:link w:val="9"/>
    <w:qFormat/>
    <w:uiPriority w:val="0"/>
    <w:pPr>
      <w:spacing w:line="600" w:lineRule="exact"/>
      <w:ind w:firstLine="200" w:firstLineChars="200"/>
      <w:outlineLvl w:val="3"/>
    </w:pPr>
    <w:rPr>
      <w:rFonts w:eastAsia="仿宋_GB2312" w:asciiTheme="minorHAnsi" w:hAnsiTheme="minorHAnsi" w:cstheme="minorBidi"/>
      <w:b/>
      <w:sz w:val="30"/>
      <w:szCs w:val="24"/>
    </w:rPr>
  </w:style>
  <w:style w:type="character" w:customStyle="1" w:styleId="9">
    <w:name w:val="三级标题 字符"/>
    <w:basedOn w:val="6"/>
    <w:link w:val="8"/>
    <w:uiPriority w:val="0"/>
    <w:rPr>
      <w:rFonts w:eastAsia="仿宋_GB2312" w:asciiTheme="minorHAnsi" w:hAnsiTheme="minorHAnsi" w:cstheme="minorBidi"/>
      <w:b/>
      <w:sz w:val="30"/>
      <w:szCs w:val="24"/>
    </w:rPr>
  </w:style>
  <w:style w:type="character" w:customStyle="1" w:styleId="10">
    <w:name w:val="标题 字符"/>
    <w:basedOn w:val="6"/>
    <w:link w:val="4"/>
    <w:uiPriority w:val="0"/>
    <w:rPr>
      <w:rFonts w:eastAsia="方正小标宋简体" w:asciiTheme="majorHAnsi" w:hAnsiTheme="majorHAnsi" w:cstheme="majorBidi"/>
      <w:bCs/>
      <w:sz w:val="40"/>
      <w:szCs w:val="32"/>
    </w:rPr>
  </w:style>
  <w:style w:type="paragraph" w:customStyle="1" w:styleId="11">
    <w:name w:val="页脚1"/>
    <w:basedOn w:val="1"/>
    <w:next w:val="2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"/>
    <w:basedOn w:val="6"/>
    <w:link w:val="11"/>
    <w:qFormat/>
    <w:uiPriority w:val="99"/>
    <w:rPr>
      <w:sz w:val="18"/>
      <w:szCs w:val="18"/>
    </w:rPr>
  </w:style>
  <w:style w:type="character" w:customStyle="1" w:styleId="13">
    <w:name w:val="页脚 字符1"/>
    <w:basedOn w:val="6"/>
    <w:link w:val="2"/>
    <w:uiPriority w:val="99"/>
    <w:rPr>
      <w:sz w:val="18"/>
      <w:szCs w:val="18"/>
    </w:rPr>
  </w:style>
  <w:style w:type="character" w:customStyle="1" w:styleId="14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05820-7CB9-4187-9DE5-C23C54A672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292</Words>
  <Characters>1666</Characters>
  <Lines>13</Lines>
  <Paragraphs>3</Paragraphs>
  <TotalTime>0</TotalTime>
  <ScaleCrop>false</ScaleCrop>
  <LinksUpToDate>false</LinksUpToDate>
  <CharactersWithSpaces>1955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2023-04-21T05:55:00Z</dcterms:created>
  <dc:creator>KM25017</dc:creator>
  <cp:lastModifiedBy>飞奔的夜游猫</cp:lastModifiedBy>
  <dcterms:modified xsi:type="dcterms:W3CDTF">2023-10-08T02:23:16Z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31E66B4045F74985ABCD0C095531C574_12</vt:lpwstr>
  </property>
</Properties>
</file>