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30" w:lineRule="exact"/>
        <w:jc w:val="center"/>
        <w:textAlignment w:val="auto"/>
        <w:rPr>
          <w:rFonts w:hint="eastAsia" w:eastAsia="宋体"/>
          <w:b w:val="0"/>
          <w:bCs w:val="0"/>
          <w:color w:val="auto"/>
          <w:sz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251" w:beforeLines="80" w:line="780" w:lineRule="exact"/>
        <w:jc w:val="center"/>
        <w:textAlignment w:val="auto"/>
        <w:rPr>
          <w:rFonts w:hint="eastAsia" w:eastAsia="宋体"/>
          <w:b w:val="0"/>
          <w:bCs w:val="0"/>
          <w:color w:val="auto"/>
          <w:sz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0" w:lineRule="exact"/>
        <w:jc w:val="center"/>
        <w:textAlignment w:val="auto"/>
        <w:rPr>
          <w:rFonts w:hint="eastAsia" w:eastAsia="宋体"/>
          <w:b w:val="0"/>
          <w:bCs w:val="0"/>
          <w:color w:val="auto"/>
          <w:sz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511" w:beforeLines="80" w:line="650" w:lineRule="exact"/>
        <w:ind w:left="0" w:leftChars="0" w:right="304" w:rightChars="145" w:firstLine="0" w:firstLineChars="0"/>
        <w:contextualSpacing/>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平政办便笺</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42号</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文星标宋" w:hAnsi="文星标宋" w:eastAsia="文星标宋" w:cs="文星标宋"/>
          <w:color w:val="auto"/>
          <w:kern w:val="0"/>
          <w:sz w:val="44"/>
          <w:szCs w:val="44"/>
          <w:lang w:val="zh-CN" w:eastAsia="zh-CN" w:bidi="ar-SA"/>
        </w:rPr>
      </w:pPr>
    </w:p>
    <w:p>
      <w:pPr>
        <w:spacing w:line="600" w:lineRule="exact"/>
        <w:jc w:val="center"/>
        <w:rPr>
          <w:rFonts w:ascii="文星标宋" w:hAnsi="文星标宋" w:eastAsia="文星标宋" w:cs="文星标宋"/>
          <w:bCs/>
          <w:color w:val="auto"/>
          <w:sz w:val="44"/>
          <w:szCs w:val="44"/>
        </w:rPr>
      </w:pPr>
      <w:r>
        <w:rPr>
          <w:rFonts w:hint="eastAsia" w:ascii="文星标宋" w:hAnsi="文星标宋" w:eastAsia="文星标宋" w:cs="文星标宋"/>
          <w:bCs/>
          <w:color w:val="auto"/>
          <w:sz w:val="44"/>
          <w:szCs w:val="44"/>
        </w:rPr>
        <w:t>平阴县人民政府办公室</w:t>
      </w:r>
    </w:p>
    <w:p>
      <w:pPr>
        <w:tabs>
          <w:tab w:val="center" w:pos="4620"/>
          <w:tab w:val="center" w:pos="5115"/>
          <w:tab w:val="left" w:pos="7140"/>
          <w:tab w:val="left" w:pos="7425"/>
        </w:tabs>
        <w:spacing w:line="600" w:lineRule="exact"/>
        <w:jc w:val="center"/>
        <w:rPr>
          <w:rFonts w:ascii="文星标宋" w:hAnsi="文星标宋" w:eastAsia="文星标宋" w:cs="文星标宋"/>
          <w:bCs/>
          <w:color w:val="auto"/>
          <w:sz w:val="44"/>
          <w:szCs w:val="44"/>
        </w:rPr>
      </w:pPr>
      <w:r>
        <w:rPr>
          <w:rFonts w:hint="eastAsia" w:ascii="文星标宋" w:hAnsi="文星标宋" w:eastAsia="文星标宋" w:cs="文星标宋"/>
          <w:bCs/>
          <w:color w:val="auto"/>
          <w:sz w:val="44"/>
          <w:szCs w:val="44"/>
        </w:rPr>
        <w:t>关于印发《平阴县建档立卡贫困生交通生活、</w:t>
      </w:r>
    </w:p>
    <w:p>
      <w:pPr>
        <w:tabs>
          <w:tab w:val="center" w:pos="4620"/>
          <w:tab w:val="center" w:pos="5115"/>
          <w:tab w:val="left" w:pos="7140"/>
          <w:tab w:val="left" w:pos="7425"/>
        </w:tabs>
        <w:spacing w:line="600" w:lineRule="exact"/>
        <w:jc w:val="center"/>
        <w:rPr>
          <w:rFonts w:ascii="文星标宋" w:hAnsi="文星标宋" w:eastAsia="文星标宋" w:cs="文星标宋"/>
          <w:bCs/>
          <w:color w:val="auto"/>
          <w:sz w:val="44"/>
          <w:szCs w:val="44"/>
        </w:rPr>
      </w:pPr>
      <w:r>
        <w:rPr>
          <w:rFonts w:hint="eastAsia" w:ascii="文星标宋" w:hAnsi="文星标宋" w:eastAsia="文星标宋" w:cs="文星标宋"/>
          <w:bCs/>
          <w:color w:val="auto"/>
          <w:sz w:val="44"/>
          <w:szCs w:val="44"/>
        </w:rPr>
        <w:t>重</w:t>
      </w:r>
      <w:r>
        <w:rPr>
          <w:rFonts w:hint="eastAsia" w:ascii="文星标宋" w:hAnsi="文星标宋" w:eastAsia="文星标宋"/>
          <w:color w:val="auto"/>
          <w:sz w:val="44"/>
          <w:szCs w:val="44"/>
        </w:rPr>
        <w:t>度残疾人和医疗帮扶</w:t>
      </w:r>
      <w:r>
        <w:rPr>
          <w:rFonts w:hint="eastAsia" w:ascii="文星标宋" w:hAnsi="文星标宋" w:eastAsia="文星标宋" w:cs="文星标宋"/>
          <w:bCs/>
          <w:color w:val="auto"/>
          <w:sz w:val="44"/>
          <w:szCs w:val="44"/>
        </w:rPr>
        <w:t>衔接推进乡村振兴补助资金工作实施方案》的通知</w:t>
      </w:r>
    </w:p>
    <w:p>
      <w:pPr>
        <w:spacing w:line="600" w:lineRule="exact"/>
        <w:rPr>
          <w:rFonts w:ascii="仿宋" w:hAnsi="仿宋" w:eastAsia="仿宋"/>
          <w:b/>
          <w:color w:val="auto"/>
          <w:sz w:val="32"/>
          <w:szCs w:val="32"/>
        </w:rPr>
      </w:pP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各镇人民政府，各街道办事处，平阴经济开发区，县政府各部门：</w:t>
      </w: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《平阴县建档立卡贫困生交通生活、重度残疾人和医疗帮扶衔接推进乡村振兴补助资金工作实施方案》已经县政府同意，现印发给你们，请认真组织实施。</w:t>
      </w:r>
    </w:p>
    <w:p>
      <w:pPr>
        <w:spacing w:line="600" w:lineRule="exact"/>
        <w:ind w:firstLine="645"/>
        <w:rPr>
          <w:rFonts w:ascii="仿宋_GB2312" w:hAnsi="仿宋_GB2312" w:eastAsia="仿宋_GB2312" w:cs="仿宋_GB2312"/>
          <w:color w:val="auto"/>
          <w:sz w:val="32"/>
          <w:szCs w:val="32"/>
        </w:rPr>
      </w:pPr>
    </w:p>
    <w:p>
      <w:pPr>
        <w:spacing w:line="600" w:lineRule="exact"/>
        <w:ind w:firstLine="645"/>
        <w:rPr>
          <w:rFonts w:ascii="仿宋_GB2312" w:hAnsi="仿宋_GB2312" w:eastAsia="仿宋_GB2312" w:cs="仿宋_GB2312"/>
          <w:color w:val="auto"/>
          <w:sz w:val="32"/>
          <w:szCs w:val="32"/>
        </w:rPr>
      </w:pPr>
    </w:p>
    <w:p>
      <w:pPr>
        <w:spacing w:line="600" w:lineRule="exact"/>
        <w:ind w:firstLine="645"/>
        <w:rPr>
          <w:rFonts w:ascii="仿宋_GB2312" w:hAnsi="仿宋_GB2312" w:eastAsia="仿宋_GB2312" w:cs="仿宋_GB2312"/>
          <w:color w:val="auto"/>
          <w:sz w:val="32"/>
          <w:szCs w:val="32"/>
        </w:rPr>
      </w:pP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平阴县人民政府办公室</w:t>
      </w:r>
    </w:p>
    <w:p>
      <w:pPr>
        <w:spacing w:line="600" w:lineRule="exact"/>
        <w:ind w:firstLine="5440" w:firstLineChars="1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2021年6月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center" w:pos="4620"/>
          <w:tab w:val="center" w:pos="5115"/>
          <w:tab w:val="left" w:pos="7140"/>
          <w:tab w:val="left" w:pos="7425"/>
        </w:tabs>
        <w:spacing w:line="600" w:lineRule="exact"/>
        <w:jc w:val="center"/>
        <w:rPr>
          <w:rFonts w:ascii="文星标宋" w:hAnsi="文星标宋" w:eastAsia="文星标宋" w:cs="文星标宋"/>
          <w:bCs/>
          <w:color w:val="auto"/>
          <w:sz w:val="44"/>
          <w:szCs w:val="44"/>
        </w:rPr>
      </w:pPr>
    </w:p>
    <w:p>
      <w:pPr>
        <w:tabs>
          <w:tab w:val="center" w:pos="4620"/>
          <w:tab w:val="center" w:pos="5115"/>
          <w:tab w:val="left" w:pos="7140"/>
          <w:tab w:val="left" w:pos="7425"/>
        </w:tabs>
        <w:spacing w:line="600" w:lineRule="exact"/>
        <w:jc w:val="center"/>
        <w:rPr>
          <w:rFonts w:ascii="文星标宋" w:hAnsi="文星标宋" w:eastAsia="文星标宋" w:cs="文星标宋"/>
          <w:bCs/>
          <w:color w:val="auto"/>
          <w:sz w:val="44"/>
          <w:szCs w:val="44"/>
        </w:rPr>
      </w:pPr>
      <w:r>
        <w:rPr>
          <w:rFonts w:hint="eastAsia" w:ascii="文星标宋" w:hAnsi="文星标宋" w:eastAsia="文星标宋" w:cs="文星标宋"/>
          <w:bCs/>
          <w:color w:val="auto"/>
          <w:sz w:val="44"/>
          <w:szCs w:val="44"/>
        </w:rPr>
        <w:t>平阴县建档立卡贫困生交通生活、</w:t>
      </w:r>
    </w:p>
    <w:p>
      <w:pPr>
        <w:spacing w:line="600" w:lineRule="exact"/>
        <w:jc w:val="center"/>
        <w:rPr>
          <w:rFonts w:ascii="文星标宋" w:hAnsi="文星标宋" w:eastAsia="文星标宋" w:cs="文星标宋"/>
          <w:bCs/>
          <w:color w:val="auto"/>
          <w:sz w:val="44"/>
          <w:szCs w:val="44"/>
        </w:rPr>
      </w:pPr>
      <w:r>
        <w:rPr>
          <w:rFonts w:hint="eastAsia" w:ascii="文星标宋" w:hAnsi="文星标宋" w:eastAsia="文星标宋" w:cs="文星标宋"/>
          <w:bCs/>
          <w:color w:val="auto"/>
          <w:sz w:val="44"/>
          <w:szCs w:val="44"/>
        </w:rPr>
        <w:t>重</w:t>
      </w:r>
      <w:r>
        <w:rPr>
          <w:rFonts w:hint="eastAsia" w:ascii="文星标宋" w:hAnsi="文星标宋" w:eastAsia="文星标宋"/>
          <w:color w:val="auto"/>
          <w:sz w:val="44"/>
          <w:szCs w:val="44"/>
        </w:rPr>
        <w:t>度残疾人和医疗帮扶</w:t>
      </w:r>
      <w:r>
        <w:rPr>
          <w:rFonts w:hint="eastAsia" w:ascii="文星标宋" w:hAnsi="文星标宋" w:eastAsia="文星标宋" w:cs="文星标宋"/>
          <w:bCs/>
          <w:color w:val="auto"/>
          <w:sz w:val="44"/>
          <w:szCs w:val="44"/>
        </w:rPr>
        <w:t>衔接推进乡村振兴补助资金工作实施方案</w:t>
      </w:r>
    </w:p>
    <w:p>
      <w:pPr>
        <w:spacing w:line="600" w:lineRule="exact"/>
        <w:ind w:firstLine="640" w:firstLineChars="200"/>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为认真贯彻落实上级关于保持帮扶力度不减，持续巩固脱贫攻坚成果的总体部署，进一步巩固拓展脱贫攻坚成果，结合我县工作实际，制定本实施方案。</w:t>
      </w:r>
    </w:p>
    <w:p>
      <w:pPr>
        <w:pStyle w:val="8"/>
        <w:keepNext w:val="0"/>
        <w:keepLines w:val="0"/>
        <w:pageBreakBefore w:val="0"/>
        <w:widowControl w:val="0"/>
        <w:numPr>
          <w:numId w:val="0"/>
        </w:numPr>
        <w:kinsoku/>
        <w:wordWrap/>
        <w:overflowPunct/>
        <w:topLinePunct w:val="0"/>
        <w:autoSpaceDE/>
        <w:autoSpaceDN/>
        <w:bidi w:val="0"/>
        <w:adjustRightInd/>
        <w:snapToGrid/>
        <w:spacing w:line="630" w:lineRule="exact"/>
        <w:ind w:leftChars="0" w:firstLine="640" w:firstLineChars="200"/>
        <w:jc w:val="both"/>
        <w:textAlignment w:val="auto"/>
        <w:rPr>
          <w:rFonts w:ascii="黑体" w:hAnsi="黑体" w:eastAsia="黑体" w:cs="黑体"/>
          <w:bCs/>
          <w:color w:val="auto"/>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总体目标</w:t>
      </w:r>
    </w:p>
    <w:p>
      <w:pPr>
        <w:keepNext w:val="0"/>
        <w:keepLines w:val="0"/>
        <w:pageBreakBefore w:val="0"/>
        <w:widowControl w:val="0"/>
        <w:kinsoku/>
        <w:wordWrap/>
        <w:overflowPunct/>
        <w:topLinePunct w:val="0"/>
        <w:autoSpaceDE/>
        <w:autoSpaceDN/>
        <w:bidi w:val="0"/>
        <w:adjustRightInd/>
        <w:snapToGrid/>
        <w:spacing w:line="63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全面贯彻习近平总书记关于扶贫工作的重要论述和党的十九届五中全会精神，进一步落实中央、省、市“四不摘”工作要求，切实做好巩固拓展脱贫攻坚成果同乡村振兴进行有效衔接，防止已脱贫人口返贫，让</w:t>
      </w:r>
      <w:bookmarkStart w:id="0" w:name="_GoBack"/>
      <w:bookmarkEnd w:id="0"/>
      <w:r>
        <w:rPr>
          <w:rFonts w:hint="eastAsia" w:ascii="仿宋_GB2312" w:hAnsi="仿宋_GB2312" w:eastAsia="仿宋_GB2312" w:cs="仿宋_GB2312"/>
          <w:color w:val="auto"/>
          <w:sz w:val="32"/>
          <w:szCs w:val="32"/>
        </w:rPr>
        <w:t>脱贫基础更加稳固，成效更可持续。</w:t>
      </w:r>
    </w:p>
    <w:p>
      <w:pPr>
        <w:keepNext w:val="0"/>
        <w:keepLines w:val="0"/>
        <w:pageBreakBefore w:val="0"/>
        <w:widowControl w:val="0"/>
        <w:numPr>
          <w:numId w:val="0"/>
        </w:numPr>
        <w:kinsoku/>
        <w:wordWrap/>
        <w:overflowPunct/>
        <w:topLinePunct w:val="0"/>
        <w:autoSpaceDE/>
        <w:autoSpaceDN/>
        <w:bidi w:val="0"/>
        <w:adjustRightInd/>
        <w:snapToGrid/>
        <w:spacing w:line="630" w:lineRule="exact"/>
        <w:ind w:leftChars="0"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 xml:space="preserve">具体工作  </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（一）建档立卡贫困生    </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阴县建档立卡贫困生交通生活衔接推进乡村振兴补助资金，由县财政纳入预算，每月补助交通费80元、生活费100元，计每月每生180元（全年按10个月计算），补助每半年发放一次。由县教育和体育局根据县扶贫办提供的建档立卡贫困家庭学生情况，核实人数，报县政府批准。补助由县教育和体育局资助中心通过银行卡统一发放到学生家长手中。</w:t>
      </w:r>
    </w:p>
    <w:p>
      <w:pPr>
        <w:keepNext w:val="0"/>
        <w:keepLines w:val="0"/>
        <w:pageBreakBefore w:val="0"/>
        <w:widowControl w:val="0"/>
        <w:numPr>
          <w:numId w:val="0"/>
        </w:numPr>
        <w:kinsoku/>
        <w:wordWrap/>
        <w:overflowPunct/>
        <w:topLinePunct w:val="0"/>
        <w:autoSpaceDE/>
        <w:autoSpaceDN/>
        <w:bidi w:val="0"/>
        <w:adjustRightInd/>
        <w:snapToGrid/>
        <w:spacing w:line="630" w:lineRule="exact"/>
        <w:ind w:leftChars="0"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建档立卡重度残疾人</w:t>
      </w:r>
    </w:p>
    <w:p>
      <w:pPr>
        <w:keepNext w:val="0"/>
        <w:keepLines w:val="0"/>
        <w:pageBreakBefore w:val="0"/>
        <w:widowControl w:val="0"/>
        <w:tabs>
          <w:tab w:val="center" w:pos="4620"/>
          <w:tab w:val="center" w:pos="5115"/>
          <w:tab w:val="left" w:pos="7140"/>
          <w:tab w:val="left" w:pos="7425"/>
        </w:tabs>
        <w:kinsoku/>
        <w:wordWrap/>
        <w:overflowPunct/>
        <w:topLinePunct w:val="0"/>
        <w:autoSpaceDE/>
        <w:autoSpaceDN/>
        <w:bidi w:val="0"/>
        <w:adjustRightInd/>
        <w:snapToGrid/>
        <w:spacing w:line="630" w:lineRule="exact"/>
        <w:ind w:lef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1.发放范围及标准</w:t>
      </w:r>
    </w:p>
    <w:p>
      <w:pPr>
        <w:keepNext w:val="0"/>
        <w:keepLines w:val="0"/>
        <w:pageBreakBefore w:val="0"/>
        <w:widowControl w:val="0"/>
        <w:tabs>
          <w:tab w:val="center" w:pos="4620"/>
          <w:tab w:val="center" w:pos="5115"/>
          <w:tab w:val="left" w:pos="7140"/>
          <w:tab w:val="left" w:pos="7425"/>
        </w:tabs>
        <w:kinsoku/>
        <w:wordWrap/>
        <w:overflowPunct/>
        <w:topLinePunct w:val="0"/>
        <w:autoSpaceDE/>
        <w:autoSpaceDN/>
        <w:bidi w:val="0"/>
        <w:adjustRightInd/>
        <w:snapToGrid/>
        <w:spacing w:line="630" w:lineRule="exact"/>
        <w:ind w:left="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具有本县户籍且在建档立卡范围内，持有第二代《中华人民共和国残疾人证》的一、二级重度残疾人每人每月发放100元的衔接推进乡村振兴补助资金（每季度发放一次）。所需资金列入县财政年度预算。</w:t>
      </w:r>
    </w:p>
    <w:p>
      <w:pPr>
        <w:pStyle w:val="2"/>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2.工作流程</w:t>
      </w:r>
    </w:p>
    <w:p>
      <w:pPr>
        <w:pStyle w:val="2"/>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建档立卡重度残疾人衔接推进乡村振兴补助资金由本人提出申请，法定监护人，法定赡养、抚养、扶养义务人，所在村（居）民委员会或其他被委托人可代为申请。申请人填写《平阴县建档立卡重度残疾人衔接推进乡村振兴补助资金申请审批表》（附件），并将《审批表》以及户口本、身份证、残疾人证复印件送至当地镇（街道）残联；镇（街道）残联受理建档立卡重度残疾人衔接推进乡村振兴补助资金申请后，于</w:t>
      </w:r>
      <w:r>
        <w:rPr>
          <w:rFonts w:ascii="仿宋_GB2312" w:eastAsia="仿宋_GB2312"/>
          <w:color w:val="auto"/>
          <w:sz w:val="32"/>
          <w:szCs w:val="32"/>
        </w:rPr>
        <w:t>5</w:t>
      </w:r>
      <w:r>
        <w:rPr>
          <w:rFonts w:hint="eastAsia" w:ascii="仿宋_GB2312" w:eastAsia="仿宋_GB2312"/>
          <w:color w:val="auto"/>
          <w:sz w:val="32"/>
          <w:szCs w:val="32"/>
        </w:rPr>
        <w:t>个工作日内完成初审。初审合格材料报送县残联，县残联于</w:t>
      </w:r>
      <w:r>
        <w:rPr>
          <w:rFonts w:ascii="仿宋_GB2312" w:eastAsia="仿宋_GB2312"/>
          <w:color w:val="auto"/>
          <w:sz w:val="32"/>
          <w:szCs w:val="32"/>
        </w:rPr>
        <w:t>5</w:t>
      </w:r>
      <w:r>
        <w:rPr>
          <w:rFonts w:hint="eastAsia" w:ascii="仿宋_GB2312" w:eastAsia="仿宋_GB2312"/>
          <w:color w:val="auto"/>
          <w:sz w:val="32"/>
          <w:szCs w:val="32"/>
        </w:rPr>
        <w:t>个工作日内完成申请人残疾等级审核。审核合格后，由各镇（街道）根据审定的发放名单，按季度通过金融机构转账存入残疾人账户。</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2）建档立卡重度残疾人衔接推进乡村振兴补助资金的残疾人实行县、镇（街道）两级档案管理，做到一人一档。建立定期复核机制，采取残疾人主动申报和发放部门定期抽查相结合的方式，每年复核一次，应补尽补、应退则退。加快建档立卡重度残疾人衔接推进乡村振兴补助资金的信息化建设，加强对残疾人基本信息的实时监测、比对、归纳分析和动态管理。</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（3）各镇（街道）要切实履行属地主体责任，做好建档立卡重度残疾人衔接推进乡村振兴补助资金的申报和初审工作。</w:t>
      </w:r>
    </w:p>
    <w:p>
      <w:pPr>
        <w:pStyle w:val="8"/>
        <w:keepNext w:val="0"/>
        <w:keepLines w:val="0"/>
        <w:pageBreakBefore w:val="0"/>
        <w:widowControl w:val="0"/>
        <w:numPr>
          <w:numId w:val="0"/>
        </w:numPr>
        <w:kinsoku/>
        <w:wordWrap/>
        <w:overflowPunct/>
        <w:topLinePunct w:val="0"/>
        <w:autoSpaceDE/>
        <w:autoSpaceDN/>
        <w:bidi w:val="0"/>
        <w:adjustRightInd/>
        <w:snapToGrid/>
        <w:spacing w:line="630" w:lineRule="exact"/>
        <w:ind w:leftChars="0" w:firstLine="640" w:firstLineChars="200"/>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（三）医疗帮扶</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黑体" w:eastAsia="仿宋_GB2312" w:cs="黑体"/>
          <w:color w:val="auto"/>
          <w:sz w:val="32"/>
          <w:szCs w:val="32"/>
        </w:rPr>
        <w:t>1.门诊帮扶。</w:t>
      </w:r>
      <w:r>
        <w:rPr>
          <w:rFonts w:hint="eastAsia" w:ascii="仿宋_GB2312" w:hAnsi="仿宋_GB2312" w:eastAsia="仿宋_GB2312" w:cs="仿宋_GB2312"/>
          <w:color w:val="auto"/>
          <w:sz w:val="32"/>
          <w:szCs w:val="32"/>
        </w:rPr>
        <w:t>脱贫享受政策人口患者按照属地化管理原则到定点医疗机构就诊，享受“三免六减半”优惠。“三免”包括便民惠民门诊免收普通门诊挂号费、诊查费(含基层医疗机构一般诊疗费)、门诊病历工本费:“六减半”包括门诊心电图、B超、胸部透视、治疗费、专家门诊诊查费、大型设备检查费减半收取。脱贫享受政策人口患者门诊费用，经医疗机构减免、居民基本医疗保险报销、医疗救助后，剩余应由患者个人承担的医保统筹范围内部分，由医疗帮扶衔接推进乡村振兴补助资金根据费用额度按比例分段帮扶1000元以下部分帮扶50%;1000元(含)以上部分帮扶80%，诊疗费用当次结算。</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黑体" w:eastAsia="仿宋_GB2312" w:cs="黑体"/>
          <w:color w:val="auto"/>
          <w:sz w:val="32"/>
          <w:szCs w:val="32"/>
        </w:rPr>
        <w:t>2.慢病帮扶。</w:t>
      </w:r>
      <w:r>
        <w:rPr>
          <w:rFonts w:hint="eastAsia" w:ascii="仿宋_GB2312" w:hAnsi="仿宋_GB2312" w:eastAsia="仿宋_GB2312" w:cs="仿宋_GB2312"/>
          <w:color w:val="auto"/>
          <w:sz w:val="32"/>
          <w:szCs w:val="32"/>
        </w:rPr>
        <w:t>在取消脱贫享受政策人口居民基本医疗保险门诊规定病种起付标准基础上，对10种长期服药慢性病患者实施帮扶:高血压、2型糖尿病、冠心病、脑卒中、慢性阻塞性肺病(慢性支气管炎、肺气肿)、骨关节炎、肝病(自身免疫性肝炎、肝硬变、胆管炎、病毒性肝炎)、消化道疾病(胃炎、肠炎、溃疡)、前列腺疾病、皮肤病(湿疹、荨麻疹)。10种长期服药慢性病脱贫享受政策人口患者，根据年度疾病筛查确定的个性化治疗方案，经定点医疗机构门诊定期诊断，在规定用药目录范围内确定用药种类，费用在享受居民基本医疗保险报销后，自付费用全部由医疗帮扶衔接推进乡村振兴补助资金承担。药品经镇街定点医疗机构配发到村级卫生室，慢性病脱贫享受政策人口患者持定点医疗机构出具的个性化治疗方案复本，到各级医疗点免费领取，行动困难患者由乡村医生送药上门。患者一次门诊购药量可遵医嘱放宽到1个月用量。按乡村医生服务区域内配发的慢性病药物总费用20%的额度，对乡医的医疗服务给予补贴，补贴费由医疗帮扶衔接推进乡村振兴补助资金支付。</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黑体" w:eastAsia="仿宋_GB2312" w:cs="黑体"/>
          <w:color w:val="auto"/>
          <w:sz w:val="32"/>
          <w:szCs w:val="32"/>
        </w:rPr>
        <w:t>3.住院帮扶。</w:t>
      </w:r>
      <w:r>
        <w:rPr>
          <w:rFonts w:hint="eastAsia" w:ascii="仿宋_GB2312" w:hAnsi="仿宋_GB2312" w:eastAsia="仿宋_GB2312" w:cs="仿宋_GB2312"/>
          <w:color w:val="auto"/>
          <w:sz w:val="32"/>
          <w:szCs w:val="32"/>
        </w:rPr>
        <w:t>实行出县区域治疗转诊制度。脱贫享受政策人口患者就诊实行属地化管理，原则上在县区域内定点医疗机构就诊。确需到县区域外就诊的，按相关转诊规范办理转诊手续，由县区级定点医疗机构转诊到市或省三级综合医院及专科医院就诊。治疗结束后持相关票据和转诊凭证，到所在镇(街道)定点医疗机构办理医疗帮扶报销、减免手续。因病情危急无法立即履行转诊手续的在到上级医疗机构就诊7个工作日内补办转诊手续。病情达不到转诊要求的不予办理转诊手续。不执行转诊制度、不履行转诊手续的，不享受医疗帮扶政策。</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脱贫享受政策人口患者住院费用，经居民基本医疗保险和大病保险报销、医疗机构减免、医疗救助后，剩余医保统筹范围内自付部分，由医疗帮扶衔接推进乡村振兴补助资金承担。住院费用当次结清。贫困人口患者住院费用经各类帮扶后,个人实际支出数额仍较大的,由市卫健委组织医疗专家组进行审核,年底进行专项帮扶,费用从医疗帮扶衔接推进乡村振兴补助资金支出。</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黑体" w:eastAsia="仿宋_GB2312" w:cs="黑体"/>
          <w:color w:val="auto"/>
          <w:sz w:val="32"/>
          <w:szCs w:val="32"/>
        </w:rPr>
        <w:t>4.失能人员护理。</w:t>
      </w:r>
      <w:r>
        <w:rPr>
          <w:rFonts w:hint="eastAsia" w:ascii="仿宋_GB2312" w:hAnsi="仿宋_GB2312" w:eastAsia="仿宋_GB2312" w:cs="仿宋_GB2312"/>
          <w:color w:val="auto"/>
          <w:sz w:val="32"/>
          <w:szCs w:val="32"/>
        </w:rPr>
        <w:t>认定为失能人员的脱贫享受政策人口，给予护理费补贴。60周岁以下每人每月补贴150元，从医疗帮扶衔接推进乡村振兴补助资金中支出。</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三、保障措施</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（一）强化组织领导。</w:t>
      </w:r>
      <w:r>
        <w:rPr>
          <w:rFonts w:hint="eastAsia" w:ascii="仿宋_GB2312" w:hAnsi="仿宋_GB2312" w:eastAsia="仿宋_GB2312" w:cs="仿宋_GB2312"/>
          <w:color w:val="auto"/>
          <w:sz w:val="32"/>
          <w:szCs w:val="32"/>
        </w:rPr>
        <w:t>各单位要切实提高政治站位，强化政治担当，加强组织保障，周密部署，结合各自实际，采取切实有效的工作措施，确保脱贫成果稳固，动态监测及时，帮扶措施有效，实现脱贫攻坚与乡村振兴有效衔接。</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（二）强化作风建设。</w:t>
      </w:r>
      <w:r>
        <w:rPr>
          <w:rFonts w:hint="eastAsia" w:ascii="仿宋_GB2312" w:hAnsi="仿宋_GB2312" w:eastAsia="仿宋_GB2312" w:cs="仿宋_GB2312"/>
          <w:color w:val="auto"/>
          <w:sz w:val="32"/>
          <w:szCs w:val="32"/>
        </w:rPr>
        <w:t>各单位要盯紧盯牢矛盾问题和薄弱环节，敢于担当、一抓到底，坚决防止和克服形式主义、官僚主义，坚决克服思想懈怠、工作落实力度不强的不良作风，增强责任感和使命感，主动承担责任，主动谋划工作，主动完成任务。</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（三）强化督查督导</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color w:val="auto"/>
          <w:sz w:val="32"/>
          <w:szCs w:val="32"/>
        </w:rPr>
        <w:t>进一步压紧压实巩固脱贫工作成果责任，按照“谁主管谁负责”的原则，确保政策不断，帮扶不断，坚决守住不发生规模性反贫的底线。各部门要持续强化主体责任，不断定期开展督查督导，为巩固脱贫攻坚成果同乡村振兴进行有效衔接打下坚实基础。</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四、本方案自2021年1月1日起开始执行，试行期为一年。</w:t>
      </w:r>
    </w:p>
    <w:p>
      <w:pPr>
        <w:keepNext w:val="0"/>
        <w:keepLines w:val="0"/>
        <w:pageBreakBefore w:val="0"/>
        <w:widowControl w:val="0"/>
        <w:kinsoku/>
        <w:wordWrap/>
        <w:overflowPunct/>
        <w:topLinePunct w:val="0"/>
        <w:autoSpaceDE/>
        <w:autoSpaceDN/>
        <w:bidi w:val="0"/>
        <w:adjustRightInd/>
        <w:snapToGrid/>
        <w:spacing w:line="630" w:lineRule="exact"/>
        <w:ind w:firstLine="31680"/>
        <w:textAlignment w:val="auto"/>
        <w:rPr>
          <w:rFonts w:ascii="仿宋_GB2312" w:eastAsia="仿宋_GB2312"/>
          <w:color w:val="auto"/>
          <w:sz w:val="32"/>
          <w:szCs w:val="32"/>
        </w:rPr>
      </w:pPr>
      <w:r>
        <w:rPr>
          <w:rFonts w:hint="eastAsia" w:ascii="楷体_GB2312" w:eastAsia="楷体_GB2312"/>
          <w:color w:val="auto"/>
          <w:sz w:val="32"/>
          <w:szCs w:val="32"/>
        </w:rPr>
        <w:t>（</w:t>
      </w:r>
    </w:p>
    <w:p>
      <w:pPr>
        <w:keepNext w:val="0"/>
        <w:keepLines w:val="0"/>
        <w:pageBreakBefore w:val="0"/>
        <w:widowControl w:val="0"/>
        <w:tabs>
          <w:tab w:val="left" w:pos="1701"/>
        </w:tabs>
        <w:kinsoku/>
        <w:wordWrap/>
        <w:overflowPunct/>
        <w:topLinePunct w:val="0"/>
        <w:autoSpaceDE/>
        <w:autoSpaceDN/>
        <w:bidi w:val="0"/>
        <w:adjustRightInd/>
        <w:snapToGri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附件：平阴县建档立卡重度残疾人衔接推进乡村振兴补助资</w:t>
      </w:r>
    </w:p>
    <w:p>
      <w:pPr>
        <w:keepNext w:val="0"/>
        <w:keepLines w:val="0"/>
        <w:pageBreakBefore w:val="0"/>
        <w:widowControl w:val="0"/>
        <w:tabs>
          <w:tab w:val="left" w:pos="1701"/>
        </w:tabs>
        <w:kinsoku/>
        <w:wordWrap/>
        <w:overflowPunct/>
        <w:topLinePunct w:val="0"/>
        <w:autoSpaceDE/>
        <w:autoSpaceDN/>
        <w:bidi w:val="0"/>
        <w:adjustRightInd/>
        <w:snapToGrid/>
        <w:spacing w:line="630" w:lineRule="exact"/>
        <w:ind w:firstLine="1600" w:firstLineChars="500"/>
        <w:textAlignment w:val="auto"/>
        <w:rPr>
          <w:rFonts w:ascii="仿宋_GB2312" w:eastAsia="仿宋_GB2312"/>
          <w:color w:val="auto"/>
          <w:sz w:val="32"/>
          <w:szCs w:val="32"/>
        </w:rPr>
      </w:pPr>
      <w:r>
        <w:rPr>
          <w:rFonts w:hint="eastAsia" w:ascii="仿宋_GB2312" w:eastAsia="仿宋_GB2312"/>
          <w:color w:val="auto"/>
          <w:sz w:val="32"/>
          <w:szCs w:val="32"/>
        </w:rPr>
        <w:t>金申请审批表</w:t>
      </w:r>
    </w:p>
    <w:p>
      <w:pPr>
        <w:tabs>
          <w:tab w:val="left" w:pos="1701"/>
        </w:tabs>
        <w:spacing w:line="560" w:lineRule="exact"/>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黑体" w:hAnsi="黑体" w:eastAsia="黑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3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平阴县建档立卡重度残疾人衔接推进乡村振兴补助资金申请审批表</w:t>
      </w:r>
    </w:p>
    <w:tbl>
      <w:tblPr>
        <w:tblStyle w:val="5"/>
        <w:tblW w:w="91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01"/>
        <w:gridCol w:w="801"/>
        <w:gridCol w:w="602"/>
        <w:gridCol w:w="783"/>
        <w:gridCol w:w="365"/>
        <w:gridCol w:w="885"/>
        <w:gridCol w:w="816"/>
        <w:gridCol w:w="17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8" w:type="dxa"/>
            <w:tcBorders>
              <w:top w:val="single" w:color="auto" w:sz="8" w:space="0"/>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姓</w:t>
            </w:r>
            <w:r>
              <w:rPr>
                <w:rFonts w:ascii="仿宋_GB2312" w:eastAsia="仿宋_GB2312"/>
                <w:color w:val="auto"/>
                <w:sz w:val="28"/>
                <w:szCs w:val="28"/>
              </w:rPr>
              <w:t xml:space="preserve">  </w:t>
            </w:r>
            <w:r>
              <w:rPr>
                <w:rFonts w:hint="eastAsia" w:ascii="仿宋_GB2312" w:eastAsia="仿宋_GB2312"/>
                <w:color w:val="auto"/>
                <w:sz w:val="28"/>
                <w:szCs w:val="28"/>
              </w:rPr>
              <w:t>名</w:t>
            </w:r>
          </w:p>
        </w:tc>
        <w:tc>
          <w:tcPr>
            <w:tcW w:w="1401" w:type="dxa"/>
            <w:tcBorders>
              <w:top w:val="single" w:color="auto" w:sz="8" w:space="0"/>
            </w:tcBorders>
            <w:vAlign w:val="center"/>
          </w:tcPr>
          <w:p>
            <w:pPr>
              <w:ind w:firstLine="31680"/>
              <w:jc w:val="center"/>
              <w:rPr>
                <w:rFonts w:ascii="仿宋_GB2312" w:eastAsia="仿宋_GB2312"/>
                <w:color w:val="auto"/>
                <w:sz w:val="28"/>
                <w:szCs w:val="28"/>
              </w:rPr>
            </w:pPr>
          </w:p>
        </w:tc>
        <w:tc>
          <w:tcPr>
            <w:tcW w:w="1403" w:type="dxa"/>
            <w:gridSpan w:val="2"/>
            <w:tcBorders>
              <w:top w:val="single" w:color="auto" w:sz="8" w:space="0"/>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性</w:t>
            </w:r>
            <w:r>
              <w:rPr>
                <w:rFonts w:ascii="仿宋_GB2312" w:eastAsia="仿宋_GB2312"/>
                <w:color w:val="auto"/>
                <w:sz w:val="28"/>
                <w:szCs w:val="28"/>
              </w:rPr>
              <w:t xml:space="preserve">  </w:t>
            </w:r>
            <w:r>
              <w:rPr>
                <w:rFonts w:hint="eastAsia" w:ascii="仿宋_GB2312" w:eastAsia="仿宋_GB2312"/>
                <w:color w:val="auto"/>
                <w:sz w:val="28"/>
                <w:szCs w:val="28"/>
              </w:rPr>
              <w:t>别</w:t>
            </w:r>
          </w:p>
        </w:tc>
        <w:tc>
          <w:tcPr>
            <w:tcW w:w="783" w:type="dxa"/>
            <w:tcBorders>
              <w:top w:val="single" w:color="auto" w:sz="8" w:space="0"/>
            </w:tcBorders>
            <w:vAlign w:val="center"/>
          </w:tcPr>
          <w:p>
            <w:pPr>
              <w:ind w:firstLine="31680"/>
              <w:jc w:val="center"/>
              <w:rPr>
                <w:rFonts w:ascii="仿宋_GB2312" w:eastAsia="仿宋_GB2312"/>
                <w:color w:val="auto"/>
                <w:sz w:val="28"/>
                <w:szCs w:val="28"/>
              </w:rPr>
            </w:pPr>
          </w:p>
        </w:tc>
        <w:tc>
          <w:tcPr>
            <w:tcW w:w="1250" w:type="dxa"/>
            <w:gridSpan w:val="2"/>
            <w:tcBorders>
              <w:top w:val="single" w:color="auto" w:sz="8" w:space="0"/>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民</w:t>
            </w:r>
            <w:r>
              <w:rPr>
                <w:rFonts w:ascii="仿宋_GB2312" w:eastAsia="仿宋_GB2312"/>
                <w:color w:val="auto"/>
                <w:sz w:val="28"/>
                <w:szCs w:val="28"/>
              </w:rPr>
              <w:t xml:space="preserve"> </w:t>
            </w:r>
            <w:r>
              <w:rPr>
                <w:rFonts w:hint="eastAsia" w:ascii="仿宋_GB2312" w:eastAsia="仿宋_GB2312"/>
                <w:color w:val="auto"/>
                <w:sz w:val="28"/>
                <w:szCs w:val="28"/>
              </w:rPr>
              <w:t>族</w:t>
            </w:r>
          </w:p>
        </w:tc>
        <w:tc>
          <w:tcPr>
            <w:tcW w:w="816" w:type="dxa"/>
            <w:tcBorders>
              <w:top w:val="single" w:color="auto" w:sz="8" w:space="0"/>
            </w:tcBorders>
            <w:vAlign w:val="center"/>
          </w:tcPr>
          <w:p>
            <w:pPr>
              <w:ind w:firstLine="31680"/>
              <w:jc w:val="center"/>
              <w:rPr>
                <w:rFonts w:ascii="仿宋_GB2312" w:eastAsia="仿宋_GB2312"/>
                <w:color w:val="auto"/>
                <w:sz w:val="28"/>
                <w:szCs w:val="28"/>
              </w:rPr>
            </w:pPr>
          </w:p>
        </w:tc>
        <w:tc>
          <w:tcPr>
            <w:tcW w:w="1787" w:type="dxa"/>
            <w:vMerge w:val="restart"/>
            <w:tcBorders>
              <w:top w:val="single" w:color="auto" w:sz="8" w:space="0"/>
            </w:tcBorders>
            <w:vAlign w:val="center"/>
          </w:tcPr>
          <w:p>
            <w:pPr>
              <w:ind w:firstLine="31680"/>
              <w:jc w:val="center"/>
              <w:rPr>
                <w:rFonts w:ascii="仿宋_GB2312" w:eastAsia="仿宋_GB2312"/>
                <w:color w:val="auto"/>
                <w:sz w:val="24"/>
                <w:szCs w:val="24"/>
              </w:rPr>
            </w:pPr>
            <w:r>
              <w:rPr>
                <w:rFonts w:hint="eastAsia" w:ascii="仿宋_GB2312" w:eastAsia="仿宋_GB2312"/>
                <w:color w:val="auto"/>
                <w:sz w:val="28"/>
                <w:szCs w:val="28"/>
              </w:rPr>
              <w:t>（</w:t>
            </w:r>
            <w:r>
              <w:rPr>
                <w:rFonts w:ascii="仿宋_GB2312" w:eastAsia="仿宋_GB2312"/>
                <w:color w:val="auto"/>
                <w:sz w:val="24"/>
                <w:szCs w:val="24"/>
              </w:rPr>
              <w:t>2</w:t>
            </w:r>
            <w:r>
              <w:rPr>
                <w:rFonts w:hint="eastAsia" w:ascii="仿宋_GB2312" w:eastAsia="仿宋_GB2312"/>
                <w:color w:val="auto"/>
                <w:sz w:val="24"/>
                <w:szCs w:val="24"/>
              </w:rPr>
              <w:t>寸照片</w:t>
            </w:r>
          </w:p>
          <w:p>
            <w:pPr>
              <w:ind w:firstLine="31680"/>
              <w:jc w:val="center"/>
              <w:rPr>
                <w:rFonts w:ascii="仿宋_GB2312" w:eastAsia="仿宋_GB2312"/>
                <w:color w:val="auto"/>
                <w:sz w:val="28"/>
                <w:szCs w:val="28"/>
              </w:rPr>
            </w:pPr>
            <w:r>
              <w:rPr>
                <w:rFonts w:hint="eastAsia" w:ascii="仿宋_GB2312" w:eastAsia="仿宋_GB2312"/>
                <w:color w:val="auto"/>
                <w:sz w:val="24"/>
                <w:szCs w:val="24"/>
              </w:rPr>
              <w:t>粘贴处）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8"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残疾类别</w:t>
            </w:r>
          </w:p>
        </w:tc>
        <w:tc>
          <w:tcPr>
            <w:tcW w:w="1401" w:type="dxa"/>
            <w:vAlign w:val="center"/>
          </w:tcPr>
          <w:p>
            <w:pPr>
              <w:ind w:firstLine="31680"/>
              <w:jc w:val="center"/>
              <w:rPr>
                <w:rFonts w:ascii="仿宋_GB2312" w:eastAsia="仿宋_GB2312"/>
                <w:color w:val="auto"/>
                <w:sz w:val="28"/>
                <w:szCs w:val="28"/>
              </w:rPr>
            </w:pPr>
          </w:p>
        </w:tc>
        <w:tc>
          <w:tcPr>
            <w:tcW w:w="1403" w:type="dxa"/>
            <w:gridSpan w:val="2"/>
            <w:vAlign w:val="center"/>
          </w:tcPr>
          <w:p>
            <w:pPr>
              <w:jc w:val="center"/>
              <w:rPr>
                <w:rFonts w:ascii="仿宋_GB2312" w:eastAsia="仿宋_GB2312"/>
                <w:color w:val="auto"/>
                <w:sz w:val="28"/>
                <w:szCs w:val="28"/>
              </w:rPr>
            </w:pPr>
            <w:r>
              <w:rPr>
                <w:rFonts w:hint="eastAsia" w:ascii="仿宋_GB2312" w:eastAsia="仿宋_GB2312"/>
                <w:color w:val="auto"/>
                <w:sz w:val="28"/>
                <w:szCs w:val="28"/>
              </w:rPr>
              <w:t>残疾等级</w:t>
            </w:r>
          </w:p>
        </w:tc>
        <w:tc>
          <w:tcPr>
            <w:tcW w:w="2849" w:type="dxa"/>
            <w:gridSpan w:val="4"/>
            <w:vAlign w:val="center"/>
          </w:tcPr>
          <w:p>
            <w:pPr>
              <w:ind w:firstLine="31680"/>
              <w:jc w:val="center"/>
              <w:rPr>
                <w:rFonts w:ascii="仿宋_GB2312" w:eastAsia="仿宋_GB2312"/>
                <w:color w:val="auto"/>
                <w:sz w:val="28"/>
                <w:szCs w:val="28"/>
              </w:rPr>
            </w:pPr>
          </w:p>
        </w:tc>
        <w:tc>
          <w:tcPr>
            <w:tcW w:w="1787" w:type="dxa"/>
            <w:vMerge w:val="continue"/>
            <w:tcBorders>
              <w:top w:val="single" w:color="auto" w:sz="8" w:space="0"/>
            </w:tcBorders>
            <w:vAlign w:val="center"/>
          </w:tcPr>
          <w:p>
            <w:pPr>
              <w:rPr>
                <w:rFonts w:ascii="仿宋_GB2312"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8"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家庭住址</w:t>
            </w:r>
          </w:p>
        </w:tc>
        <w:tc>
          <w:tcPr>
            <w:tcW w:w="5653" w:type="dxa"/>
            <w:gridSpan w:val="7"/>
            <w:vAlign w:val="center"/>
          </w:tcPr>
          <w:p>
            <w:pPr>
              <w:ind w:firstLine="31680"/>
              <w:jc w:val="center"/>
              <w:rPr>
                <w:rFonts w:ascii="仿宋_GB2312" w:eastAsia="仿宋_GB2312"/>
                <w:color w:val="auto"/>
                <w:sz w:val="28"/>
                <w:szCs w:val="28"/>
              </w:rPr>
            </w:pPr>
          </w:p>
        </w:tc>
        <w:tc>
          <w:tcPr>
            <w:tcW w:w="1787" w:type="dxa"/>
            <w:vMerge w:val="continue"/>
            <w:tcBorders>
              <w:top w:val="single" w:color="auto" w:sz="8" w:space="0"/>
            </w:tcBorders>
            <w:vAlign w:val="center"/>
          </w:tcPr>
          <w:p>
            <w:pPr>
              <w:rPr>
                <w:rFonts w:ascii="仿宋_GB2312"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8"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身份证号码</w:t>
            </w:r>
          </w:p>
        </w:tc>
        <w:tc>
          <w:tcPr>
            <w:tcW w:w="5653" w:type="dxa"/>
            <w:gridSpan w:val="7"/>
            <w:vAlign w:val="center"/>
          </w:tcPr>
          <w:p>
            <w:pPr>
              <w:ind w:firstLine="31680"/>
              <w:jc w:val="center"/>
              <w:rPr>
                <w:rFonts w:ascii="仿宋_GB2312" w:eastAsia="仿宋_GB2312"/>
                <w:color w:val="auto"/>
                <w:sz w:val="28"/>
                <w:szCs w:val="28"/>
              </w:rPr>
            </w:pPr>
          </w:p>
        </w:tc>
        <w:tc>
          <w:tcPr>
            <w:tcW w:w="1787" w:type="dxa"/>
            <w:vMerge w:val="continue"/>
            <w:tcBorders>
              <w:top w:val="single" w:color="auto" w:sz="8" w:space="0"/>
            </w:tcBorders>
            <w:vAlign w:val="center"/>
          </w:tcPr>
          <w:p>
            <w:pPr>
              <w:rPr>
                <w:rFonts w:ascii="仿宋_GB2312"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8"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残疾人证号</w:t>
            </w:r>
          </w:p>
        </w:tc>
        <w:tc>
          <w:tcPr>
            <w:tcW w:w="2202" w:type="dxa"/>
            <w:gridSpan w:val="2"/>
            <w:vAlign w:val="center"/>
          </w:tcPr>
          <w:p>
            <w:pPr>
              <w:ind w:firstLine="31680"/>
              <w:jc w:val="center"/>
              <w:rPr>
                <w:rFonts w:ascii="仿宋_GB2312" w:eastAsia="仿宋_GB2312"/>
                <w:color w:val="auto"/>
                <w:sz w:val="28"/>
                <w:szCs w:val="28"/>
              </w:rPr>
            </w:pPr>
          </w:p>
        </w:tc>
        <w:tc>
          <w:tcPr>
            <w:tcW w:w="1750" w:type="dxa"/>
            <w:gridSpan w:val="3"/>
            <w:vAlign w:val="center"/>
          </w:tcPr>
          <w:p>
            <w:pPr>
              <w:jc w:val="center"/>
              <w:rPr>
                <w:rFonts w:ascii="仿宋_GB2312" w:eastAsia="仿宋_GB2312"/>
                <w:color w:val="auto"/>
                <w:sz w:val="28"/>
                <w:szCs w:val="28"/>
              </w:rPr>
            </w:pPr>
            <w:r>
              <w:rPr>
                <w:rFonts w:hint="eastAsia" w:ascii="仿宋_GB2312" w:eastAsia="仿宋_GB2312"/>
                <w:color w:val="auto"/>
                <w:sz w:val="28"/>
                <w:szCs w:val="28"/>
              </w:rPr>
              <w:t>联系电话</w:t>
            </w:r>
          </w:p>
        </w:tc>
        <w:tc>
          <w:tcPr>
            <w:tcW w:w="3488" w:type="dxa"/>
            <w:gridSpan w:val="3"/>
            <w:vAlign w:val="center"/>
          </w:tcPr>
          <w:p>
            <w:pPr>
              <w:rPr>
                <w:rFonts w:ascii="仿宋_GB2312"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718"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镇（街道）</w:t>
            </w:r>
          </w:p>
          <w:p>
            <w:pPr>
              <w:jc w:val="center"/>
              <w:rPr>
                <w:rFonts w:ascii="仿宋_GB2312" w:eastAsia="仿宋_GB2312"/>
                <w:color w:val="auto"/>
                <w:sz w:val="28"/>
                <w:szCs w:val="28"/>
              </w:rPr>
            </w:pPr>
            <w:r>
              <w:rPr>
                <w:rFonts w:hint="eastAsia" w:ascii="仿宋_GB2312" w:eastAsia="仿宋_GB2312"/>
                <w:color w:val="auto"/>
                <w:sz w:val="28"/>
                <w:szCs w:val="28"/>
              </w:rPr>
              <w:t>残联意见</w:t>
            </w:r>
          </w:p>
        </w:tc>
        <w:tc>
          <w:tcPr>
            <w:tcW w:w="7440" w:type="dxa"/>
            <w:gridSpan w:val="8"/>
            <w:vAlign w:val="center"/>
          </w:tcPr>
          <w:p>
            <w:pPr>
              <w:ind w:firstLine="31680"/>
              <w:jc w:val="center"/>
              <w:rPr>
                <w:rFonts w:ascii="仿宋_GB2312"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718"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县残联</w:t>
            </w:r>
          </w:p>
          <w:p>
            <w:pPr>
              <w:jc w:val="center"/>
              <w:rPr>
                <w:rFonts w:ascii="仿宋_GB2312" w:eastAsia="仿宋_GB2312"/>
                <w:color w:val="auto"/>
                <w:sz w:val="28"/>
                <w:szCs w:val="28"/>
              </w:rPr>
            </w:pPr>
            <w:r>
              <w:rPr>
                <w:rFonts w:hint="eastAsia" w:ascii="仿宋_GB2312" w:eastAsia="仿宋_GB2312"/>
                <w:color w:val="auto"/>
                <w:sz w:val="28"/>
                <w:szCs w:val="28"/>
              </w:rPr>
              <w:t>审核意见</w:t>
            </w:r>
          </w:p>
        </w:tc>
        <w:tc>
          <w:tcPr>
            <w:tcW w:w="7440" w:type="dxa"/>
            <w:gridSpan w:val="8"/>
            <w:vAlign w:val="center"/>
          </w:tcPr>
          <w:p>
            <w:pPr>
              <w:ind w:firstLine="31680"/>
              <w:jc w:val="center"/>
              <w:rPr>
                <w:rFonts w:ascii="仿宋_GB2312" w:eastAsia="仿宋_GB2312"/>
                <w:color w:val="auto"/>
                <w:sz w:val="28"/>
                <w:szCs w:val="28"/>
              </w:rPr>
            </w:pPr>
          </w:p>
        </w:tc>
      </w:tr>
    </w:tbl>
    <w:p>
      <w:pPr>
        <w:spacing w:line="620" w:lineRule="exact"/>
        <w:rPr>
          <w:rFonts w:ascii="仿宋" w:hAnsi="仿宋" w:eastAsia="仿宋"/>
          <w:color w:val="auto"/>
          <w:sz w:val="28"/>
          <w:szCs w:val="28"/>
        </w:rPr>
      </w:pPr>
      <w:r>
        <w:rPr>
          <w:rFonts w:hint="eastAsia" w:ascii="黑体" w:hAnsi="黑体" w:eastAsia="黑体"/>
          <w:color w:val="auto"/>
          <w:sz w:val="28"/>
          <w:szCs w:val="28"/>
        </w:rPr>
        <w:t>注：</w:t>
      </w:r>
      <w:r>
        <w:rPr>
          <w:rFonts w:hint="eastAsia" w:ascii="仿宋_GB2312" w:hAnsi="华文楷体" w:eastAsia="仿宋_GB2312"/>
          <w:color w:val="auto"/>
          <w:sz w:val="28"/>
          <w:szCs w:val="28"/>
        </w:rPr>
        <w:t>此表一式二份，镇（街道）残联、县残联各存一份。</w:t>
      </w: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spacing w:line="600" w:lineRule="exact"/>
        <w:jc w:val="left"/>
        <w:rPr>
          <w:rFonts w:ascii="楷体_GB2312" w:hAnsi="楷体_GB2312" w:eastAsia="楷体_GB2312" w:cs="楷体_GB2312"/>
          <w:color w:val="auto"/>
          <w:sz w:val="32"/>
          <w:szCs w:val="32"/>
        </w:rPr>
      </w:pPr>
    </w:p>
    <w:p>
      <w:pPr>
        <w:keepNext w:val="0"/>
        <w:keepLines w:val="0"/>
        <w:pageBreakBefore w:val="0"/>
        <w:widowControl w:val="0"/>
        <w:pBdr>
          <w:top w:val="single" w:color="auto" w:sz="6" w:space="1"/>
          <w:left w:val="none" w:color="auto" w:sz="0" w:space="4"/>
          <w:bottom w:val="single" w:color="auto" w:sz="6" w:space="1"/>
          <w:right w:val="none" w:color="auto" w:sz="0" w:space="4"/>
          <w:between w:val="single" w:color="auto" w:sz="6" w:space="0"/>
        </w:pBdr>
        <w:tabs>
          <w:tab w:val="left" w:pos="8460"/>
        </w:tabs>
        <w:kinsoku/>
        <w:wordWrap/>
        <w:overflowPunct/>
        <w:topLinePunct w:val="0"/>
        <w:autoSpaceDE/>
        <w:autoSpaceDN/>
        <w:bidi w:val="0"/>
        <w:adjustRightInd/>
        <w:snapToGrid/>
        <w:spacing w:afterAutospacing="0" w:line="240" w:lineRule="auto"/>
        <w:ind w:right="0" w:firstLine="280" w:firstLineChars="100"/>
        <w:jc w:val="left"/>
        <w:textAlignment w:val="auto"/>
        <w:rPr>
          <w:rFonts w:ascii="楷体_GB2312" w:hAnsi="楷体_GB2312" w:eastAsia="楷体_GB2312" w:cs="楷体_GB2312"/>
          <w:color w:val="auto"/>
          <w:sz w:val="32"/>
          <w:szCs w:val="32"/>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503555</wp:posOffset>
                </wp:positionV>
                <wp:extent cx="2111375" cy="603250"/>
                <wp:effectExtent l="0" t="0" r="3175" b="6350"/>
                <wp:wrapNone/>
                <wp:docPr id="1" name="矩形 2"/>
                <wp:cNvGraphicFramePr/>
                <a:graphic xmlns:a="http://schemas.openxmlformats.org/drawingml/2006/main">
                  <a:graphicData uri="http://schemas.microsoft.com/office/word/2010/wordprocessingShape">
                    <wps:wsp>
                      <wps:cNvSpPr/>
                      <wps:spPr>
                        <a:xfrm>
                          <a:off x="601345" y="9808210"/>
                          <a:ext cx="2111375" cy="603250"/>
                        </a:xfrm>
                        <a:prstGeom prst="rect">
                          <a:avLst/>
                        </a:prstGeom>
                        <a:solidFill>
                          <a:srgbClr val="FFFFFF"/>
                        </a:solidFill>
                        <a:ln w="9525">
                          <a:noFill/>
                        </a:ln>
                      </wps:spPr>
                      <wps:bodyPr vert="horz" anchor="t" anchorCtr="0" upright="1"/>
                    </wps:wsp>
                  </a:graphicData>
                </a:graphic>
              </wp:anchor>
            </w:drawing>
          </mc:Choice>
          <mc:Fallback>
            <w:pict>
              <v:rect id="矩形 2" o:spid="_x0000_s1026" o:spt="1" style="position:absolute;left:0pt;margin-left:-23.55pt;margin-top:39.65pt;height:47.5pt;width:166.25pt;z-index:251659264;mso-width-relative:page;mso-height-relative:page;" fillcolor="#FFFFFF" filled="t" stroked="f" coordsize="21600,21600" o:gfxdata="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iypsNkAAAAKAQAADwAAAAAA&#10;AAABACAAAAAiAAAAZHJzL2Rvd25yZXYueG1sUEsBAhQAFAAAAAgAh07iQMfq7qvZAQAAmAMAAA4A&#10;AAAAAAAAAQAgAAAAKAEAAGRycy9lMm9Eb2MueG1sUEsFBgAAAAAGAAYAWQEAAHMFAAAAAA==&#10;">
                <v:fill on="t" focussize="0,0"/>
                <v:stroke on="f"/>
                <v:imagedata o:title=""/>
                <o:lock v:ext="edit" aspectratio="f"/>
              </v:rect>
            </w:pict>
          </mc:Fallback>
        </mc:AlternateContent>
      </w:r>
      <w:r>
        <w:rPr>
          <w:rFonts w:hint="eastAsia" w:ascii="仿宋_GB2312" w:hAnsi="仿宋_GB2312" w:eastAsia="仿宋_GB2312" w:cs="仿宋_GB2312"/>
          <w:color w:val="auto"/>
          <w:sz w:val="28"/>
          <w:szCs w:val="28"/>
        </w:rPr>
        <w:t xml:space="preserve">平阴县人民政府办公室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pacing w:val="17"/>
          <w:sz w:val="28"/>
          <w:szCs w:val="28"/>
        </w:rPr>
        <w:t>20</w:t>
      </w:r>
      <w:r>
        <w:rPr>
          <w:rFonts w:hint="eastAsia" w:ascii="仿宋_GB2312" w:hAnsi="仿宋_GB2312" w:eastAsia="仿宋_GB2312" w:cs="仿宋_GB2312"/>
          <w:color w:val="auto"/>
          <w:spacing w:val="17"/>
          <w:sz w:val="28"/>
          <w:szCs w:val="28"/>
          <w:lang w:val="en-US" w:eastAsia="zh-CN"/>
        </w:rPr>
        <w:t>21</w:t>
      </w:r>
      <w:r>
        <w:rPr>
          <w:rFonts w:hint="eastAsia" w:ascii="仿宋_GB2312" w:hAnsi="仿宋_GB2312" w:eastAsia="仿宋_GB2312" w:cs="仿宋_GB2312"/>
          <w:color w:val="auto"/>
          <w:spacing w:val="17"/>
          <w:sz w:val="28"/>
          <w:szCs w:val="28"/>
        </w:rPr>
        <w:t>年</w:t>
      </w:r>
      <w:r>
        <w:rPr>
          <w:rFonts w:hint="eastAsia" w:ascii="仿宋_GB2312" w:hAnsi="仿宋_GB2312" w:cs="仿宋_GB2312"/>
          <w:color w:val="auto"/>
          <w:spacing w:val="17"/>
          <w:sz w:val="28"/>
          <w:szCs w:val="28"/>
          <w:lang w:val="en-US" w:eastAsia="zh-CN"/>
        </w:rPr>
        <w:t>6</w:t>
      </w:r>
      <w:r>
        <w:rPr>
          <w:rFonts w:hint="eastAsia" w:ascii="仿宋_GB2312" w:hAnsi="仿宋_GB2312" w:eastAsia="仿宋_GB2312" w:cs="仿宋_GB2312"/>
          <w:color w:val="auto"/>
          <w:spacing w:val="17"/>
          <w:sz w:val="28"/>
          <w:szCs w:val="28"/>
        </w:rPr>
        <w:t>月</w:t>
      </w:r>
      <w:r>
        <w:rPr>
          <w:rFonts w:hint="eastAsia" w:ascii="仿宋_GB2312" w:hAnsi="仿宋_GB2312" w:cs="仿宋_GB2312"/>
          <w:color w:val="auto"/>
          <w:spacing w:val="17"/>
          <w:sz w:val="28"/>
          <w:szCs w:val="28"/>
          <w:lang w:val="en-US" w:eastAsia="zh-CN"/>
        </w:rPr>
        <w:t>28</w:t>
      </w:r>
      <w:r>
        <w:rPr>
          <w:rFonts w:hint="eastAsia" w:ascii="仿宋_GB2312" w:hAnsi="仿宋_GB2312" w:eastAsia="仿宋_GB2312" w:cs="仿宋_GB2312"/>
          <w:color w:val="auto"/>
          <w:sz w:val="28"/>
          <w:szCs w:val="28"/>
        </w:rPr>
        <w:t>日印发</w:t>
      </w: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modern"/>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-80010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rPr>
                            <w:t xml:space="preserve">— </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6.3pt;height:144pt;width:144pt;mso-position-horizontal:outside;mso-position-horizontal-relative:margin;mso-wrap-style:none;z-index:251660288;mso-width-relative:page;mso-height-relative:page;" filled="f" stroked="f" coordsize="21600,21600" o:gfxdata="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eYKjVAAAA&#10;CAEAAA8AAAAAAAAAAQAgAAAAIgAAAGRycy9kb3ducmV2LnhtbFBLAQIUABQAAAAIAIdO4kDYvstW&#10;5wEAAMcDAAAOAAAAAAAAAAEAIAAAACQBAABkcnMvZTJvRG9jLnhtbFBLBQYAAAAABgAGAFkBAAB9&#10;BQAAAAA=&#10;">
              <v:fill on="f" focussize="0,0"/>
              <v:stroke on="f"/>
              <v:imagedata o:title=""/>
              <o:lock v:ext="edit" aspectratio="f"/>
              <v:textbox inset="0mm,0mm,0mm,0mm" style="mso-fit-shape-to-text:t;">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rPr>
                      <w:t xml:space="preserve">— </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806A2"/>
    <w:rsid w:val="001F5AF4"/>
    <w:rsid w:val="002C5C1C"/>
    <w:rsid w:val="007878E6"/>
    <w:rsid w:val="008F2E1A"/>
    <w:rsid w:val="009814E2"/>
    <w:rsid w:val="00B7693A"/>
    <w:rsid w:val="00D35742"/>
    <w:rsid w:val="00E47D19"/>
    <w:rsid w:val="0CEB2D33"/>
    <w:rsid w:val="0EFE417E"/>
    <w:rsid w:val="4B2806A2"/>
    <w:rsid w:val="4EFC66F4"/>
    <w:rsid w:val="572F54F4"/>
    <w:rsid w:val="697A2ABB"/>
    <w:rsid w:val="6B98224F"/>
    <w:rsid w:val="79BA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eastAsia="黑体"/>
      <w:sz w:val="4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2883</Words>
  <Characters>2931</Characters>
  <Lines>21</Lines>
  <Paragraphs>6</Paragraphs>
  <TotalTime>1</TotalTime>
  <ScaleCrop>false</ScaleCrop>
  <LinksUpToDate>false</LinksUpToDate>
  <CharactersWithSpaces>2990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2021-06-30T01:06:00Z</dcterms:created>
  <dc:creator>F</dc:creator>
  <cp:lastModifiedBy>恒达15726156519</cp:lastModifiedBy>
  <cp:lastPrinted>2021-07-02T07:49:49Z</cp:lastPrinted>
  <dcterms:modified xsi:type="dcterms:W3CDTF">2021-07-02T07:52:15Z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16827DA825214781BED98B1E647680F3</vt:lpwstr>
  </property>
</Properties>
</file>