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0"/>
        </w:tabs>
        <w:spacing w:line="76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关于对《关于印发&lt;济南市综合行政执法</w:t>
      </w:r>
    </w:p>
    <w:p>
      <w:pPr>
        <w:tabs>
          <w:tab w:val="left" w:pos="320"/>
        </w:tabs>
        <w:spacing w:line="76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基层中队规范化建设标准&gt;的通知》的解读</w:t>
      </w:r>
    </w:p>
    <w:p>
      <w:pPr>
        <w:tabs>
          <w:tab w:val="left" w:pos="320"/>
        </w:tabs>
      </w:pPr>
    </w:p>
    <w:p>
      <w:pPr>
        <w:tabs>
          <w:tab w:val="left" w:pos="320"/>
        </w:tabs>
        <w:ind w:firstLine="640" w:firstLineChars="200"/>
        <w:rPr>
          <w:rFonts w:ascii="仿宋_GB2312"/>
          <w:szCs w:val="32"/>
        </w:rPr>
      </w:pPr>
      <w:r>
        <w:rPr>
          <w:rFonts w:hint="eastAsia" w:ascii="黑体" w:hAnsi="黑体" w:eastAsia="黑体"/>
        </w:rPr>
        <w:t>一、政策背景：</w:t>
      </w:r>
      <w:r>
        <w:rPr>
          <w:rFonts w:hint="eastAsia"/>
        </w:rPr>
        <w:t>为应对我市综合行政执法体质改革后新情况，解决办公场所、执法环境等新问题，2019年9月，市城管局制定出台了《济南市综合行政执法基层中队规范化建设标准（试行）》（</w:t>
      </w:r>
      <w:r>
        <w:rPr>
          <w:rFonts w:hint="eastAsia" w:ascii="仿宋_GB2312" w:hAnsi="文星标宋"/>
          <w:color w:val="000000"/>
          <w:szCs w:val="32"/>
        </w:rPr>
        <w:t>济城管发〔2019〕18号</w:t>
      </w:r>
      <w:r>
        <w:rPr>
          <w:rFonts w:hint="eastAsia"/>
        </w:rPr>
        <w:t>），经过2年试运行，完成规范化建设中队69个，占全市基层中队总数（169个）的40.8%全市，</w:t>
      </w:r>
      <w:r>
        <w:rPr>
          <w:rFonts w:hint="eastAsia" w:ascii="仿宋_GB2312" w:hAnsi="宋体"/>
          <w:szCs w:val="32"/>
        </w:rPr>
        <w:t>建设</w:t>
      </w:r>
      <w:r>
        <w:rPr>
          <w:rFonts w:hint="eastAsia" w:ascii="仿宋_GB2312" w:hAnsi="宋体"/>
          <w:color w:val="000000"/>
          <w:szCs w:val="32"/>
        </w:rPr>
        <w:t>质量远超预期，</w:t>
      </w:r>
      <w:r>
        <w:rPr>
          <w:rFonts w:hint="eastAsia" w:ascii="仿宋_GB2312" w:hAnsi="宋体"/>
          <w:szCs w:val="32"/>
        </w:rPr>
        <w:t>达标中队办公用房、办案条件得到根本改善，形象标识统一、醒目、严肃、规范，制度完善、保障加强、效能提升，</w:t>
      </w:r>
      <w:r>
        <w:rPr>
          <w:rFonts w:hint="eastAsia" w:ascii="仿宋_GB2312" w:hAnsi="宋体"/>
          <w:color w:val="000000"/>
          <w:szCs w:val="32"/>
        </w:rPr>
        <w:t>全市</w:t>
      </w:r>
      <w:r>
        <w:rPr>
          <w:rFonts w:hint="eastAsia" w:ascii="仿宋_GB2312" w:hAnsi="宋体"/>
          <w:szCs w:val="32"/>
        </w:rPr>
        <w:t>基层执法中队规范化建设水平实现大幅跃升。为进一步优化完善制度设计，坚持问题导向、科学实用、方便操作、制度衔接原则，经过充分调研、学习借鉴、征求意见，将</w:t>
      </w:r>
      <w:r>
        <w:rPr>
          <w:rFonts w:hint="eastAsia" w:ascii="仿宋_GB2312"/>
          <w:szCs w:val="32"/>
        </w:rPr>
        <w:t>运行两年的《</w:t>
      </w:r>
      <w:r>
        <w:rPr>
          <w:rFonts w:hint="eastAsia" w:ascii="仿宋_GB2312" w:hAnsi="文星标宋"/>
          <w:szCs w:val="32"/>
        </w:rPr>
        <w:t>济南市综合行政执法基层中队规范化建设标准（试行）</w:t>
      </w:r>
      <w:r>
        <w:rPr>
          <w:rFonts w:hint="eastAsia" w:ascii="仿宋_GB2312"/>
          <w:szCs w:val="32"/>
        </w:rPr>
        <w:t>》升级为长期正式文件。</w:t>
      </w:r>
    </w:p>
    <w:p>
      <w:pPr>
        <w:tabs>
          <w:tab w:val="left" w:pos="320"/>
        </w:tabs>
        <w:ind w:firstLine="640" w:firstLineChars="200"/>
        <w:rPr>
          <w:rFonts w:ascii="仿宋_GB2312" w:hAnsi="宋体"/>
          <w:color w:val="000000" w:themeColor="text1"/>
          <w:szCs w:val="32"/>
        </w:rPr>
      </w:pPr>
      <w:r>
        <w:rPr>
          <w:rFonts w:hint="eastAsia" w:ascii="黑体" w:hAnsi="黑体" w:eastAsia="黑体"/>
          <w:szCs w:val="32"/>
        </w:rPr>
        <w:t>二、决策依据：</w:t>
      </w:r>
      <w:r>
        <w:rPr>
          <w:rFonts w:hint="eastAsia" w:ascii="仿宋_GB2312"/>
          <w:szCs w:val="32"/>
        </w:rPr>
        <w:t>《城市管理执法装备配备指导标准（试行）》</w:t>
      </w:r>
      <w:r>
        <w:rPr>
          <w:rFonts w:hint="eastAsia" w:ascii="仿宋_GB2312" w:hAnsi="宋体"/>
          <w:szCs w:val="32"/>
        </w:rPr>
        <w:t>（建办督〔</w:t>
      </w:r>
      <w:r>
        <w:rPr>
          <w:rFonts w:ascii="仿宋_GB2312" w:hAnsi="宋体"/>
          <w:szCs w:val="32"/>
        </w:rPr>
        <w:t>2020</w:t>
      </w:r>
      <w:r>
        <w:rPr>
          <w:rFonts w:hint="eastAsia" w:ascii="仿宋_GB2312" w:hAnsi="宋体"/>
          <w:szCs w:val="32"/>
        </w:rPr>
        <w:t>〕</w:t>
      </w:r>
      <w:r>
        <w:rPr>
          <w:rFonts w:ascii="仿宋_GB2312" w:hAnsi="宋体"/>
          <w:szCs w:val="32"/>
        </w:rPr>
        <w:t>34</w:t>
      </w:r>
      <w:r>
        <w:rPr>
          <w:rFonts w:hint="eastAsia" w:ascii="仿宋_GB2312" w:hAnsi="宋体"/>
          <w:szCs w:val="32"/>
        </w:rPr>
        <w:t>号）、</w:t>
      </w:r>
      <w:r>
        <w:rPr>
          <w:rFonts w:hint="eastAsia" w:ascii="仿宋_GB2312"/>
          <w:szCs w:val="32"/>
        </w:rPr>
        <w:t>《关于严格规范城市管理执法行为严肃执法纪律的通知》</w:t>
      </w:r>
      <w:r>
        <w:rPr>
          <w:rFonts w:hint="eastAsia" w:ascii="仿宋_GB2312"/>
          <w:color w:val="000000" w:themeColor="text1"/>
          <w:szCs w:val="32"/>
        </w:rPr>
        <w:t>（建督[2018]23号）、《</w:t>
      </w:r>
      <w:r>
        <w:rPr>
          <w:rFonts w:hint="eastAsia" w:ascii="仿宋_GB2312"/>
          <w:szCs w:val="32"/>
        </w:rPr>
        <w:t>关于严格规范城市管理执法行的紧急通知》（</w:t>
      </w:r>
      <w:r>
        <w:rPr>
          <w:rFonts w:hint="eastAsia" w:ascii="仿宋_GB2312" w:hAnsi="宋体"/>
          <w:szCs w:val="32"/>
        </w:rPr>
        <w:t>建司局函督〔</w:t>
      </w:r>
      <w:r>
        <w:rPr>
          <w:rFonts w:ascii="仿宋_GB2312" w:hAnsi="宋体"/>
          <w:szCs w:val="32"/>
        </w:rPr>
        <w:t>2021</w:t>
      </w:r>
      <w:r>
        <w:rPr>
          <w:rFonts w:hint="eastAsia" w:ascii="仿宋_GB2312" w:hAnsi="宋体"/>
          <w:szCs w:val="32"/>
        </w:rPr>
        <w:t>〕</w:t>
      </w:r>
      <w:r>
        <w:rPr>
          <w:rFonts w:ascii="仿宋_GB2312" w:hAnsi="宋体"/>
          <w:szCs w:val="32"/>
        </w:rPr>
        <w:t>931</w:t>
      </w:r>
      <w:r>
        <w:rPr>
          <w:rFonts w:hint="eastAsia" w:ascii="仿宋_GB2312" w:hAnsi="宋体"/>
          <w:szCs w:val="32"/>
        </w:rPr>
        <w:t>号</w:t>
      </w:r>
      <w:r>
        <w:rPr>
          <w:rFonts w:hint="eastAsia" w:ascii="仿宋_GB2312"/>
          <w:szCs w:val="32"/>
        </w:rPr>
        <w:t>）、《关于巩固深化全国城市管理执法队伍“强基础、转作风、树形象”专项行动的通知》</w:t>
      </w:r>
      <w:r>
        <w:rPr>
          <w:rFonts w:hint="eastAsia" w:ascii="仿宋_GB2312"/>
          <w:color w:val="000000" w:themeColor="text1"/>
          <w:szCs w:val="32"/>
        </w:rPr>
        <w:t>（建督〔2021〕37号）、</w:t>
      </w:r>
      <w:r>
        <w:rPr>
          <w:rFonts w:hint="eastAsia" w:ascii="仿宋_GB2312" w:hAnsi="宋体"/>
          <w:color w:val="000000" w:themeColor="text1"/>
          <w:szCs w:val="32"/>
        </w:rPr>
        <w:t>《</w:t>
      </w:r>
      <w:r>
        <w:rPr>
          <w:rFonts w:hint="eastAsia" w:ascii="仿宋_GB2312" w:hAnsi="宋体"/>
          <w:szCs w:val="32"/>
        </w:rPr>
        <w:t>山东省全面推行行政执法公示制度执法全过程记录制</w:t>
      </w:r>
      <w:r>
        <w:rPr>
          <w:rFonts w:hint="eastAsia" w:ascii="仿宋_GB2312" w:hAnsi="宋体"/>
          <w:color w:val="000000" w:themeColor="text1"/>
          <w:szCs w:val="32"/>
        </w:rPr>
        <w:t>度重大执法决定法制审核制度实施方案》（鲁建法字〔2017〕5号）、《山东省行政执法全过程记录办法》（鲁建法字〔2017〕6号）、《山东省行政执法音像记录设备配备办法》（鲁司〔</w:t>
      </w:r>
      <w:r>
        <w:rPr>
          <w:rFonts w:ascii="仿宋_GB2312" w:hAnsi="宋体"/>
          <w:color w:val="000000" w:themeColor="text1"/>
          <w:szCs w:val="32"/>
        </w:rPr>
        <w:t>2020</w:t>
      </w:r>
      <w:r>
        <w:rPr>
          <w:rFonts w:hint="eastAsia" w:ascii="仿宋_GB2312" w:hAnsi="宋体"/>
          <w:color w:val="000000" w:themeColor="text1"/>
          <w:szCs w:val="32"/>
        </w:rPr>
        <w:t>〕</w:t>
      </w:r>
      <w:r>
        <w:rPr>
          <w:rFonts w:ascii="仿宋_GB2312" w:hAnsi="宋体"/>
          <w:color w:val="000000" w:themeColor="text1"/>
          <w:szCs w:val="32"/>
        </w:rPr>
        <w:t>85</w:t>
      </w:r>
      <w:r>
        <w:rPr>
          <w:rFonts w:hint="eastAsia" w:ascii="仿宋_GB2312" w:hAnsi="宋体"/>
          <w:color w:val="000000" w:themeColor="text1"/>
          <w:szCs w:val="32"/>
        </w:rPr>
        <w:t>号）、省住建厅《关于进一步规范城市管理执法行为的指导意见》（鲁建城管字〔</w:t>
      </w:r>
      <w:r>
        <w:rPr>
          <w:rFonts w:ascii="仿宋_GB2312" w:hAnsi="宋体"/>
          <w:color w:val="000000" w:themeColor="text1"/>
          <w:szCs w:val="32"/>
        </w:rPr>
        <w:t>2020</w:t>
      </w:r>
      <w:r>
        <w:rPr>
          <w:rFonts w:hint="eastAsia" w:ascii="仿宋_GB2312" w:hAnsi="宋体"/>
          <w:color w:val="000000" w:themeColor="text1"/>
          <w:szCs w:val="32"/>
        </w:rPr>
        <w:t>〕</w:t>
      </w:r>
      <w:r>
        <w:rPr>
          <w:rFonts w:ascii="仿宋_GB2312" w:hAnsi="宋体"/>
          <w:color w:val="000000" w:themeColor="text1"/>
          <w:szCs w:val="32"/>
        </w:rPr>
        <w:t>10</w:t>
      </w:r>
      <w:r>
        <w:rPr>
          <w:rFonts w:hint="eastAsia" w:ascii="仿宋_GB2312" w:hAnsi="宋体"/>
          <w:color w:val="000000" w:themeColor="text1"/>
          <w:szCs w:val="32"/>
        </w:rPr>
        <w:t>号）等文件。</w:t>
      </w:r>
    </w:p>
    <w:p>
      <w:pPr>
        <w:tabs>
          <w:tab w:val="left" w:pos="320"/>
        </w:tabs>
        <w:ind w:firstLine="640" w:firstLineChars="200"/>
        <w:rPr>
          <w:rFonts w:hint="eastAsia"/>
        </w:rPr>
      </w:pPr>
      <w:r>
        <w:rPr>
          <w:rFonts w:hint="eastAsia" w:ascii="黑体" w:hAnsi="黑体" w:eastAsia="黑体"/>
        </w:rPr>
        <w:t>三、出台目的：</w:t>
      </w:r>
      <w:r>
        <w:rPr>
          <w:rFonts w:hint="eastAsia"/>
        </w:rPr>
        <w:t>加强综合行政执法基层中队规范化建设，完善基础设施，规范执法行为，提高执法水平，加强执法保障，提升队伍形象。打造政治坚定、作风优良、纪律严明、廉洁务实、人民满意的新时代综合行政执法队伍，努力实现建设标准化、管理制度化、队伍正规化、执法规范化、装备现代化的目标。</w:t>
      </w:r>
    </w:p>
    <w:p>
      <w:pPr>
        <w:tabs>
          <w:tab w:val="left" w:pos="320"/>
        </w:tabs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四、重要举措</w:t>
      </w:r>
    </w:p>
    <w:p>
      <w:pPr>
        <w:tabs>
          <w:tab w:val="left" w:pos="320"/>
        </w:tabs>
        <w:ind w:firstLine="640" w:firstLineChars="200"/>
        <w:rPr>
          <w:rFonts w:hint="eastAsia"/>
        </w:rPr>
      </w:pPr>
      <w:r>
        <w:rPr>
          <w:rFonts w:hint="eastAsia"/>
        </w:rPr>
        <w:t>坚持以开展等级考核评定为抓手，强力推动基层中队规范化建设。</w:t>
      </w:r>
    </w:p>
    <w:p>
      <w:pPr>
        <w:tabs>
          <w:tab w:val="left" w:pos="320"/>
        </w:tabs>
        <w:ind w:firstLine="640" w:firstLineChars="200"/>
        <w:rPr>
          <w:rFonts w:hint="eastAsia"/>
        </w:rPr>
      </w:pPr>
      <w:r>
        <w:rPr>
          <w:rFonts w:hint="eastAsia" w:ascii="楷体_GB2312" w:eastAsia="楷体_GB2312"/>
        </w:rPr>
        <w:t>（一）出台配套政策。</w:t>
      </w:r>
      <w:r>
        <w:rPr>
          <w:rFonts w:hint="eastAsia"/>
        </w:rPr>
        <w:t>制定出台《济南市综合行政执法基层中队规范化建设等级考核评定办法》，对考核评定对象、等级、条件、程序、奖惩措施、实施细则等作出明确规定，与《济南市综合行政执法基层中队规范化建设标准》一起成为基层中队规范化建设的根本遵循。</w:t>
      </w:r>
    </w:p>
    <w:p>
      <w:pPr>
        <w:spacing w:line="54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楷体_GB2312" w:eastAsia="楷体_GB2312"/>
        </w:rPr>
        <w:t>（二）制定详细计划。</w:t>
      </w:r>
      <w:r>
        <w:rPr>
          <w:rFonts w:hint="eastAsia" w:ascii="仿宋_GB2312" w:hAnsi="宋体"/>
          <w:szCs w:val="32"/>
        </w:rPr>
        <w:t>组织制定</w:t>
      </w:r>
      <w:r>
        <w:rPr>
          <w:rFonts w:hint="eastAsia" w:ascii="仿宋_GB2312" w:hAnsi="仿宋_GB2312" w:cs="仿宋_GB2312"/>
          <w:szCs w:val="32"/>
        </w:rPr>
        <w:t>《济南市综合行政执法基层中队规范化建设三年计划（</w:t>
      </w:r>
      <w:r>
        <w:rPr>
          <w:rFonts w:ascii="仿宋_GB2312" w:hAnsi="仿宋_GB2312" w:cs="仿宋_GB2312"/>
          <w:szCs w:val="32"/>
        </w:rPr>
        <w:t>2020-2022</w:t>
      </w:r>
      <w:r>
        <w:rPr>
          <w:rFonts w:hint="eastAsia" w:ascii="仿宋_GB2312" w:hAnsi="仿宋_GB2312" w:cs="仿宋_GB2312"/>
          <w:szCs w:val="32"/>
        </w:rPr>
        <w:t>）》</w:t>
      </w:r>
      <w:r>
        <w:rPr>
          <w:rFonts w:hint="eastAsia" w:ascii="仿宋_GB2312" w:hAnsi="宋体"/>
          <w:b/>
          <w:szCs w:val="32"/>
        </w:rPr>
        <w:t>。</w:t>
      </w:r>
      <w:r>
        <w:rPr>
          <w:rFonts w:hint="eastAsia" w:ascii="仿宋_GB2312" w:hAnsi="宋体"/>
          <w:szCs w:val="32"/>
        </w:rPr>
        <w:t>围绕</w:t>
      </w:r>
      <w:r>
        <w:rPr>
          <w:rFonts w:hint="eastAsia" w:ascii="仿宋_GB2312" w:hAnsi="宋体"/>
          <w:b/>
          <w:szCs w:val="32"/>
        </w:rPr>
        <w:t>“</w:t>
      </w:r>
      <w:r>
        <w:rPr>
          <w:rFonts w:ascii="仿宋_GB2312" w:hAnsi="宋体"/>
          <w:szCs w:val="32"/>
        </w:rPr>
        <w:t>2020</w:t>
      </w:r>
      <w:r>
        <w:rPr>
          <w:rFonts w:hint="eastAsia" w:ascii="仿宋_GB2312" w:hAnsi="宋体"/>
          <w:szCs w:val="32"/>
        </w:rPr>
        <w:t>年达标中队数不少于</w:t>
      </w:r>
      <w:r>
        <w:rPr>
          <w:rFonts w:ascii="仿宋_GB2312" w:hAnsi="宋体"/>
          <w:szCs w:val="32"/>
        </w:rPr>
        <w:t>20%</w:t>
      </w:r>
      <w:r>
        <w:rPr>
          <w:rFonts w:hint="eastAsia" w:ascii="仿宋_GB2312" w:hAnsi="宋体"/>
          <w:szCs w:val="32"/>
        </w:rPr>
        <w:t>，</w:t>
      </w:r>
      <w:r>
        <w:rPr>
          <w:rFonts w:ascii="仿宋_GB2312" w:hAnsi="宋体"/>
          <w:szCs w:val="32"/>
        </w:rPr>
        <w:t>2021</w:t>
      </w:r>
      <w:r>
        <w:rPr>
          <w:rFonts w:hint="eastAsia" w:ascii="仿宋_GB2312" w:hAnsi="宋体"/>
          <w:szCs w:val="32"/>
        </w:rPr>
        <w:t>年不少于</w:t>
      </w:r>
      <w:r>
        <w:rPr>
          <w:rFonts w:ascii="仿宋_GB2312" w:hAnsi="宋体"/>
          <w:szCs w:val="32"/>
        </w:rPr>
        <w:t>50%</w:t>
      </w:r>
      <w:r>
        <w:rPr>
          <w:rFonts w:hint="eastAsia" w:ascii="仿宋_GB2312" w:hAnsi="宋体"/>
          <w:szCs w:val="32"/>
        </w:rPr>
        <w:t>，</w:t>
      </w:r>
      <w:r>
        <w:rPr>
          <w:rFonts w:ascii="仿宋_GB2312" w:hAnsi="宋体"/>
          <w:szCs w:val="32"/>
        </w:rPr>
        <w:t>2022</w:t>
      </w:r>
      <w:r>
        <w:rPr>
          <w:rFonts w:hint="eastAsia" w:ascii="仿宋_GB2312" w:hAnsi="宋体"/>
          <w:szCs w:val="32"/>
        </w:rPr>
        <w:t>年实现全覆盖</w:t>
      </w:r>
      <w:r>
        <w:rPr>
          <w:rFonts w:hint="eastAsia" w:ascii="仿宋_GB2312" w:hAnsi="宋体"/>
          <w:b/>
          <w:szCs w:val="32"/>
        </w:rPr>
        <w:t>”</w:t>
      </w:r>
      <w:r>
        <w:rPr>
          <w:rFonts w:hint="eastAsia" w:ascii="仿宋_GB2312" w:hAnsi="宋体"/>
          <w:szCs w:val="32"/>
        </w:rPr>
        <w:t>的建设目标，对三年建设作了全面、细致安排，明确了市局、各个区县局每个阶段目标、任务和时间节点，具体到每一个基层中队，成为推动中队规范化建设的路线图、施工图。</w:t>
      </w:r>
    </w:p>
    <w:p>
      <w:pPr>
        <w:spacing w:line="54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楷体_GB2312" w:eastAsia="楷体_GB2312"/>
          <w:szCs w:val="32"/>
        </w:rPr>
        <w:t>（三）强化交流指导。</w:t>
      </w:r>
      <w:r>
        <w:rPr>
          <w:rFonts w:hint="eastAsia" w:ascii="仿宋_GB2312" w:hAnsi="宋体"/>
          <w:b/>
          <w:szCs w:val="32"/>
        </w:rPr>
        <w:t>一是</w:t>
      </w:r>
      <w:r>
        <w:rPr>
          <w:rFonts w:hint="eastAsia" w:ascii="仿宋_GB2312" w:hAnsi="宋体"/>
          <w:szCs w:val="32"/>
        </w:rPr>
        <w:t>压实责任。明确各区县局分管领导和直接负责人，确保完成好本单位基层中队规范化建设的把关定向、任务落实、材料上报、督查督导等各项工作。</w:t>
      </w:r>
      <w:r>
        <w:rPr>
          <w:rFonts w:hint="eastAsia" w:ascii="仿宋_GB2312" w:hAnsi="宋体"/>
          <w:b/>
          <w:szCs w:val="32"/>
        </w:rPr>
        <w:t>二是</w:t>
      </w:r>
      <w:r>
        <w:rPr>
          <w:rFonts w:hint="eastAsia" w:ascii="仿宋_GB2312" w:hAnsi="宋体"/>
          <w:szCs w:val="32"/>
        </w:rPr>
        <w:t>加强指导。组建工作小组，参与基层中队规范化建设全过程，对基层反馈的问题，及时答疑解惑；对建设过程中出现的困难，积极协调、争取，帮助解决。</w:t>
      </w:r>
      <w:r>
        <w:rPr>
          <w:rFonts w:hint="eastAsia" w:ascii="仿宋_GB2312" w:hAnsi="宋体"/>
          <w:b/>
          <w:szCs w:val="32"/>
        </w:rPr>
        <w:t>三是</w:t>
      </w:r>
      <w:r>
        <w:rPr>
          <w:rFonts w:hint="eastAsia" w:ascii="仿宋_GB2312" w:hAnsi="宋体"/>
          <w:szCs w:val="32"/>
        </w:rPr>
        <w:t>加强交流。组建微信工作群，举办线上经验交流活动。各区县局精心制作PPT，图文并茂展示本单位推进中队规范化建设工作的思路、方法和经验，营造相互借鉴、取长补短、比学赶超的良好氛围。对起步晚、建设条件相对落后的区县局，及时提醒，鼓励向先进区县学习，形成争先恐后、齐头并进推动工作的局面。</w:t>
      </w:r>
      <w:r>
        <w:rPr>
          <w:rFonts w:hint="eastAsia" w:ascii="仿宋_GB2312" w:hAnsi="宋体"/>
          <w:b/>
          <w:szCs w:val="32"/>
        </w:rPr>
        <w:t>四是</w:t>
      </w:r>
      <w:r>
        <w:rPr>
          <w:rFonts w:hint="eastAsia" w:ascii="仿宋_GB2312" w:hAnsi="宋体"/>
          <w:szCs w:val="32"/>
        </w:rPr>
        <w:t>实地督查。到15个区县局20个中队检查中队规范化建设推进情况，督促区县局保质量、赶工期，确保按部就班完成建设任务。</w:t>
      </w:r>
    </w:p>
    <w:p>
      <w:pPr>
        <w:tabs>
          <w:tab w:val="left" w:pos="320"/>
        </w:tabs>
        <w:spacing w:line="56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楷体_GB2312" w:hAnsi="宋体" w:eastAsia="楷体_GB2312"/>
          <w:szCs w:val="32"/>
        </w:rPr>
        <w:t>（四）营造良好氛围。</w:t>
      </w:r>
      <w:r>
        <w:rPr>
          <w:rFonts w:hint="eastAsia"/>
          <w:b/>
        </w:rPr>
        <w:t>一是</w:t>
      </w:r>
      <w:r>
        <w:rPr>
          <w:rFonts w:hint="eastAsia"/>
        </w:rPr>
        <w:t>确定考评结果。印发《关于公布2020年度综合行政执法基层中队规范化建设等级考评结果的通知》（济城管发〔2021〕18号），公布2020年度达标中队，制作并举行授牌仪式，提升中队荣誉感获得感。</w:t>
      </w:r>
      <w:r>
        <w:rPr>
          <w:rFonts w:hint="eastAsia"/>
          <w:b/>
        </w:rPr>
        <w:t>二是</w:t>
      </w:r>
      <w:r>
        <w:rPr>
          <w:rFonts w:hint="eastAsia"/>
        </w:rPr>
        <w:t>落实奖补资金。</w:t>
      </w:r>
      <w:r>
        <w:rPr>
          <w:rFonts w:hint="eastAsia" w:ascii="仿宋_GB2312"/>
          <w:szCs w:val="32"/>
        </w:rPr>
        <w:t>根据基层中队</w:t>
      </w:r>
      <w:r>
        <w:rPr>
          <w:rFonts w:hint="eastAsia"/>
        </w:rPr>
        <w:t>规范化建设等级考评结果，</w:t>
      </w:r>
      <w:r>
        <w:rPr>
          <w:rFonts w:hint="eastAsia" w:ascii="仿宋_GB2312"/>
          <w:szCs w:val="32"/>
        </w:rPr>
        <w:t>采取以奖代补方式，按通过等级考评中队数量、等级对各县区局予以差别化补助，引导激励区县局基层执法中队规范化建设的积极性，助力提升规范化建设水平，缓解基层资金困难。</w:t>
      </w:r>
      <w:r>
        <w:rPr>
          <w:rFonts w:hint="eastAsia" w:ascii="仿宋_GB2312"/>
          <w:b/>
          <w:szCs w:val="32"/>
        </w:rPr>
        <w:t>三是</w:t>
      </w:r>
      <w:r>
        <w:rPr>
          <w:rFonts w:hint="eastAsia" w:ascii="仿宋_GB2312"/>
          <w:szCs w:val="32"/>
        </w:rPr>
        <w:t>组织召开现场观摩和经验交流会</w:t>
      </w:r>
      <w:r>
        <w:rPr>
          <w:rFonts w:hint="eastAsia" w:ascii="仿宋_GB2312"/>
          <w:b/>
          <w:szCs w:val="32"/>
        </w:rPr>
        <w:t>。</w:t>
      </w:r>
      <w:r>
        <w:rPr>
          <w:rFonts w:hint="eastAsia" w:ascii="仿宋_GB2312"/>
          <w:szCs w:val="32"/>
        </w:rPr>
        <w:t>组织各区县城管部门、市局相关处室（单位），召开现场观摩和经验交流会，现场观摩示范中队，各区县局作交流发言，相互借鉴、取长补短。</w:t>
      </w:r>
    </w:p>
    <w:p>
      <w:pPr>
        <w:tabs>
          <w:tab w:val="left" w:pos="320"/>
        </w:tabs>
        <w:spacing w:line="560" w:lineRule="exact"/>
        <w:ind w:firstLine="640" w:firstLineChars="200"/>
      </w:pPr>
      <w:r>
        <w:rPr>
          <w:rFonts w:hint="eastAsia" w:ascii="楷体_GB2312" w:eastAsia="楷体_GB2312"/>
          <w:szCs w:val="32"/>
        </w:rPr>
        <w:t>（五）组织考评验收。</w:t>
      </w:r>
      <w:r>
        <w:rPr>
          <w:rFonts w:hint="eastAsia" w:ascii="仿宋_GB2312" w:hAnsi="宋体"/>
          <w:szCs w:val="32"/>
        </w:rPr>
        <w:t>组织年度中队建设等级考评验收，制发《全市综合行政执法基层中队规范化建设等级考评工作实施方案》，成立市局考评小组，审查各区县局申报材料，对申报中队逐一实地考评验收，确保按期完成规范化建设任务。</w:t>
      </w:r>
    </w:p>
    <w:p>
      <w:pPr>
        <w:spacing w:line="540" w:lineRule="exact"/>
        <w:ind w:firstLine="640" w:firstLineChars="200"/>
        <w:rPr>
          <w:rFonts w:hint="eastAsia" w:ascii="仿宋_GB2312"/>
          <w:szCs w:val="32"/>
          <w:lang w:eastAsia="zh-CN"/>
        </w:rPr>
      </w:pPr>
    </w:p>
    <w:p>
      <w:pPr>
        <w:tabs>
          <w:tab w:val="left" w:pos="320"/>
        </w:tabs>
        <w:ind w:firstLine="640" w:firstLineChars="200"/>
      </w:pPr>
      <w:bookmarkStart w:id="0" w:name="_GoBack"/>
      <w:bookmarkEnd w:id="0"/>
    </w:p>
    <w:p>
      <w:pPr>
        <w:tabs>
          <w:tab w:val="left" w:pos="320"/>
        </w:tabs>
      </w:pPr>
    </w:p>
    <w:sectPr>
      <w:footerReference r:id="rId3" w:type="default"/>
      <w:footerReference r:id="rId4" w:type="even"/>
      <w:pgSz w:w="11906" w:h="16838"/>
      <w:pgMar w:top="2098" w:right="1361" w:bottom="1588" w:left="1588" w:header="851" w:footer="992" w:gutter="0"/>
      <w:cols w:space="425" w:num="1"/>
      <w:docGrid w:type="linesAndChars" w:linePitch="597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华文中宋" w:hAnsi="华文中宋"/>
        <w:sz w:val="28"/>
        <w:szCs w:val="28"/>
      </w:rPr>
    </w:pPr>
    <w:r>
      <w:rPr>
        <w:rStyle w:val="6"/>
        <w:rFonts w:hint="eastAsia" w:ascii="华文中宋" w:hAnsi="华文中宋"/>
        <w:sz w:val="28"/>
        <w:szCs w:val="28"/>
      </w:rPr>
      <w:t>—</w:t>
    </w:r>
    <w:r>
      <w:rPr>
        <w:rStyle w:val="6"/>
        <w:rFonts w:ascii="华文中宋" w:hAnsi="华文中宋"/>
        <w:sz w:val="28"/>
        <w:szCs w:val="28"/>
      </w:rPr>
      <w:fldChar w:fldCharType="begin"/>
    </w:r>
    <w:r>
      <w:rPr>
        <w:rStyle w:val="6"/>
        <w:rFonts w:ascii="华文中宋" w:hAnsi="华文中宋"/>
        <w:sz w:val="28"/>
        <w:szCs w:val="28"/>
      </w:rPr>
      <w:instrText xml:space="preserve">PAGE  </w:instrText>
    </w:r>
    <w:r>
      <w:rPr>
        <w:rStyle w:val="6"/>
        <w:rFonts w:ascii="华文中宋" w:hAnsi="华文中宋"/>
        <w:sz w:val="28"/>
        <w:szCs w:val="28"/>
      </w:rPr>
      <w:fldChar w:fldCharType="separate"/>
    </w:r>
    <w:r>
      <w:rPr>
        <w:rStyle w:val="6"/>
        <w:rFonts w:ascii="华文中宋" w:hAnsi="华文中宋"/>
        <w:sz w:val="28"/>
        <w:szCs w:val="28"/>
      </w:rPr>
      <w:t>1</w:t>
    </w:r>
    <w:r>
      <w:rPr>
        <w:rStyle w:val="6"/>
        <w:rFonts w:ascii="华文中宋" w:hAnsi="华文中宋"/>
        <w:sz w:val="28"/>
        <w:szCs w:val="28"/>
      </w:rPr>
      <w:fldChar w:fldCharType="end"/>
    </w:r>
    <w:r>
      <w:rPr>
        <w:rStyle w:val="6"/>
        <w:rFonts w:hint="eastAsia" w:ascii="华文中宋" w:hAnsi="华文中宋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3A"/>
    <w:rsid w:val="00001FB4"/>
    <w:rsid w:val="000324FE"/>
    <w:rsid w:val="00040282"/>
    <w:rsid w:val="000D1987"/>
    <w:rsid w:val="000D6557"/>
    <w:rsid w:val="00191534"/>
    <w:rsid w:val="001C02EB"/>
    <w:rsid w:val="003D7440"/>
    <w:rsid w:val="00435AC3"/>
    <w:rsid w:val="00435C54"/>
    <w:rsid w:val="00512F6F"/>
    <w:rsid w:val="0052453E"/>
    <w:rsid w:val="005F7905"/>
    <w:rsid w:val="0063573A"/>
    <w:rsid w:val="00726862"/>
    <w:rsid w:val="0073333F"/>
    <w:rsid w:val="00753716"/>
    <w:rsid w:val="0080142C"/>
    <w:rsid w:val="008223FF"/>
    <w:rsid w:val="00847522"/>
    <w:rsid w:val="009935D1"/>
    <w:rsid w:val="00AB52E2"/>
    <w:rsid w:val="00AD625A"/>
    <w:rsid w:val="00B62CCF"/>
    <w:rsid w:val="00B92724"/>
    <w:rsid w:val="00B975DA"/>
    <w:rsid w:val="00C5786D"/>
    <w:rsid w:val="00C90234"/>
    <w:rsid w:val="00D80613"/>
    <w:rsid w:val="00DE4F15"/>
    <w:rsid w:val="00E348FD"/>
    <w:rsid w:val="00E95818"/>
    <w:rsid w:val="00EF1F1F"/>
    <w:rsid w:val="00F35232"/>
    <w:rsid w:val="00F56B24"/>
    <w:rsid w:val="05DF6ACD"/>
    <w:rsid w:val="473F72FF"/>
    <w:rsid w:val="5C72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91;&#20214;&#27169;&#26495;\A4&#65288;&#26032;&#65289;-201302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A4（新）-2013022</Template>
  <Company>hwj</Company>
  <Pages>4</Pages>
  <Words>287</Words>
  <Characters>1637</Characters>
  <Lines>13</Lines>
  <Paragraphs>3</Paragraphs>
  <TotalTime>57</TotalTime>
  <ScaleCrop>false</ScaleCrop>
  <LinksUpToDate>false</LinksUpToDate>
  <CharactersWithSpaces>1921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2021-10-26T00:40:00Z</dcterms:created>
  <dc:creator>PC</dc:creator>
  <cp:lastModifiedBy>a</cp:lastModifiedBy>
  <cp:lastPrinted>2113-01-01T00:00:00Z</cp:lastPrinted>
  <dcterms:modified xsi:type="dcterms:W3CDTF">2021-12-31T02:01:16Z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E7AFB2290799444FAA13EC5448329313</vt:lpwstr>
  </property>
</Properties>
</file>